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6D138" w14:textId="04AB31B7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ÁREA TEMÁTICA:</w:t>
      </w:r>
      <w:r w:rsidRPr="001F7DEA">
        <w:rPr>
          <w:rFonts w:cs="Arial"/>
          <w:szCs w:val="24"/>
          <w:lang w:val="pt-BR"/>
        </w:rPr>
        <w:t xml:space="preserve"> </w:t>
      </w:r>
      <w:r w:rsidR="006902AB" w:rsidRPr="001F7DEA">
        <w:rPr>
          <w:lang w:val="pt-BR"/>
        </w:rPr>
        <w:t>Gestão Socioambiental</w:t>
      </w:r>
    </w:p>
    <w:p w14:paraId="255532E7" w14:textId="57585DD2" w:rsidR="00572D56" w:rsidRPr="001F7DEA" w:rsidRDefault="006902AB" w:rsidP="006902AB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GESTÃO SOCIOAMBIENTAL E DESENVOLVIMENTO SUSTENTÁVEL: UM ESTUDO SOBR</w:t>
      </w:r>
      <w:r w:rsidR="00ED1A39">
        <w:rPr>
          <w:rFonts w:cs="Arial"/>
          <w:b/>
          <w:bCs/>
          <w:szCs w:val="24"/>
          <w:lang w:val="pt-BR"/>
        </w:rPr>
        <w:t>E LOGÍSTICA SUSTENTÁVEL E ESG EM UMA INSTITUIÇÃO FINANCEIRA PARAEN</w:t>
      </w:r>
      <w:r w:rsidRPr="001F7DEA">
        <w:rPr>
          <w:rFonts w:cs="Arial"/>
          <w:b/>
          <w:bCs/>
          <w:szCs w:val="24"/>
          <w:lang w:val="pt-BR"/>
        </w:rPr>
        <w:t>SE</w:t>
      </w:r>
    </w:p>
    <w:p w14:paraId="508E8E6D" w14:textId="437FFCDF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szCs w:val="24"/>
          <w:lang w:val="pt-BR"/>
        </w:rPr>
        <w:br w:type="page"/>
      </w:r>
      <w:bookmarkStart w:id="0" w:name="_GoBack"/>
      <w:bookmarkEnd w:id="0"/>
    </w:p>
    <w:p w14:paraId="07FAC285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Resumo</w:t>
      </w:r>
    </w:p>
    <w:p w14:paraId="62F111BC" w14:textId="0455D289" w:rsidR="00F34C19" w:rsidRPr="001F7DEA" w:rsidRDefault="001F7DEA" w:rsidP="00F34C19">
      <w:pPr>
        <w:spacing w:after="0"/>
        <w:ind w:left="360"/>
        <w:jc w:val="both"/>
        <w:rPr>
          <w:rFonts w:cs="Arial"/>
          <w:szCs w:val="24"/>
          <w:lang w:val="pt-BR"/>
        </w:rPr>
      </w:pPr>
      <w:r w:rsidRPr="001F7DEA">
        <w:rPr>
          <w:rFonts w:cs="Arial"/>
          <w:szCs w:val="24"/>
          <w:lang w:val="pt-BR"/>
        </w:rPr>
        <w:t xml:space="preserve">Este artigo discute a gestão socioambiental no contexto do desenvolvimento sustentável, tomando como referência a Agenda 2030 da ONU e os Objetivos de Desenvolvimento Sustentável (ODS). O estudo deriva de uma pesquisa qualitativa e exploratória, desenvolvida por meio de um estudo de caso em uma Instituição Financeira paraense, com base em entrevistas, análise documental e observação de práticas organizacionais. O objetivo central foi propor um plano de logística sustentável, alinhado aos fatores ESG (Environmental, Social </w:t>
      </w:r>
      <w:proofErr w:type="spellStart"/>
      <w:r w:rsidRPr="001F7DEA">
        <w:rPr>
          <w:rFonts w:cs="Arial"/>
          <w:szCs w:val="24"/>
          <w:lang w:val="pt-BR"/>
        </w:rPr>
        <w:t>and</w:t>
      </w:r>
      <w:proofErr w:type="spellEnd"/>
      <w:r w:rsidRPr="001F7DEA">
        <w:rPr>
          <w:rFonts w:cs="Arial"/>
          <w:szCs w:val="24"/>
          <w:lang w:val="pt-BR"/>
        </w:rPr>
        <w:t xml:space="preserve"> </w:t>
      </w:r>
      <w:proofErr w:type="spellStart"/>
      <w:r w:rsidRPr="001F7DEA">
        <w:rPr>
          <w:rFonts w:cs="Arial"/>
          <w:szCs w:val="24"/>
          <w:lang w:val="pt-BR"/>
        </w:rPr>
        <w:t>Governance</w:t>
      </w:r>
      <w:proofErr w:type="spellEnd"/>
      <w:r w:rsidRPr="001F7DEA">
        <w:rPr>
          <w:rFonts w:cs="Arial"/>
          <w:szCs w:val="24"/>
          <w:lang w:val="pt-BR"/>
        </w:rPr>
        <w:t xml:space="preserve">), à responsabilidade social e ambiental e às diretrizes de economia circular, consumo consciente e finanças sustentáveis. Os resultados apontam que, embora o Instituição Financeira </w:t>
      </w:r>
      <w:proofErr w:type="spellStart"/>
      <w:r w:rsidRPr="001F7DEA">
        <w:rPr>
          <w:rFonts w:cs="Arial"/>
          <w:szCs w:val="24"/>
          <w:lang w:val="pt-BR"/>
        </w:rPr>
        <w:t>paranese</w:t>
      </w:r>
      <w:proofErr w:type="spellEnd"/>
      <w:r w:rsidRPr="001F7DEA">
        <w:rPr>
          <w:rFonts w:cs="Arial"/>
          <w:szCs w:val="24"/>
          <w:lang w:val="pt-BR"/>
        </w:rPr>
        <w:t xml:space="preserve"> já possua políticas e diretrizes socioambientais consolidadas, a implementação de um plano de logística sustentável contribui para maior eficiência operacional, redução de impactos e fortalecimento da imagem institucional. Além disso, verificou-se alinhamento com os ODS, sobretudo nos campos de trabalho decente, inovação, cidades sustentáveis e ação contra a mudança climática. Conclui-se que a integração entre logística sustentável, ESG e Agenda 2030 representa uma estratégia essencial para instituições financeiras públicas que buscam conciliar desenvolvimento econômico com responsabilidade socioambiental, oferecendo contribuições práticas para gestores e teóricas para a literatura em administração e sustentabilidade.</w:t>
      </w:r>
    </w:p>
    <w:p w14:paraId="5AEA7460" w14:textId="77777777" w:rsidR="00C72A84" w:rsidRPr="001F7DEA" w:rsidRDefault="00C72A84" w:rsidP="00C72A84">
      <w:pPr>
        <w:jc w:val="both"/>
        <w:rPr>
          <w:rFonts w:cs="Arial"/>
          <w:b/>
          <w:bCs/>
          <w:szCs w:val="24"/>
          <w:lang w:val="pt-BR"/>
        </w:rPr>
      </w:pPr>
    </w:p>
    <w:p w14:paraId="3508740D" w14:textId="06DCD43F" w:rsidR="00572D56" w:rsidRPr="001F7DEA" w:rsidRDefault="006949C4" w:rsidP="00C72A84">
      <w:pPr>
        <w:jc w:val="both"/>
        <w:rPr>
          <w:rFonts w:cs="Arial"/>
          <w:szCs w:val="24"/>
          <w:lang w:val="pt-BR"/>
        </w:rPr>
      </w:pPr>
      <w:r w:rsidRPr="001F7DEA">
        <w:rPr>
          <w:rFonts w:cs="Arial"/>
          <w:b/>
          <w:bCs/>
          <w:szCs w:val="24"/>
          <w:lang w:val="pt-BR"/>
        </w:rPr>
        <w:t>Palavras-chave:</w:t>
      </w:r>
      <w:r w:rsidRPr="001F7DEA">
        <w:rPr>
          <w:rFonts w:cs="Arial"/>
          <w:szCs w:val="24"/>
          <w:lang w:val="pt-BR"/>
        </w:rPr>
        <w:t xml:space="preserve"> </w:t>
      </w:r>
      <w:r w:rsidR="00AE5DF2">
        <w:t xml:space="preserve">Gestão </w:t>
      </w:r>
      <w:proofErr w:type="spellStart"/>
      <w:r w:rsidR="00AE5DF2">
        <w:t>socioambiental</w:t>
      </w:r>
      <w:proofErr w:type="spellEnd"/>
      <w:r w:rsidR="00AE5DF2">
        <w:t xml:space="preserve">; </w:t>
      </w:r>
      <w:proofErr w:type="spellStart"/>
      <w:r w:rsidR="00AE5DF2">
        <w:t>Desenvolvimento</w:t>
      </w:r>
      <w:proofErr w:type="spellEnd"/>
      <w:r w:rsidR="00AE5DF2">
        <w:t xml:space="preserve"> </w:t>
      </w:r>
      <w:proofErr w:type="spellStart"/>
      <w:r w:rsidR="00AE5DF2">
        <w:t>sustentável</w:t>
      </w:r>
      <w:proofErr w:type="spellEnd"/>
      <w:r w:rsidR="00AE5DF2">
        <w:t xml:space="preserve">; ESG; </w:t>
      </w:r>
      <w:proofErr w:type="spellStart"/>
      <w:r w:rsidR="00AE5DF2">
        <w:t>Logística</w:t>
      </w:r>
      <w:proofErr w:type="spellEnd"/>
      <w:r w:rsidR="00AE5DF2">
        <w:t xml:space="preserve"> </w:t>
      </w:r>
      <w:proofErr w:type="spellStart"/>
      <w:r w:rsidR="00AE5DF2">
        <w:t>sustentável</w:t>
      </w:r>
      <w:proofErr w:type="spellEnd"/>
      <w:r w:rsidR="00AE5DF2">
        <w:t>; ODS</w:t>
      </w:r>
      <w:r w:rsidR="00C72A84" w:rsidRPr="001F7DEA">
        <w:rPr>
          <w:rFonts w:cs="Arial"/>
          <w:szCs w:val="24"/>
          <w:lang w:val="pt-BR"/>
        </w:rPr>
        <w:t>.</w:t>
      </w:r>
      <w:r w:rsidRPr="001F7DEA">
        <w:rPr>
          <w:rFonts w:cs="Arial"/>
          <w:szCs w:val="24"/>
          <w:lang w:val="pt-BR"/>
        </w:rPr>
        <w:br w:type="page"/>
      </w:r>
    </w:p>
    <w:p w14:paraId="2058E7CC" w14:textId="2B290D1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1. Introdução</w:t>
      </w:r>
    </w:p>
    <w:p w14:paraId="1A4F4394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O avanço das discussões sobre sustentabilidade nas últimas décadas tem transformado o modo como empresas, governos e instituições públicas se relacionam com a sociedade e o meio ambiente. Essa transformação está ligada à crescente percepção de que o modelo tradicional de desenvolvimento, baseado em padrões lineares de produção e consumo, apresenta limites ecológicos e sociais cada vez mais evidentes. Nesse contexto, a Agenda 2030 da Organização das Nações Unidas (ONU), lançada em 2015, surge como um marco normativo internacional ao propor os 17 Objetivos de Desenvolvimento Sustentável (ODS) e 169 metas associadas, que buscam orientar países e organizações em direção a um modelo mais inclusivo, equitativo e ambientalmente responsável (United </w:t>
      </w:r>
      <w:proofErr w:type="spellStart"/>
      <w:r w:rsidRPr="00AE5DF2">
        <w:rPr>
          <w:rFonts w:cs="Arial"/>
          <w:szCs w:val="24"/>
          <w:lang w:val="pt-BR"/>
        </w:rPr>
        <w:t>Nations</w:t>
      </w:r>
      <w:proofErr w:type="spellEnd"/>
      <w:r w:rsidRPr="00AE5DF2">
        <w:rPr>
          <w:rFonts w:cs="Arial"/>
          <w:szCs w:val="24"/>
          <w:lang w:val="pt-BR"/>
        </w:rPr>
        <w:t>, 2015).</w:t>
      </w:r>
    </w:p>
    <w:p w14:paraId="6DE04B45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A importância dos ODS não se restringe ao nível estatal. Cada vez mais, empresas privadas e instituições públicas são chamadas a alinhar suas estratégias e práticas aos compromissos globais. O Relatório </w:t>
      </w:r>
      <w:proofErr w:type="spellStart"/>
      <w:r w:rsidRPr="00AE5DF2">
        <w:rPr>
          <w:rFonts w:cs="Arial"/>
          <w:szCs w:val="24"/>
          <w:lang w:val="pt-BR"/>
        </w:rPr>
        <w:t>Brundtland</w:t>
      </w:r>
      <w:proofErr w:type="spellEnd"/>
      <w:r w:rsidRPr="00AE5DF2">
        <w:rPr>
          <w:rFonts w:cs="Arial"/>
          <w:szCs w:val="24"/>
          <w:lang w:val="pt-BR"/>
        </w:rPr>
        <w:t xml:space="preserve"> (WCED, 1987) já alertava que a busca pelo desenvolvimento sustentável exige a integração de dimensões econômicas, sociais e ambientais em todas as esferas da sociedade. Essa visão vem sendo ampliada pela literatura contemporânea, que destaca a centralidade da responsabilidade socioambiental como pilar da competitividade e da legitimidade institucional (</w:t>
      </w:r>
      <w:proofErr w:type="spellStart"/>
      <w:r w:rsidRPr="00AE5DF2">
        <w:rPr>
          <w:rFonts w:cs="Arial"/>
          <w:szCs w:val="24"/>
          <w:lang w:val="pt-BR"/>
        </w:rPr>
        <w:t>Munck</w:t>
      </w:r>
      <w:proofErr w:type="spellEnd"/>
      <w:r w:rsidRPr="00AE5DF2">
        <w:rPr>
          <w:rFonts w:cs="Arial"/>
          <w:szCs w:val="24"/>
          <w:lang w:val="pt-BR"/>
        </w:rPr>
        <w:t>, 2013; Barbieri &amp; Cajazeira, 2016).</w:t>
      </w:r>
    </w:p>
    <w:p w14:paraId="50B49359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No setor financeiro, esse movimento ganha relevância adicional. Instituições bancárias não apenas gerenciam seus próprios impactos diretos (como consumo de energia, papel, resíduos e emissões), mas também exercem papel indutor no mercado, direcionando investimentos e crédito para iniciativas alinhadas à sustentabilidade (Assaf Neto &amp; Lima, 2011). Bancos públicos, como uma Instituição Financeira paraense, possuem ainda a função de fomentar o desenvolvimento regional, o que amplia a responsabilidade socioambiental de suas operações. Nesse sentido, alinhar sua gestão socioambiental aos princípios ESG (Environmental, Social </w:t>
      </w:r>
      <w:proofErr w:type="spellStart"/>
      <w:r w:rsidRPr="00AE5DF2">
        <w:rPr>
          <w:rFonts w:cs="Arial"/>
          <w:szCs w:val="24"/>
          <w:lang w:val="pt-BR"/>
        </w:rPr>
        <w:t>and</w:t>
      </w:r>
      <w:proofErr w:type="spellEnd"/>
      <w:r w:rsidRPr="00AE5DF2">
        <w:rPr>
          <w:rFonts w:cs="Arial"/>
          <w:szCs w:val="24"/>
          <w:lang w:val="pt-BR"/>
        </w:rPr>
        <w:t xml:space="preserve"> </w:t>
      </w:r>
      <w:proofErr w:type="spellStart"/>
      <w:r w:rsidRPr="00AE5DF2">
        <w:rPr>
          <w:rFonts w:cs="Arial"/>
          <w:szCs w:val="24"/>
          <w:lang w:val="pt-BR"/>
        </w:rPr>
        <w:t>Governance</w:t>
      </w:r>
      <w:proofErr w:type="spellEnd"/>
      <w:r w:rsidRPr="00AE5DF2">
        <w:rPr>
          <w:rFonts w:cs="Arial"/>
          <w:szCs w:val="24"/>
          <w:lang w:val="pt-BR"/>
        </w:rPr>
        <w:t>) significa, ao mesmo tempo, fortalecer sua credibilidade e gerar externalidades positivas para a sociedade amazônica, marcada por vulnerabilidades sociais e ambientais.</w:t>
      </w:r>
    </w:p>
    <w:p w14:paraId="3A858BC8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Apesar da relevância crescente do tema, os desafios de implementação ainda são significativos. Embora muitas instituições financeiras já possuam políticas socioambientais e relatórios de sustentabilidade, nem sempre essas diretrizes são traduzidas em práticas concretas nas operações do dia a dia. Questões como gestão da cadeia de suprimentos, consumo consciente, logística sustentável e mensuração de impactos permanecem como pontos críticos (D’Agosto &amp; Oliveira, 2018). Além disso, a pandemia de Covid-19 evidenciou a necessidade de resiliência organizacional e acelerou processos de </w:t>
      </w:r>
      <w:r w:rsidRPr="00AE5DF2">
        <w:rPr>
          <w:rFonts w:cs="Arial"/>
          <w:szCs w:val="24"/>
          <w:lang w:val="pt-BR"/>
        </w:rPr>
        <w:lastRenderedPageBreak/>
        <w:t>digitalização, impondo novas demandas para a gestão sustentável (Terra Ambiental, 2021).</w:t>
      </w:r>
    </w:p>
    <w:p w14:paraId="30505851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>O problema de pesquisa que orienta este artigo pode ser sintetizado na seguinte questão: como a logística sustentável pode ser implementada em uma instituição financeira de modo a fortalecer sua gestão socioambiental e seu alinhamento aos ODS?</w:t>
      </w:r>
    </w:p>
    <w:p w14:paraId="1558DB0B" w14:textId="77777777" w:rsidR="00AE5DF2" w:rsidRPr="00AE5DF2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 xml:space="preserve">O objetivo central do estudo é propor um plano de logística sustentável para o Instituição Financeira </w:t>
      </w:r>
      <w:proofErr w:type="spellStart"/>
      <w:r w:rsidRPr="00AE5DF2">
        <w:rPr>
          <w:rFonts w:cs="Arial"/>
          <w:szCs w:val="24"/>
          <w:lang w:val="pt-BR"/>
        </w:rPr>
        <w:t>paranese</w:t>
      </w:r>
      <w:proofErr w:type="spellEnd"/>
      <w:r w:rsidRPr="00AE5DF2">
        <w:rPr>
          <w:rFonts w:cs="Arial"/>
          <w:szCs w:val="24"/>
          <w:lang w:val="pt-BR"/>
        </w:rPr>
        <w:t xml:space="preserve">, de forma a contribuir com a eficiência operacional, a redução de impactos socioambientais e a criação de valor compartilhado. Os objetivos específicos incluem: i) mapear políticas e diretrizes socioambientais já existentes; </w:t>
      </w:r>
      <w:proofErr w:type="spellStart"/>
      <w:r w:rsidRPr="00AE5DF2">
        <w:rPr>
          <w:rFonts w:cs="Arial"/>
          <w:szCs w:val="24"/>
          <w:lang w:val="pt-BR"/>
        </w:rPr>
        <w:t>ii</w:t>
      </w:r>
      <w:proofErr w:type="spellEnd"/>
      <w:r w:rsidRPr="00AE5DF2">
        <w:rPr>
          <w:rFonts w:cs="Arial"/>
          <w:szCs w:val="24"/>
          <w:lang w:val="pt-BR"/>
        </w:rPr>
        <w:t xml:space="preserve">) identificar indicadores de impacto e alinhamento com os ODS; </w:t>
      </w:r>
      <w:proofErr w:type="spellStart"/>
      <w:r w:rsidRPr="00AE5DF2">
        <w:rPr>
          <w:rFonts w:cs="Arial"/>
          <w:szCs w:val="24"/>
          <w:lang w:val="pt-BR"/>
        </w:rPr>
        <w:t>iii</w:t>
      </w:r>
      <w:proofErr w:type="spellEnd"/>
      <w:r w:rsidRPr="00AE5DF2">
        <w:rPr>
          <w:rFonts w:cs="Arial"/>
          <w:szCs w:val="24"/>
          <w:lang w:val="pt-BR"/>
        </w:rPr>
        <w:t>) propor um plano de logística sustentável integrado à governança ESG.</w:t>
      </w:r>
    </w:p>
    <w:p w14:paraId="0B45079B" w14:textId="0CD7F0A4" w:rsidR="00C72A84" w:rsidRPr="001F7DEA" w:rsidRDefault="00AE5DF2" w:rsidP="00AE5DF2">
      <w:pPr>
        <w:jc w:val="both"/>
        <w:rPr>
          <w:rFonts w:cs="Arial"/>
          <w:szCs w:val="24"/>
          <w:lang w:val="pt-BR"/>
        </w:rPr>
      </w:pPr>
      <w:r w:rsidRPr="00AE5DF2">
        <w:rPr>
          <w:rFonts w:cs="Arial"/>
          <w:szCs w:val="24"/>
          <w:lang w:val="pt-BR"/>
        </w:rPr>
        <w:t>Este artigo está organizado da seguinte forma: além desta introdução, a seção 2 apresenta a fundamentação teórica; a seção 3 descreve a metodologia; a seção 4 expõe a análise e discussão dos resultados; e a seção 5 apresenta a conclusão e contribuições.</w:t>
      </w:r>
    </w:p>
    <w:p w14:paraId="4A8558BA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2. Fundamentação Teórica</w:t>
      </w:r>
    </w:p>
    <w:p w14:paraId="76D0F9AC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2.1 Agenda 2030 e Objetivos de Desenvolvimento Sustentável (ODS)</w:t>
      </w:r>
    </w:p>
    <w:p w14:paraId="4A0724AF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Agenda 2030, lançada em 2015, representa um compromisso global para transformar os padrões de desenvolvimento, reconhecendo a urgência de conciliar crescimento econômico, inclusão social e proteção ambiental. Seus 17 Objetivos de Desenvolvimento Sustentável (ODS) e 169 metas detalhadas oferecem uma estrutura normativa e orientadora para governos, empresas e sociedade civil (United </w:t>
      </w:r>
      <w:proofErr w:type="spellStart"/>
      <w:r w:rsidRPr="00BA263D">
        <w:rPr>
          <w:rFonts w:cs="Arial"/>
          <w:szCs w:val="24"/>
          <w:lang w:val="pt-BR"/>
        </w:rPr>
        <w:t>Nations</w:t>
      </w:r>
      <w:proofErr w:type="spellEnd"/>
      <w:r w:rsidRPr="00BA263D">
        <w:rPr>
          <w:rFonts w:cs="Arial"/>
          <w:szCs w:val="24"/>
          <w:lang w:val="pt-BR"/>
        </w:rPr>
        <w:t>, 2015). No Brasil, esses objetivos têm se refletido em políticas públicas e também em estratégias de sustentabilidade corporativa, tornando-se referência obrigatória para práticas de governança socioambiental (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>; Doliveira; Silva, 2017).</w:t>
      </w:r>
    </w:p>
    <w:p w14:paraId="0F172851" w14:textId="77777777" w:rsid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Para organizações, os ODS funcionam como diretriz estratégica, ajudando a identificar áreas de contribuição e indicadores de desempenho. Além disso, eles se tornaram instrumentos de legitimidade institucional, uma vez que consumidores, investidores e reguladores passaram a exigir comprovações mais concretas de engajamento com os compromissos globais (WCED, 1987). Nesse sentido, instituições financeiras possuem papel privilegiado, pois influenciam diretamente a alocação de recursos na economia, podendo direcionar capital para setores que promovam desenvolvimento sustentável (Assaf Neto &amp; Lima, 2011).</w:t>
      </w:r>
    </w:p>
    <w:p w14:paraId="258554D6" w14:textId="77777777" w:rsidR="00A72730" w:rsidRPr="00BA263D" w:rsidRDefault="00A72730" w:rsidP="00BA263D">
      <w:pPr>
        <w:jc w:val="both"/>
        <w:rPr>
          <w:rFonts w:cs="Arial"/>
          <w:szCs w:val="24"/>
          <w:lang w:val="pt-BR"/>
        </w:rPr>
      </w:pPr>
    </w:p>
    <w:p w14:paraId="06725DA2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>2.2 Responsabilidade Social e Ambiental</w:t>
      </w:r>
    </w:p>
    <w:p w14:paraId="6C7EB7C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A responsabilidade social empresarial (RSE) e a responsabilidade socioambiental organizacional extrapolam o cumprimento da legislação, configurando-se como compromisso voluntário das empresas em adotar práticas que promovam bem-estar social e preservação ambiental. De acordo com Ethos (2009), a RSE implica em gestão ética, transparente e voltada para a criação de valor compartilhado. Para Furtado (2003), ela corresponde ao dever moral e estratégico de as organizações responderem pelos impactos sociais e ambientais de seus produtos, processos e serviços.</w:t>
      </w:r>
    </w:p>
    <w:p w14:paraId="545D931A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Esse debate tem relevância crescente porque organizações que integram responsabilidade socioambiental às suas estratégias conseguem fortalecer sua legitimidade perante os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>, reduzir riscos de imagem e aumentar sua resiliência em ambientes competitivos (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>, 2013). No caso de instituições financeiras, a responsabilidade socioambiental é ainda mais complexa, pois envolve tanto práticas internas (gestão de insumos, energia, resíduos) quanto externas (critérios de concessão de crédito, investimentos sustentáveis, incentivo a práticas de consumo consciente).</w:t>
      </w:r>
    </w:p>
    <w:p w14:paraId="24E13AAB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2.3 ESG e Relato Integrado</w:t>
      </w:r>
    </w:p>
    <w:p w14:paraId="6F946D0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Os fatores ESG (Environmental, Social </w:t>
      </w:r>
      <w:proofErr w:type="spellStart"/>
      <w:r w:rsidRPr="00BA263D">
        <w:rPr>
          <w:rFonts w:cs="Arial"/>
          <w:szCs w:val="24"/>
          <w:lang w:val="pt-BR"/>
        </w:rPr>
        <w:t>and</w:t>
      </w:r>
      <w:proofErr w:type="spellEnd"/>
      <w:r w:rsidRPr="00BA263D">
        <w:rPr>
          <w:rFonts w:cs="Arial"/>
          <w:szCs w:val="24"/>
          <w:lang w:val="pt-BR"/>
        </w:rPr>
        <w:t xml:space="preserve"> </w:t>
      </w:r>
      <w:proofErr w:type="spellStart"/>
      <w:r w:rsidRPr="00BA263D">
        <w:rPr>
          <w:rFonts w:cs="Arial"/>
          <w:szCs w:val="24"/>
          <w:lang w:val="pt-BR"/>
        </w:rPr>
        <w:t>Governance</w:t>
      </w:r>
      <w:proofErr w:type="spellEnd"/>
      <w:r w:rsidRPr="00BA263D">
        <w:rPr>
          <w:rFonts w:cs="Arial"/>
          <w:szCs w:val="24"/>
          <w:lang w:val="pt-BR"/>
        </w:rPr>
        <w:t>) consolidaram-se como parâmetros globais de avaliação da sustentabilidade corporativa. Segundo Barbieri &amp; Cajazeira (2016), empresas que adotam práticas ESG não apenas reduzem impactos negativos, mas também aumentam sua atratividade para investidores e consumidores, fortalecendo a governança e mitigando riscos.</w:t>
      </w:r>
    </w:p>
    <w:p w14:paraId="2C27037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avanço dos relatórios de sustentabilidade, como os baseados no padrão GRI (Global </w:t>
      </w:r>
      <w:proofErr w:type="spellStart"/>
      <w:r w:rsidRPr="00BA263D">
        <w:rPr>
          <w:rFonts w:cs="Arial"/>
          <w:szCs w:val="24"/>
          <w:lang w:val="pt-BR"/>
        </w:rPr>
        <w:t>Reporting</w:t>
      </w:r>
      <w:proofErr w:type="spellEnd"/>
      <w:r w:rsidRPr="00BA263D">
        <w:rPr>
          <w:rFonts w:cs="Arial"/>
          <w:szCs w:val="24"/>
          <w:lang w:val="pt-BR"/>
        </w:rPr>
        <w:t xml:space="preserve"> </w:t>
      </w:r>
      <w:proofErr w:type="spellStart"/>
      <w:r w:rsidRPr="00BA263D">
        <w:rPr>
          <w:rFonts w:cs="Arial"/>
          <w:szCs w:val="24"/>
          <w:lang w:val="pt-BR"/>
        </w:rPr>
        <w:t>Initiative</w:t>
      </w:r>
      <w:proofErr w:type="spellEnd"/>
      <w:r w:rsidRPr="00BA263D">
        <w:rPr>
          <w:rFonts w:cs="Arial"/>
          <w:szCs w:val="24"/>
          <w:lang w:val="pt-BR"/>
        </w:rPr>
        <w:t xml:space="preserve">), reforça a necessidade de prestação de contas transparente. Além disso, o Relato Integrado promove uma visão sistêmica, articulando desempenho financeiro com impactos socioambientais (Brasil, 2022a). No setor financeiro, isso é especialmente relevante, pois investidores internacionais já condicionam decisões de crédito e aporte a práticas robustas de ESG.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acrescenta que, mais do que atender a exigências externas, o ESG representa uma nova lógica de gestão, integrando sustentabilidade ao core business das organizações.</w:t>
      </w:r>
    </w:p>
    <w:p w14:paraId="6FBC3A4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2.4 Economia Circular, Consumo Consciente e Cadeia de Suprimentos Sustentável</w:t>
      </w:r>
    </w:p>
    <w:p w14:paraId="2313A38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economia circular propõe a ruptura com o modelo linear de produção e consumo, priorizando estratégias de reduzir, reutilizar, reciclar e regenerar recursos. Esse paradigma busca transformar resíduos em insumos produtivos, estimulando inovações em design, logística e processos (D’Agosto &amp; Oliveira, </w:t>
      </w:r>
      <w:r w:rsidRPr="00BA263D">
        <w:rPr>
          <w:rFonts w:cs="Arial"/>
          <w:szCs w:val="24"/>
          <w:lang w:val="pt-BR"/>
        </w:rPr>
        <w:lastRenderedPageBreak/>
        <w:t xml:space="preserve">2018). Para </w:t>
      </w:r>
      <w:proofErr w:type="spellStart"/>
      <w:r w:rsidRPr="00BA263D">
        <w:rPr>
          <w:rFonts w:cs="Arial"/>
          <w:szCs w:val="24"/>
          <w:lang w:val="pt-BR"/>
        </w:rPr>
        <w:t>SBCoaching</w:t>
      </w:r>
      <w:proofErr w:type="spellEnd"/>
      <w:r w:rsidRPr="00BA263D">
        <w:rPr>
          <w:rFonts w:cs="Arial"/>
          <w:szCs w:val="24"/>
          <w:lang w:val="pt-BR"/>
        </w:rPr>
        <w:t xml:space="preserve"> (2019), a sustentabilidade empresarial deve ser operacionalizada em ações concretas que transformem cadeias de valor, indo além do discurso publicitário.</w:t>
      </w:r>
    </w:p>
    <w:p w14:paraId="4375830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No campo do consumo consciente, há crescente pressão por parte dos consumidores, que exigem transparência, responsabilidade e coerência entre discurso e prática organizacional (Pereira &amp; Silva, 2019). Empresas que respondem a essas demandas com práticas de compras sustentáveis, por exemplo, ampliam sua reputação e reduzem riscos socioambientais (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 xml:space="preserve">; Doliveira; Silva, 2017). Em termos de cadeia de suprimentos, adotar critérios de sustentabilidade significa avaliar fornecedores, reduzir emissões na logística e promover eficiência energética, criando sistemas mais </w:t>
      </w:r>
      <w:proofErr w:type="spellStart"/>
      <w:r w:rsidRPr="00BA263D">
        <w:rPr>
          <w:rFonts w:cs="Arial"/>
          <w:szCs w:val="24"/>
          <w:lang w:val="pt-BR"/>
        </w:rPr>
        <w:t>resilientes</w:t>
      </w:r>
      <w:proofErr w:type="spellEnd"/>
      <w:r w:rsidRPr="00BA263D">
        <w:rPr>
          <w:rFonts w:cs="Arial"/>
          <w:szCs w:val="24"/>
          <w:lang w:val="pt-BR"/>
        </w:rPr>
        <w:t xml:space="preserve"> e competitivos.</w:t>
      </w:r>
    </w:p>
    <w:p w14:paraId="0E308F9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2.5 Negócios de Impacto Social e Operações Sustentáveis</w:t>
      </w:r>
    </w:p>
    <w:p w14:paraId="78016AD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negócios de impacto social surgem como um modelo híbrido, que busca conciliar rentabilidade financeira e impacto positivo mensurável na sociedade (Terra Ambiental, 2021). Esse movimento reflete mudanças no perfil dos investidores e consumidores, que demandam soluções de valor compartilhado. Além disso, operações sustentáveis tornam-se cada vez mais estratégicas, incluindo gestão de resíduos, eficiência energética, uso de fontes renováveis, mitigação de emissões e adaptação às mudanças climáticas (Hoffman, 2007).</w:t>
      </w:r>
    </w:p>
    <w:p w14:paraId="696CDC4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Instituições financeiras têm espaço privilegiado para estimular negócios de impacto social, seja por meio da oferta de crédito, seja pelo financiamento de cadeias produtivas sustentáveis. No caso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esse papel ganha relevância ainda maior pelo seu contexto regional amazônico, em que a preservação ambiental e a inclusão social são demandas estruturais.</w:t>
      </w:r>
    </w:p>
    <w:p w14:paraId="104A5FCA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2.6 Marketing Sustentável</w:t>
      </w:r>
    </w:p>
    <w:p w14:paraId="1049886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marketing, por sua vez, assume função estratégica ao comunicar compromissos socioambientais. De acordo com Kotler &amp; Armstrong (2015), o marketing sustentável deve alinhar-se às expectativas crescentes dos consumidores, demonstrando impactos reais e evitando práticas de </w:t>
      </w:r>
      <w:proofErr w:type="spellStart"/>
      <w:r w:rsidRPr="00BA263D">
        <w:rPr>
          <w:rFonts w:cs="Arial"/>
          <w:szCs w:val="24"/>
          <w:lang w:val="pt-BR"/>
        </w:rPr>
        <w:t>greenwashing</w:t>
      </w:r>
      <w:proofErr w:type="spellEnd"/>
      <w:r w:rsidRPr="00BA263D">
        <w:rPr>
          <w:rFonts w:cs="Arial"/>
          <w:szCs w:val="24"/>
          <w:lang w:val="pt-BR"/>
        </w:rPr>
        <w:t>.</w:t>
      </w:r>
    </w:p>
    <w:p w14:paraId="470D11E6" w14:textId="700182FE" w:rsidR="00C72A84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Segundo Pereira &amp; Silva (2019), estratégias de marketing sustentável fortalecem a reputação organizacional e criam laços de confiança com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>. Isso significa que a comunicação deve ser transparente, baseada em indicadores verificáveis e integrada às práticas efetivas da empresa. No setor financeiro, campanhas de marketing sustentável não apenas atraem clientes conscientes, mas também reforçam a legitimidade institucional em mercados altamente regulados.</w:t>
      </w:r>
    </w:p>
    <w:p w14:paraId="24383617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lastRenderedPageBreak/>
        <w:t>3. Metodologia</w:t>
      </w:r>
    </w:p>
    <w:p w14:paraId="7C67C34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Este estudo adota uma abordagem qualitativa, de caráter exploratório e descritivo, com o objetivo de compreender em profundidade as práticas socioambientais de uma instituição financeira pública. A opção pela pesquisa qualitativa se justifica porque o fenômeno estudado — a implementação de um plano de logística sustentável — envolve percepções, práticas institucionais, processos internos e contextos específicos que não podem ser plenamente captados por técnicas quantitativas (</w:t>
      </w:r>
      <w:proofErr w:type="spellStart"/>
      <w:r w:rsidRPr="00BA263D">
        <w:rPr>
          <w:rFonts w:cs="Arial"/>
          <w:szCs w:val="24"/>
          <w:lang w:val="pt-BR"/>
        </w:rPr>
        <w:t>Sampieri</w:t>
      </w:r>
      <w:proofErr w:type="spellEnd"/>
      <w:r w:rsidRPr="00BA263D">
        <w:rPr>
          <w:rFonts w:cs="Arial"/>
          <w:szCs w:val="24"/>
          <w:lang w:val="pt-BR"/>
        </w:rPr>
        <w:t xml:space="preserve">; </w:t>
      </w:r>
      <w:proofErr w:type="spellStart"/>
      <w:r w:rsidRPr="00BA263D">
        <w:rPr>
          <w:rFonts w:cs="Arial"/>
          <w:szCs w:val="24"/>
          <w:lang w:val="pt-BR"/>
        </w:rPr>
        <w:t>Collado</w:t>
      </w:r>
      <w:proofErr w:type="spellEnd"/>
      <w:r w:rsidRPr="00BA263D">
        <w:rPr>
          <w:rFonts w:cs="Arial"/>
          <w:szCs w:val="24"/>
          <w:lang w:val="pt-BR"/>
        </w:rPr>
        <w:t>; Lucio, 2013).</w:t>
      </w:r>
    </w:p>
    <w:p w14:paraId="33BB30B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estratégia metodológica escolhida foi o estudo de caso único, realizado em uma Instituição Financeira paraense. Conforme Yin (2015), o estudo de caso é adequado para pesquisas que buscam analisar fenômenos contemporâneos em profundidade, preservando as características do contexto real. A escolha por um único caso se justifica pela singularidade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instituição financeira pública que atua na Amazônia, região marcada por desafios socioambientais relevantes e, portanto, um campo fértil para examinar a integração entre sustentabilidade e gestão organizacional.</w:t>
      </w:r>
    </w:p>
    <w:p w14:paraId="2F49BA79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procedimentos de coleta de dados envolveram três etapas complementares:</w:t>
      </w:r>
    </w:p>
    <w:p w14:paraId="3A83787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i) pesquisa documental, incluindo análise de relatórios institucionais, manuais, políticas internas e planos de sustentabilidade;</w:t>
      </w:r>
    </w:p>
    <w:p w14:paraId="60B061A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</w:t>
      </w:r>
      <w:proofErr w:type="spellEnd"/>
      <w:r w:rsidRPr="00BA263D">
        <w:rPr>
          <w:rFonts w:cs="Arial"/>
          <w:szCs w:val="24"/>
          <w:lang w:val="pt-BR"/>
        </w:rPr>
        <w:t>) entrevistas semiestruturadas com gestores e técnicos das áreas de logística, sustentabilidade e governança, buscando captar percepções, dificuldades e estratégias de implementação;</w:t>
      </w:r>
    </w:p>
    <w:p w14:paraId="699E9B3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iii</w:t>
      </w:r>
      <w:proofErr w:type="spellEnd"/>
      <w:r w:rsidRPr="00BA263D">
        <w:rPr>
          <w:rFonts w:cs="Arial"/>
          <w:szCs w:val="24"/>
          <w:lang w:val="pt-BR"/>
        </w:rPr>
        <w:t>) observação direta e análise categorial de conteúdo, permitindo organizar os dados em eixos temáticos relacionados à Agenda 2030, aos ODS e aos fatores ESG.</w:t>
      </w:r>
    </w:p>
    <w:p w14:paraId="04B516C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A triangulação de dados entre documentos, entrevistas e observação direta buscou aumentar a validade da pesquisa, reduzindo vieses individuais e reforçando a confiabilidade dos resultados (Yin, 2015). Além disso, a análise categorial foi organizada em torno de dimensões previamente definidas com base na literatura: responsabilidade socioambiental, ESG, economia circular, consumo consciente, logística sustentável e marketing sustentável.</w:t>
      </w:r>
    </w:p>
    <w:p w14:paraId="3238621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É importante destacar algumas limitações metodológicas. O caráter qualitativo e de estudo de caso restringe a generalização dos resultados para outras instituições financeiras. No entanto, como ressaltam Pereira (2019) e </w:t>
      </w:r>
      <w:proofErr w:type="spellStart"/>
      <w:r w:rsidRPr="00BA263D">
        <w:rPr>
          <w:rFonts w:cs="Arial"/>
          <w:szCs w:val="24"/>
          <w:lang w:val="pt-BR"/>
        </w:rPr>
        <w:t>Sampieri</w:t>
      </w:r>
      <w:proofErr w:type="spellEnd"/>
      <w:r w:rsidRPr="00BA263D">
        <w:rPr>
          <w:rFonts w:cs="Arial"/>
          <w:szCs w:val="24"/>
          <w:lang w:val="pt-BR"/>
        </w:rPr>
        <w:t xml:space="preserve"> et al. (2013), pesquisas qualitativas oferecem profundidade interpretativa, permitindo construir hipóteses e modelos conceituais que podem orientar futuras investigações quantitativas ou comparativas.</w:t>
      </w:r>
    </w:p>
    <w:p w14:paraId="0C0907A7" w14:textId="38178E87" w:rsidR="00C72A84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>Por fim, o critério de rigor científico foi assegurado por meio da coerência entre objetivos, referencial teórico e procedimentos adotados. A validade interna foi garantida pela consistência das categorias de análise e pela triangulação dos dados; já a validade externa foi considerada a partir da discussão dos resultados à luz da literatura, evidenciando sua relevância para além do caso estudado.</w:t>
      </w:r>
    </w:p>
    <w:p w14:paraId="125173FB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4. Análise e Discussão dos Resultados</w:t>
      </w:r>
    </w:p>
    <w:p w14:paraId="53A81BC6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4.1 Políticas e Diretrizes de Sustentabilidade no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</w:p>
    <w:p w14:paraId="733E536B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já possui um conjunto de políticas institucionais que sinalizam seu compromisso com a sustentabilidade, incluindo diretrizes de responsabilidade socioambiental, planos de gestão de resíduos sólidos e relatórios anuais de sustentabilidade. Esses documentos demonstram alinhamento com exigências regulatórias, como as diretrizes do Banco Central do Brasil, que têm reforçado a importância da integração entre sustentabilidade e governança (Brasil, 2022a).</w:t>
      </w:r>
    </w:p>
    <w:p w14:paraId="39131D9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Contudo, como destacam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e Barbieri &amp; Cajazeira (2016), a existência de políticas formais não garante, por si só, a efetividade das práticas socioambientais. A análise documental evidenciou que algumas ações permanecem em nível normativo, sem ampla integração às operações diárias. Esse achado está em consonância com a literatura, que alerta para o risco de dissociação entre discurso e prática, fenômeno conhecido como </w:t>
      </w:r>
      <w:proofErr w:type="spellStart"/>
      <w:r w:rsidRPr="00BA263D">
        <w:rPr>
          <w:rFonts w:cs="Arial"/>
          <w:szCs w:val="24"/>
          <w:lang w:val="pt-BR"/>
        </w:rPr>
        <w:t>greenwashing</w:t>
      </w:r>
      <w:proofErr w:type="spellEnd"/>
      <w:r w:rsidRPr="00BA263D">
        <w:rPr>
          <w:rFonts w:cs="Arial"/>
          <w:szCs w:val="24"/>
          <w:lang w:val="pt-BR"/>
        </w:rPr>
        <w:t xml:space="preserve"> (Kotler &amp; Armstrong, 2015).</w:t>
      </w:r>
    </w:p>
    <w:p w14:paraId="2D621A85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Em comparação com outras instituições financeiras públicas, como o Banco do Brasil e a Caixa Econômica Federal, 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ainda apresenta desafios na sistematização de indicadores socioambientais e na transparência de resultados. No entanto, seu papel regional na Amazônia lhe confere a oportunidade de se posicionar como referência em práticas inovadoras de sustentabilidade, especialmente no que tange ao fomento de cadeias produtivas sustentáveis e à valorização de comunidades locais.</w:t>
      </w:r>
    </w:p>
    <w:p w14:paraId="27A027C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4.2 Indicadores e ODS</w:t>
      </w:r>
    </w:p>
    <w:p w14:paraId="4623A1E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análise das práticas institucionais revelou alinhamento explícito a alguns Objetivos de Desenvolvimento Sustentável (ODS), como: ODS 8 (Trabalho decente e crescimento econômico), ODS 9 (Inovação e infraestrutura), ODS 11 (Cidades sustentáveis e comunidades) e ODS 13 (Ação contra a mudança global do clima). Esse alinhamento é importante, pois confere legitimidade institucional e permite que a organização dialogue em pé de igualdade com </w:t>
      </w:r>
      <w:proofErr w:type="spellStart"/>
      <w:r w:rsidRPr="00BA263D">
        <w:rPr>
          <w:rFonts w:cs="Arial"/>
          <w:szCs w:val="24"/>
          <w:lang w:val="pt-BR"/>
        </w:rPr>
        <w:t>stakeholders</w:t>
      </w:r>
      <w:proofErr w:type="spellEnd"/>
      <w:r w:rsidRPr="00BA263D">
        <w:rPr>
          <w:rFonts w:cs="Arial"/>
          <w:szCs w:val="24"/>
          <w:lang w:val="pt-BR"/>
        </w:rPr>
        <w:t xml:space="preserve"> nacionais e internacionais (United </w:t>
      </w:r>
      <w:proofErr w:type="spellStart"/>
      <w:r w:rsidRPr="00BA263D">
        <w:rPr>
          <w:rFonts w:cs="Arial"/>
          <w:szCs w:val="24"/>
          <w:lang w:val="pt-BR"/>
        </w:rPr>
        <w:t>Nations</w:t>
      </w:r>
      <w:proofErr w:type="spellEnd"/>
      <w:r w:rsidRPr="00BA263D">
        <w:rPr>
          <w:rFonts w:cs="Arial"/>
          <w:szCs w:val="24"/>
          <w:lang w:val="pt-BR"/>
        </w:rPr>
        <w:t>, 2015).</w:t>
      </w:r>
    </w:p>
    <w:p w14:paraId="6006671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lastRenderedPageBreak/>
        <w:t xml:space="preserve">Entretanto, identificou-se a ausência de indicadores específicos voltados para impactos logísticos, como emissões de carbono relacionadas ao transporte de insumos, uso de papel e energia elétrica nas agências. De acordo com D’Agosto &amp; Oliveira (2018), esses indicadores são fundamentais para mensurar a sustentabilidade em cadeias de suprimentos e logística. A lacuna observada no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 xml:space="preserve"> sugere a necessidade de evoluir do alinhamento estratégico para a operacionalização por meio de métricas robustas.</w:t>
      </w:r>
    </w:p>
    <w:p w14:paraId="70ACDCB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4.3 Plano de Logística Sustentável</w:t>
      </w:r>
    </w:p>
    <w:p w14:paraId="329BC3F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 plano proposto neste estudo contempla diversas dimensões:</w:t>
      </w:r>
    </w:p>
    <w:p w14:paraId="1CB9241C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i) compras sustentáveis, priorizando fornecedores que adotem práticas ambientais e sociais responsáveis;</w:t>
      </w:r>
    </w:p>
    <w:p w14:paraId="05AB100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</w:t>
      </w:r>
      <w:proofErr w:type="spellEnd"/>
      <w:r w:rsidRPr="00BA263D">
        <w:rPr>
          <w:rFonts w:cs="Arial"/>
          <w:szCs w:val="24"/>
          <w:lang w:val="pt-BR"/>
        </w:rPr>
        <w:t>) gestão eficiente de resíduos logísticos, com foco na redução, reutilização e reciclagem de materiais;</w:t>
      </w:r>
    </w:p>
    <w:p w14:paraId="0E93A050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iii</w:t>
      </w:r>
      <w:proofErr w:type="spellEnd"/>
      <w:r w:rsidRPr="00BA263D">
        <w:rPr>
          <w:rFonts w:cs="Arial"/>
          <w:szCs w:val="24"/>
          <w:lang w:val="pt-BR"/>
        </w:rPr>
        <w:t>) uso racional de energia e água em agências e unidades administrativas;</w:t>
      </w:r>
    </w:p>
    <w:p w14:paraId="5079CB84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proofErr w:type="spellStart"/>
      <w:r w:rsidRPr="00BA263D">
        <w:rPr>
          <w:rFonts w:cs="Arial"/>
          <w:szCs w:val="24"/>
          <w:lang w:val="pt-BR"/>
        </w:rPr>
        <w:t>iv</w:t>
      </w:r>
      <w:proofErr w:type="spellEnd"/>
      <w:r w:rsidRPr="00BA263D">
        <w:rPr>
          <w:rFonts w:cs="Arial"/>
          <w:szCs w:val="24"/>
          <w:lang w:val="pt-BR"/>
        </w:rPr>
        <w:t>) digitalização de processos e redução do uso de papel;</w:t>
      </w:r>
    </w:p>
    <w:p w14:paraId="6B81787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v) monitoramento de emissões de carbono associadas às operações logísticas.</w:t>
      </w:r>
    </w:p>
    <w:p w14:paraId="60F7748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literatura evidencia que planos de logística sustentável reduzem custos operacionais, aumentam a eficiência e reforçam a reputação institucional (Barbieri &amp; Cajazeira, 2016; D’Agosto &amp; Oliveira, 2018). No caso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essas medidas podem gerar impacto positivo não apenas econômico, mas também social, ao estimular práticas sustentáveis na rede de fornecedores locais e ao engajar colaboradores em processos de conscientização ambiental.</w:t>
      </w:r>
    </w:p>
    <w:p w14:paraId="103F20DD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Cabe destacar que a capacitação e o engajamento de funcionários são elementos-chave para o sucesso do plano. Como observa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(2013), a cultura organizacional precisa ser permeada pela sustentabilidade, sob pena de iniciativas isoladas não se consolidarem. Dessa forma, recomenda-se a implementação de programas de educação corporativa voltados à logística sustentável, fortalecendo a adesão e a participação ativa dos colaboradores.</w:t>
      </w:r>
    </w:p>
    <w:p w14:paraId="60DC776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4.4 Impacto da Pandemia de Covid-19</w:t>
      </w:r>
    </w:p>
    <w:p w14:paraId="04DCADD1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A pandemia de Covid-19 trouxe impactos significativos para a gestão socioambiental e logística das organizações. Na Instituição Financeira paraense, observou-se aceleração da digitalização de serviços, ampliação do trabalho remoto e maior utilização de canais digitais, o que reduziu a necessidade de deslocamentos e o consumo de papel. Essa transformação </w:t>
      </w:r>
      <w:r w:rsidRPr="00BA263D">
        <w:rPr>
          <w:rFonts w:cs="Arial"/>
          <w:szCs w:val="24"/>
          <w:lang w:val="pt-BR"/>
        </w:rPr>
        <w:lastRenderedPageBreak/>
        <w:t>inesperada demonstrou que mudanças estruturais são possíveis em curto prazo, desde que associadas a pressões externas e à necessidade de adaptação (Terra Ambiental, 2021).</w:t>
      </w:r>
    </w:p>
    <w:p w14:paraId="2104DBC8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Esse cenário confirma a tese de 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>; Doliveira &amp; Silva (2017), segundo a qual momentos de crise funcionam como catalisadores de inovação organizacional. Além disso, como defendem Barbieri &amp; Cajazeira (2016), crises socioambientais podem reforçar a percepção da sustentabilidade não como custo, mas como investimento estratégico para resiliência e continuidade dos negócios.</w:t>
      </w:r>
    </w:p>
    <w:p w14:paraId="52704B9E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4.5 Discussão</w:t>
      </w:r>
    </w:p>
    <w:p w14:paraId="3911BC9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>Os resultados do estudo indicam que a integração entre logística sustentável, fatores ESG e Agenda 2030 fortalece a competitividade institucional, ao mesmo tempo em que gera benefícios sociais e ambientais. Esse achado reforça a literatura de Barbieri &amp; Cajazeira (2016), que defendem a sustentabilidade como eixo central da estratégia organizacional.</w:t>
      </w:r>
    </w:p>
    <w:p w14:paraId="787C1483" w14:textId="77777777" w:rsidR="00BA263D" w:rsidRPr="00BA263D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No caso específico do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o contexto amazônico confere maior responsabilidade e potencial de impacto. Como observam Assaf Neto &amp; Lima (2011), bancos públicos têm papel indutor no desenvolvimento econômico, podendo direcionar crédito e investimentos para cadeias produtivas sustentáveis. Portanto, a adoção de um plano de logística sustentável representa não apenas uma melhoria operacional, mas uma contribuição estratégica para a região em que atua.</w:t>
      </w:r>
    </w:p>
    <w:p w14:paraId="50937A65" w14:textId="4B2BDFDF" w:rsidR="00E461A6" w:rsidRPr="001F7DEA" w:rsidRDefault="00BA263D" w:rsidP="00BA263D">
      <w:pPr>
        <w:jc w:val="both"/>
        <w:rPr>
          <w:rFonts w:cs="Arial"/>
          <w:szCs w:val="24"/>
          <w:lang w:val="pt-BR"/>
        </w:rPr>
      </w:pPr>
      <w:r w:rsidRPr="00BA263D">
        <w:rPr>
          <w:rFonts w:cs="Arial"/>
          <w:szCs w:val="24"/>
          <w:lang w:val="pt-BR"/>
        </w:rPr>
        <w:t xml:space="preserve">Outro ponto relevante é a necessidade de superar práticas fragmentadas e caminhar em direção à institucionalização da sustentabilidade. A literatura de </w:t>
      </w:r>
      <w:proofErr w:type="spellStart"/>
      <w:r w:rsidRPr="00BA263D">
        <w:rPr>
          <w:rFonts w:cs="Arial"/>
          <w:szCs w:val="24"/>
          <w:lang w:val="pt-BR"/>
        </w:rPr>
        <w:t>Munck</w:t>
      </w:r>
      <w:proofErr w:type="spellEnd"/>
      <w:r w:rsidRPr="00BA263D">
        <w:rPr>
          <w:rFonts w:cs="Arial"/>
          <w:szCs w:val="24"/>
          <w:lang w:val="pt-BR"/>
        </w:rPr>
        <w:t xml:space="preserve"> (2013) e </w:t>
      </w:r>
      <w:proofErr w:type="spellStart"/>
      <w:r w:rsidRPr="00BA263D">
        <w:rPr>
          <w:rFonts w:cs="Arial"/>
          <w:szCs w:val="24"/>
          <w:lang w:val="pt-BR"/>
        </w:rPr>
        <w:t>Kuzma</w:t>
      </w:r>
      <w:proofErr w:type="spellEnd"/>
      <w:r w:rsidRPr="00BA263D">
        <w:rPr>
          <w:rFonts w:cs="Arial"/>
          <w:szCs w:val="24"/>
          <w:lang w:val="pt-BR"/>
        </w:rPr>
        <w:t xml:space="preserve">; Doliveira &amp; Silva (2017) ressalta que a integração entre competências organizacionais e práticas sustentáveis gera inovação, diferenciação competitiva e maior legitimidade social. O Instituição Financeira </w:t>
      </w:r>
      <w:proofErr w:type="spellStart"/>
      <w:r w:rsidRPr="00BA263D">
        <w:rPr>
          <w:rFonts w:cs="Arial"/>
          <w:szCs w:val="24"/>
          <w:lang w:val="pt-BR"/>
        </w:rPr>
        <w:t>paranese</w:t>
      </w:r>
      <w:proofErr w:type="spellEnd"/>
      <w:r w:rsidRPr="00BA263D">
        <w:rPr>
          <w:rFonts w:cs="Arial"/>
          <w:szCs w:val="24"/>
          <w:lang w:val="pt-BR"/>
        </w:rPr>
        <w:t>, ao implementar seu plano de logística sustentável, tem a oportunidade de se posicionar como modelo para outras instituições financeiras regionais.</w:t>
      </w:r>
    </w:p>
    <w:p w14:paraId="4727290C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5. Conclusão e Contribuições</w:t>
      </w:r>
    </w:p>
    <w:p w14:paraId="0710D105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Este artigo analisou a gestão socioambiental em uma Instituição Financeira paraense, com foco na implementação de um Plano de Logística Sustentável (PLS) alinhado aos fatores ESG e à Agenda 2030. A pesquisa revelou que, embora a instituição já possua políticas socioambientais consolidadas, há necessidade de ampliar a integração dessas diretrizes ao nível operacional, especialmente no que diz respeito à logística, à mensuração de impactos e à sistematização de indicadores.</w:t>
      </w:r>
    </w:p>
    <w:p w14:paraId="2B2F58A7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lastRenderedPageBreak/>
        <w:t xml:space="preserve">Constatou-se que o PLS contribui para a eficiência operacional ao racionalizar o uso de recursos, reduzir custos e promover maior transparência. Mais do que isso, fortalece a imagem institucional, agregando valor </w:t>
      </w:r>
      <w:proofErr w:type="spellStart"/>
      <w:r w:rsidRPr="00F93732">
        <w:rPr>
          <w:rFonts w:cs="Arial"/>
          <w:szCs w:val="24"/>
          <w:lang w:val="pt-BR"/>
        </w:rPr>
        <w:t>reputacional</w:t>
      </w:r>
      <w:proofErr w:type="spellEnd"/>
      <w:r w:rsidRPr="00F93732">
        <w:rPr>
          <w:rFonts w:cs="Arial"/>
          <w:szCs w:val="24"/>
          <w:lang w:val="pt-BR"/>
        </w:rPr>
        <w:t xml:space="preserve"> e legitimidade social. Como destaca </w:t>
      </w:r>
      <w:proofErr w:type="spellStart"/>
      <w:r w:rsidRPr="00F93732">
        <w:rPr>
          <w:rFonts w:cs="Arial"/>
          <w:szCs w:val="24"/>
          <w:lang w:val="pt-BR"/>
        </w:rPr>
        <w:t>Munck</w:t>
      </w:r>
      <w:proofErr w:type="spellEnd"/>
      <w:r w:rsidRPr="00F93732">
        <w:rPr>
          <w:rFonts w:cs="Arial"/>
          <w:szCs w:val="24"/>
          <w:lang w:val="pt-BR"/>
        </w:rPr>
        <w:t xml:space="preserve"> (2013), a sustentabilidade organizacional precisa transcender o discurso e ser internalizada na cultura institucional, o que exige esforços de sensibilização, capacitação e engajamento de colaboradores.</w:t>
      </w:r>
    </w:p>
    <w:p w14:paraId="5268BC1C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Do ponto de vista teórico, a principal contribuição deste estudo está na articulação entre logística sustentável e governança ESG no âmbito de uma instituição financeira pública regional, um tema ainda pouco explorado na literatura acadêmica. Essa análise reforça a pertinência de integrar a dimensão logística à discussão sobre responsabilidade socioambiental, evidenciando que a sustentabilidade não pode ser dissociada das operações cotidianas.</w:t>
      </w:r>
    </w:p>
    <w:p w14:paraId="170555EA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No campo prático, o estudo oferece recomendações aplicáveis ao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e a instituições similares: implementação de critérios socioambientais em compras e contratações; criação de indicadores de impacto logístico (emissões, resíduos, consumo de recursos); incentivo à digitalização e à gestão de resíduos; e fortalecimento da cultura organizacional por meio de programas de educação corporativa. Essas medidas podem ser replicadas em outros bancos regionais, empresas estatais e órgãos públicos.</w:t>
      </w:r>
    </w:p>
    <w:p w14:paraId="42BDC062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Do ponto de vista social e ambiental, o trabalho reforça a responsabilidade ampliada de instituições localizadas em regiões estratégicas, como a Amazônia, onde a sustentabilidade não é apenas um valor agregado, mas uma condição para o equilíbrio ecológico e a inclusão social. Nesse sentido, 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tem o potencial de se consolidar como agente de desenvolvimento sustentável regional, estimulando práticas empresariais coerentes e fomentando negócios de impacto social.</w:t>
      </w:r>
    </w:p>
    <w:p w14:paraId="048A494B" w14:textId="77777777" w:rsidR="00F93732" w:rsidRPr="00F93732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Entre as limitações da pesquisa, destaca-se o caráter qualitativo e de estudo de caso único, que restringe a generalização dos achados. Contudo, como ressaltam </w:t>
      </w:r>
      <w:proofErr w:type="spellStart"/>
      <w:r w:rsidRPr="00F93732">
        <w:rPr>
          <w:rFonts w:cs="Arial"/>
          <w:szCs w:val="24"/>
          <w:lang w:val="pt-BR"/>
        </w:rPr>
        <w:t>Sampieri</w:t>
      </w:r>
      <w:proofErr w:type="spellEnd"/>
      <w:r w:rsidRPr="00F93732">
        <w:rPr>
          <w:rFonts w:cs="Arial"/>
          <w:szCs w:val="24"/>
          <w:lang w:val="pt-BR"/>
        </w:rPr>
        <w:t xml:space="preserve">, </w:t>
      </w:r>
      <w:proofErr w:type="spellStart"/>
      <w:r w:rsidRPr="00F93732">
        <w:rPr>
          <w:rFonts w:cs="Arial"/>
          <w:szCs w:val="24"/>
          <w:lang w:val="pt-BR"/>
        </w:rPr>
        <w:t>Collado</w:t>
      </w:r>
      <w:proofErr w:type="spellEnd"/>
      <w:r w:rsidRPr="00F93732">
        <w:rPr>
          <w:rFonts w:cs="Arial"/>
          <w:szCs w:val="24"/>
          <w:lang w:val="pt-BR"/>
        </w:rPr>
        <w:t xml:space="preserve"> e Lucio (2013), esse tipo de abordagem permite aprofundar a compreensão de contextos complexos e gerar hipóteses para pesquisas futuras. Recomenda-se que investigações posteriores explorem comparações entre diferentes instituições financeiras, avaliem a efetividade dos indicadores propostos e aprofundem a análise da relação entre sustentabilidade e performance econômica.</w:t>
      </w:r>
    </w:p>
    <w:p w14:paraId="2727973E" w14:textId="482A85FB" w:rsidR="00E461A6" w:rsidRPr="001F7DEA" w:rsidRDefault="00F93732" w:rsidP="00F93732">
      <w:p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Conclui-se, portanto, que a integração entre logística sustentável, Agenda 2030 e fatores ESG é um caminho indispensável para instituições financeiras que desejam conciliar desenvolvimento econômico com responsabilidade social e ambiental. O caso do Instituição Financeira </w:t>
      </w:r>
      <w:proofErr w:type="spellStart"/>
      <w:r w:rsidRPr="00F93732">
        <w:rPr>
          <w:rFonts w:cs="Arial"/>
          <w:szCs w:val="24"/>
          <w:lang w:val="pt-BR"/>
        </w:rPr>
        <w:t>paranese</w:t>
      </w:r>
      <w:proofErr w:type="spellEnd"/>
      <w:r w:rsidRPr="00F93732">
        <w:rPr>
          <w:rFonts w:cs="Arial"/>
          <w:szCs w:val="24"/>
          <w:lang w:val="pt-BR"/>
        </w:rPr>
        <w:t xml:space="preserve"> mostra que é possível avançar nessa direção por meio de medidas concretas, monitoráveis </w:t>
      </w:r>
      <w:r w:rsidRPr="00F93732">
        <w:rPr>
          <w:rFonts w:cs="Arial"/>
          <w:szCs w:val="24"/>
          <w:lang w:val="pt-BR"/>
        </w:rPr>
        <w:lastRenderedPageBreak/>
        <w:t>e replicáveis, que fortalecem a governança, ampliam a competitividade e contribuem para um modelo de desenvolvimento mais justo e sustentável no século XXI.</w:t>
      </w:r>
    </w:p>
    <w:p w14:paraId="794B7DFD" w14:textId="77777777" w:rsidR="00572D56" w:rsidRPr="001F7DEA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1F7DEA">
        <w:rPr>
          <w:rFonts w:ascii="Arial" w:hAnsi="Arial" w:cs="Arial"/>
          <w:color w:val="auto"/>
          <w:sz w:val="24"/>
          <w:szCs w:val="24"/>
          <w:lang w:val="pt-BR"/>
        </w:rPr>
        <w:t>Referências Bibliográficas</w:t>
      </w:r>
    </w:p>
    <w:p w14:paraId="685E24CE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ASSAF NETO, Alexandre; LIMA, Fabiano </w:t>
      </w:r>
      <w:proofErr w:type="spellStart"/>
      <w:r w:rsidRPr="00F93732">
        <w:rPr>
          <w:rFonts w:cs="Arial"/>
          <w:szCs w:val="24"/>
          <w:lang w:val="pt-BR"/>
        </w:rPr>
        <w:t>Guasti</w:t>
      </w:r>
      <w:proofErr w:type="spellEnd"/>
      <w:r w:rsidRPr="00F93732">
        <w:rPr>
          <w:rFonts w:cs="Arial"/>
          <w:szCs w:val="24"/>
          <w:lang w:val="pt-BR"/>
        </w:rPr>
        <w:t>. Mercado financeiro. 11. ed. São Paulo: Atlas, 2011.</w:t>
      </w:r>
    </w:p>
    <w:p w14:paraId="7EB6DB48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BARBIERI, José Carlos; CAJAZEIRA, José Eduardo Ribeiro. Responsabilidade social empresarial e empresa sustentável: da teoria à prática. São Paulo: Saraiva, 2016.</w:t>
      </w:r>
    </w:p>
    <w:p w14:paraId="4807614D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BRASIL. Ministério da Economia. Plano de Logística Sustentável. Brasília: ME, 2022a.</w:t>
      </w:r>
    </w:p>
    <w:p w14:paraId="5E2CA27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D’AGOSTO, Márcio A.; OLIVEIRA, Luís K. de. Logística sustentável. Rio de Janeiro: </w:t>
      </w:r>
      <w:proofErr w:type="spellStart"/>
      <w:r w:rsidRPr="00F93732">
        <w:rPr>
          <w:rFonts w:cs="Arial"/>
          <w:szCs w:val="24"/>
          <w:lang w:val="pt-BR"/>
        </w:rPr>
        <w:t>Elsevier</w:t>
      </w:r>
      <w:proofErr w:type="spellEnd"/>
      <w:r w:rsidRPr="00F93732">
        <w:rPr>
          <w:rFonts w:cs="Arial"/>
          <w:szCs w:val="24"/>
          <w:lang w:val="pt-BR"/>
        </w:rPr>
        <w:t>, 2018.</w:t>
      </w:r>
    </w:p>
    <w:p w14:paraId="71615A63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ETHOS. Instituto Ethos de Empresas e Responsabilidade Social. Indicadores Ethos de responsabilidade social empresarial. São Paulo: Ethos, 2009.</w:t>
      </w:r>
    </w:p>
    <w:p w14:paraId="3ED579C8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FURTADO, Celso. Responsabilidade socioambiental nas organizações. Portal Educação, 2003.</w:t>
      </w:r>
    </w:p>
    <w:p w14:paraId="1EADC433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HOFFMAN, Andrew. Gestão ambiental e estratégias empresariais. In: MACEDO, João; OLIVEIRA, Luís (org.). Revista de Administração. São Paulo, 2005.</w:t>
      </w:r>
    </w:p>
    <w:p w14:paraId="0B4CAA81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KOTLER, Philip; ARMSTRONG, Gary. Princípios de marketing. 16. ed. São Paulo: Pearson Prentice Hall, 2015.</w:t>
      </w:r>
    </w:p>
    <w:p w14:paraId="1735BF67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KUZMA, Edson; DOLIVEIRA, Carlos; SILVA, Leandro. Competências organizacionais e sustentabilidade: desafios e perspectivas. Revista de Administração Contemporânea, v. 21, n. 2, p. 243-263, 2017.</w:t>
      </w:r>
    </w:p>
    <w:p w14:paraId="03FC902A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MUNCK, Luciano. Sustentabilidade organizacional: estratégias, indicadores e práticas. São Paulo: Atlas, 2013.</w:t>
      </w:r>
    </w:p>
    <w:p w14:paraId="0B334226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PEREIRA, Adriana. Metodologia científica: fundamentos e práticas. São Paulo: Atlas, 2019.</w:t>
      </w:r>
    </w:p>
    <w:p w14:paraId="487D69B2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PEREIRA, Flávio; SILVA, João. Marketing sustentável: conceitos, desafios e perspectivas. Revista de Administração e Inovação, v. 16, n. 3, p. 112-129, 2019.</w:t>
      </w:r>
    </w:p>
    <w:p w14:paraId="0E4CACDB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SAMPIERI, Roberto Hernández; COLLADO, Carlos Fernández; LUCIO, Pilar Baptista. Metodologia de pesquisa. 5. ed. Porto Alegre: Penso, 2013.</w:t>
      </w:r>
    </w:p>
    <w:p w14:paraId="2E90033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SBCOACHING. Sustentabilidade empresarial: conceitos e práticas. São Paulo: </w:t>
      </w:r>
      <w:proofErr w:type="spellStart"/>
      <w:r w:rsidRPr="00F93732">
        <w:rPr>
          <w:rFonts w:cs="Arial"/>
          <w:szCs w:val="24"/>
          <w:lang w:val="pt-BR"/>
        </w:rPr>
        <w:t>SBCoaching</w:t>
      </w:r>
      <w:proofErr w:type="spellEnd"/>
      <w:r w:rsidRPr="00F93732">
        <w:rPr>
          <w:rFonts w:cs="Arial"/>
          <w:szCs w:val="24"/>
          <w:lang w:val="pt-BR"/>
        </w:rPr>
        <w:t>, 2019.</w:t>
      </w:r>
    </w:p>
    <w:p w14:paraId="65D7E430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>TERRA AMBIENTAL. Sustentabilidade empresarial: conceitos e práticas. São Paulo: Terra Ambiental, 2021.</w:t>
      </w:r>
    </w:p>
    <w:p w14:paraId="265A00C5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lastRenderedPageBreak/>
        <w:t xml:space="preserve">UNITED NATIONS (ONU). </w:t>
      </w:r>
      <w:proofErr w:type="spellStart"/>
      <w:r w:rsidRPr="00F93732">
        <w:rPr>
          <w:rFonts w:cs="Arial"/>
          <w:szCs w:val="24"/>
          <w:lang w:val="pt-BR"/>
        </w:rPr>
        <w:t>Transforming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our</w:t>
      </w:r>
      <w:proofErr w:type="spellEnd"/>
      <w:r w:rsidRPr="00F93732">
        <w:rPr>
          <w:rFonts w:cs="Arial"/>
          <w:szCs w:val="24"/>
          <w:lang w:val="pt-BR"/>
        </w:rPr>
        <w:t xml:space="preserve"> world: </w:t>
      </w:r>
      <w:proofErr w:type="spellStart"/>
      <w:r w:rsidRPr="00F93732">
        <w:rPr>
          <w:rFonts w:cs="Arial"/>
          <w:szCs w:val="24"/>
          <w:lang w:val="pt-BR"/>
        </w:rPr>
        <w:t>the</w:t>
      </w:r>
      <w:proofErr w:type="spellEnd"/>
      <w:r w:rsidRPr="00F93732">
        <w:rPr>
          <w:rFonts w:cs="Arial"/>
          <w:szCs w:val="24"/>
          <w:lang w:val="pt-BR"/>
        </w:rPr>
        <w:t xml:space="preserve"> 2030 Agenda for </w:t>
      </w:r>
      <w:proofErr w:type="spellStart"/>
      <w:r w:rsidRPr="00F93732">
        <w:rPr>
          <w:rFonts w:cs="Arial"/>
          <w:szCs w:val="24"/>
          <w:lang w:val="pt-BR"/>
        </w:rPr>
        <w:t>Sustainable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Development</w:t>
      </w:r>
      <w:proofErr w:type="spellEnd"/>
      <w:r w:rsidRPr="00F93732">
        <w:rPr>
          <w:rFonts w:cs="Arial"/>
          <w:szCs w:val="24"/>
          <w:lang w:val="pt-BR"/>
        </w:rPr>
        <w:t>. New York: UN, 2015.</w:t>
      </w:r>
    </w:p>
    <w:p w14:paraId="65DC5EA7" w14:textId="77777777" w:rsidR="00F93732" w:rsidRPr="00F93732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WCED (World </w:t>
      </w:r>
      <w:proofErr w:type="spellStart"/>
      <w:r w:rsidRPr="00F93732">
        <w:rPr>
          <w:rFonts w:cs="Arial"/>
          <w:szCs w:val="24"/>
          <w:lang w:val="pt-BR"/>
        </w:rPr>
        <w:t>Commission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on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Environment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and</w:t>
      </w:r>
      <w:proofErr w:type="spellEnd"/>
      <w:r w:rsidRPr="00F93732">
        <w:rPr>
          <w:rFonts w:cs="Arial"/>
          <w:szCs w:val="24"/>
          <w:lang w:val="pt-BR"/>
        </w:rPr>
        <w:t xml:space="preserve"> </w:t>
      </w:r>
      <w:proofErr w:type="spellStart"/>
      <w:r w:rsidRPr="00F93732">
        <w:rPr>
          <w:rFonts w:cs="Arial"/>
          <w:szCs w:val="24"/>
          <w:lang w:val="pt-BR"/>
        </w:rPr>
        <w:t>Development</w:t>
      </w:r>
      <w:proofErr w:type="spellEnd"/>
      <w:r w:rsidRPr="00F93732">
        <w:rPr>
          <w:rFonts w:cs="Arial"/>
          <w:szCs w:val="24"/>
          <w:lang w:val="pt-BR"/>
        </w:rPr>
        <w:t xml:space="preserve">). </w:t>
      </w:r>
      <w:proofErr w:type="spellStart"/>
      <w:r w:rsidRPr="00F93732">
        <w:rPr>
          <w:rFonts w:cs="Arial"/>
          <w:szCs w:val="24"/>
          <w:lang w:val="pt-BR"/>
        </w:rPr>
        <w:t>Our</w:t>
      </w:r>
      <w:proofErr w:type="spellEnd"/>
      <w:r w:rsidRPr="00F93732">
        <w:rPr>
          <w:rFonts w:cs="Arial"/>
          <w:szCs w:val="24"/>
          <w:lang w:val="pt-BR"/>
        </w:rPr>
        <w:t xml:space="preserve"> Common Future. Oxford: Oxford </w:t>
      </w:r>
      <w:proofErr w:type="spellStart"/>
      <w:r w:rsidRPr="00F93732">
        <w:rPr>
          <w:rFonts w:cs="Arial"/>
          <w:szCs w:val="24"/>
          <w:lang w:val="pt-BR"/>
        </w:rPr>
        <w:t>University</w:t>
      </w:r>
      <w:proofErr w:type="spellEnd"/>
      <w:r w:rsidRPr="00F93732">
        <w:rPr>
          <w:rFonts w:cs="Arial"/>
          <w:szCs w:val="24"/>
          <w:lang w:val="pt-BR"/>
        </w:rPr>
        <w:t xml:space="preserve"> Press, 1987.</w:t>
      </w:r>
    </w:p>
    <w:p w14:paraId="6064BD4F" w14:textId="52282BBF" w:rsidR="00E461A6" w:rsidRPr="001F7DEA" w:rsidRDefault="00F93732" w:rsidP="00F93732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F93732">
        <w:rPr>
          <w:rFonts w:cs="Arial"/>
          <w:szCs w:val="24"/>
          <w:lang w:val="pt-BR"/>
        </w:rPr>
        <w:t xml:space="preserve">YIN, Robert K. Estudo de caso: planejamento e métodos. 5. ed. Porto Alegre: </w:t>
      </w:r>
      <w:proofErr w:type="spellStart"/>
      <w:r w:rsidRPr="00F93732">
        <w:rPr>
          <w:rFonts w:cs="Arial"/>
          <w:szCs w:val="24"/>
          <w:lang w:val="pt-BR"/>
        </w:rPr>
        <w:t>Bookman</w:t>
      </w:r>
      <w:proofErr w:type="spellEnd"/>
      <w:r w:rsidRPr="00F93732">
        <w:rPr>
          <w:rFonts w:cs="Arial"/>
          <w:szCs w:val="24"/>
          <w:lang w:val="pt-BR"/>
        </w:rPr>
        <w:t>, 2015.</w:t>
      </w:r>
    </w:p>
    <w:sectPr w:rsidR="00E461A6" w:rsidRPr="001F7DEA" w:rsidSect="005753F9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AE3B5" w14:textId="77777777" w:rsidR="00370760" w:rsidRDefault="00370760" w:rsidP="005753F9">
      <w:pPr>
        <w:spacing w:after="0" w:line="240" w:lineRule="auto"/>
      </w:pPr>
      <w:r>
        <w:separator/>
      </w:r>
    </w:p>
  </w:endnote>
  <w:endnote w:type="continuationSeparator" w:id="0">
    <w:p w14:paraId="5E0DDF14" w14:textId="77777777" w:rsidR="00370760" w:rsidRDefault="00370760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7A347" w14:textId="77777777" w:rsidR="00370760" w:rsidRDefault="00370760" w:rsidP="005753F9">
      <w:pPr>
        <w:spacing w:after="0" w:line="240" w:lineRule="auto"/>
      </w:pPr>
      <w:r>
        <w:separator/>
      </w:r>
    </w:p>
  </w:footnote>
  <w:footnote w:type="continuationSeparator" w:id="0">
    <w:p w14:paraId="15B384BF" w14:textId="77777777" w:rsidR="00370760" w:rsidRDefault="00370760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1D9C"/>
    <w:rsid w:val="001F7DEA"/>
    <w:rsid w:val="0029639D"/>
    <w:rsid w:val="002C6613"/>
    <w:rsid w:val="00326F90"/>
    <w:rsid w:val="00370760"/>
    <w:rsid w:val="003B66C3"/>
    <w:rsid w:val="00572D56"/>
    <w:rsid w:val="005753F9"/>
    <w:rsid w:val="006902AB"/>
    <w:rsid w:val="006949C4"/>
    <w:rsid w:val="00694CA6"/>
    <w:rsid w:val="008F50BC"/>
    <w:rsid w:val="00A72730"/>
    <w:rsid w:val="00AA1D8D"/>
    <w:rsid w:val="00AE5DF2"/>
    <w:rsid w:val="00B47730"/>
    <w:rsid w:val="00BA263D"/>
    <w:rsid w:val="00C72A84"/>
    <w:rsid w:val="00CB0664"/>
    <w:rsid w:val="00D70619"/>
    <w:rsid w:val="00E461A6"/>
    <w:rsid w:val="00ED1A39"/>
    <w:rsid w:val="00F34C19"/>
    <w:rsid w:val="00F93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B9E6C-000E-4D77-9AED-264E9E2D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4227</Words>
  <Characters>22829</Characters>
  <Application>Microsoft Office Word</Application>
  <DocSecurity>0</DocSecurity>
  <Lines>190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Conta da Microsoft</cp:lastModifiedBy>
  <cp:revision>5</cp:revision>
  <cp:lastPrinted>2025-05-08T18:58:00Z</cp:lastPrinted>
  <dcterms:created xsi:type="dcterms:W3CDTF">2025-05-08T23:45:00Z</dcterms:created>
  <dcterms:modified xsi:type="dcterms:W3CDTF">2025-09-16T02:41:00Z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