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SÍNDROME DE TAKOTSUBO: ASPECTOS EPIDEMIOLÓGICOS, FISIOPATOLÓGICOS E CLÍNICOS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18"/>
          <w:szCs w:val="18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Isabella Camilli Pereira de Oliveira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Ana Clara Lessa Florêncio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Lavínia de Novaes Oliveira Feitosa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Lívia Melo Silva Moreira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Maria Tayná Bispo Panta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Túlio Bomfim Belo Moura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Maria Gabriela Cavalheiro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bookmarkStart w:colFirst="0" w:colLast="0" w:name="_5jknf2gtdv7o" w:id="0"/>
      <w:bookmarkEnd w:id="0"/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Discente do curso de Medicina, Centro Universitário Cesmac;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Discente do curso de Medicina, Centro Universitário Cesmac;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Discente do curso de Medicina, Centro Universitário Cesmac;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Discente do curso de Medicina, Centro Universitário Cesmac;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Discente do curso de Medicina, Centro Universitário Cesmac;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Discente do curso de Medicina, Centro Universitário Cesmac;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do curso de Medicina, Centro Universitário Cesmac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*</w:t>
      </w:r>
      <w:hyperlink r:id="rId6">
        <w:r w:rsidDel="00000000" w:rsidR="00000000" w:rsidRPr="00000000">
          <w:rPr>
            <w:rFonts w:ascii="Arial" w:cs="Arial" w:eastAsia="Arial" w:hAnsi="Arial"/>
            <w:color w:val="000000"/>
            <w:sz w:val="18"/>
            <w:szCs w:val="18"/>
            <w:u w:val="single"/>
            <w:rtl w:val="0"/>
          </w:rPr>
          <w:t xml:space="preserve">isabellacamilli10@gmail.com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bookmarkStart w:colFirst="0" w:colLast="0" w:name="_u1c07ywyf3jm" w:id="1"/>
      <w:bookmarkEnd w:id="1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Introdução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. A síndrome de Takotsubo ou “síndrome do coração partido”, é uma condição cardíaca aguda caracterizada por disfunção transitória do ventrículo esquerdo, frequentemente desencadeada por estresse emocional ou físico intenso.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Objetivo:</w:t>
      </w:r>
      <w:r w:rsidDel="00000000" w:rsidR="00000000" w:rsidRPr="00000000">
        <w:rPr>
          <w:rFonts w:ascii="Arial" w:cs="Arial" w:eastAsia="Arial" w:hAnsi="Arial"/>
          <w:rtl w:val="0"/>
        </w:rPr>
        <w:t xml:space="preserve"> Apresentar uma síntese narrativa dos principais avanços no conhecimento sobre a síndrome de Takotsubo destacando aspectos epidemiológicos, fisiopatológicos e clínicos descritos nas últimas décadas.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Metodologia: </w:t>
      </w:r>
      <w:r w:rsidDel="00000000" w:rsidR="00000000" w:rsidRPr="00000000">
        <w:rPr>
          <w:rFonts w:ascii="Arial" w:cs="Arial" w:eastAsia="Arial" w:hAnsi="Arial"/>
          <w:rtl w:val="0"/>
        </w:rPr>
        <w:t xml:space="preserve">Foi realizada uma revisão narrativa da literatura na base PubMed, incluindo artigos originais e revisões em português, inglês ou espanhol, publicados entre 2015 e 2025. A busca utilizou os descritores cardiology AND women AND pathology , com filtros de idioma, período e tipo de publicação. Dos 2709 estudos inicialmente identificados, 25 foram avaliados integralmente e 2 atenderam aos critérios de inclusão, compondo a análise.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Resultados: </w:t>
      </w:r>
      <w:r w:rsidDel="00000000" w:rsidR="00000000" w:rsidRPr="00000000">
        <w:rPr>
          <w:rFonts w:ascii="Arial" w:cs="Arial" w:eastAsia="Arial" w:hAnsi="Arial"/>
          <w:rtl w:val="0"/>
        </w:rPr>
        <w:t xml:space="preserve">A síndrome de Takotsubo afeta principalmente mulheres pós-menopausa, correspondendo a 2–10% dos casos suspeitos de síndrome coronariana aguda. Sua fisiopatologia é multifatorial, envolvendo hiperativação simpática, excesso de catecolaminas, disfunção microvascular e alterações de sinalização intracelular. Apesar de geralmente reversível, pode causar complicações graves, como arritmias, insuficiência cardíaca, choque cardiogênico, tromboembolismo e, raramente, ruptura ventricular. O tratamento é de suporte, focado no manejo das complicações e prevenção de recorrências, com recuperação funcional na maioria dos pacientes.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Conclusões:</w:t>
      </w:r>
      <w:r w:rsidDel="00000000" w:rsidR="00000000" w:rsidRPr="00000000">
        <w:rPr>
          <w:rFonts w:ascii="Arial" w:cs="Arial" w:eastAsia="Arial" w:hAnsi="Arial"/>
          <w:rtl w:val="0"/>
        </w:rPr>
        <w:t xml:space="preserve"> A síndrome de Takotsubo constitui entidade clínica relevante, muitas vezes subdiagnosticada, mas de grande impacto devido à sua semelhança com o infarto. O reconhecimento precoce, associado ao manejo adequado das complicações, é essencial para a redução da morbimortalidade e melhor prognóstico.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rtl w:val="0"/>
        </w:rPr>
        <w:t xml:space="preserve"> Takotsubo. Cardiomiopatia. Síndrome coronariana aguda.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 BIBLIOGRÁFICAS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Y-HASSAN, Shams; TORNVALL, Per. Epidemiology, pathogenesis, and management of takotsubo syndrome. Clinical Autonomic Research, [S.l.], v. 28, n. 1, p. 53-65, 2018. DOI: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https://doi.org/10.1007/s10286-017-0465-z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OKOSHI, Katashi; OKOSHI, Marina Politi. Cardiomiopatia de takotsubo. Revista da Sociedade de Cardiologia do Estado de São Paulo, Botucatu-SP, v. 19, n. 1, p. 87-92, jan./mar. 2009. Disponível em: https://docs.bvsalud.org/biblioref/2021/09/429280/cardiomiopatia-de-takotsubo.pdf. Acesso em: 15 set. 2025.</w:t>
      </w:r>
    </w:p>
    <w:sectPr>
      <w:pgSz w:h="15840" w:w="12240" w:orient="portrait"/>
      <w:pgMar w:bottom="567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sabellacamilli10@gmail.com" TargetMode="External"/><Relationship Id="rId7" Type="http://schemas.openxmlformats.org/officeDocument/2006/relationships/hyperlink" Target="https://doi.org/10.1007/s10286-017-0465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