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Start w:id="1" w:name="_Hlk143160007"/>
      <w:bookmarkEnd w:id="0"/>
      <w:bookmarkEnd w:id="1"/>
    </w:p>
    <w:p w14:paraId="7510125C" w14:textId="2A675D60" w:rsidR="00B555C8" w:rsidRDefault="004D7B8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A1431">
        <w:rPr>
          <w:rFonts w:eastAsia="Times New Roman"/>
          <w:b/>
          <w:sz w:val="20"/>
          <w:szCs w:val="20"/>
          <w:lang w:val="pt-BR"/>
        </w:rPr>
        <w:t xml:space="preserve"> </w:t>
      </w:r>
      <w:r w:rsidR="00F723D1" w:rsidRPr="00F723D1">
        <w:rPr>
          <w:rFonts w:eastAsia="Times New Roman"/>
          <w:b/>
          <w:sz w:val="20"/>
          <w:szCs w:val="20"/>
          <w:lang w:val="pt-BR"/>
        </w:rPr>
        <w:t xml:space="preserve">Ecologia </w:t>
      </w:r>
    </w:p>
    <w:p w14:paraId="049D3E20" w14:textId="7895DF63" w:rsidR="00B555C8" w:rsidRDefault="004D7B8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1A1431"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Vertebrados </w:t>
      </w:r>
    </w:p>
    <w:p w14:paraId="1F64F7EA" w14:textId="77777777" w:rsidR="00B555C8" w:rsidRPr="00DB6571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7F879EE0" w14:textId="77777777" w:rsidR="00B555C8" w:rsidRPr="00DB6571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6782A4DB" w14:textId="77777777" w:rsidR="00203DFA" w:rsidRDefault="00203DF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203DFA">
        <w:rPr>
          <w:rFonts w:eastAsia="Times New Roman"/>
          <w:b/>
          <w:sz w:val="20"/>
          <w:szCs w:val="20"/>
          <w:lang w:val="pt-BR"/>
        </w:rPr>
        <w:t>MASSA CORPORAL DE AVES DE SUBOSQUE NO AGRESTE DE PERNAMBUCO E SUA RELAÇÃO COM A QUALIDADE DO HABITAT FLORESTAL</w:t>
      </w:r>
    </w:p>
    <w:p w14:paraId="0DFD43C1" w14:textId="0F4F330B" w:rsidR="00B73085" w:rsidRPr="007377F5" w:rsidRDefault="008C0734" w:rsidP="00B73085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Rafaelly Clemente dos Santos</w:t>
      </w:r>
      <w:r w:rsidRPr="00DB6571">
        <w:rPr>
          <w:rFonts w:eastAsia="Times New Roman"/>
          <w:sz w:val="20"/>
          <w:szCs w:val="20"/>
          <w:lang w:val="pt-BR"/>
        </w:rPr>
        <w:t xml:space="preserve">¹, </w:t>
      </w:r>
      <w:r w:rsidR="000326D2">
        <w:rPr>
          <w:rFonts w:eastAsia="Times New Roman"/>
          <w:sz w:val="20"/>
          <w:szCs w:val="20"/>
          <w:lang w:val="pt-BR"/>
        </w:rPr>
        <w:t>Nathalia Ferraz Silvestre</w:t>
      </w:r>
      <w:r w:rsidRPr="00DB6571">
        <w:rPr>
          <w:rFonts w:eastAsia="Times New Roman"/>
          <w:sz w:val="20"/>
          <w:szCs w:val="20"/>
          <w:lang w:val="pt-BR"/>
        </w:rPr>
        <w:t>²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0326D2" w:rsidRPr="000326D2">
        <w:rPr>
          <w:rFonts w:eastAsia="Times New Roman"/>
          <w:sz w:val="20"/>
          <w:szCs w:val="20"/>
          <w:lang w:val="pt-BR"/>
        </w:rPr>
        <w:t>Ana Beatriz Siqueira Novaes</w:t>
      </w:r>
      <w:r w:rsidR="00F17928" w:rsidRPr="00F17928">
        <w:rPr>
          <w:rFonts w:eastAsia="Times New Roman"/>
          <w:sz w:val="20"/>
          <w:szCs w:val="20"/>
          <w:lang w:val="pt-BR"/>
        </w:rPr>
        <w:t>³</w:t>
      </w:r>
      <w:r w:rsidR="000326D2">
        <w:rPr>
          <w:rFonts w:eastAsia="Times New Roman"/>
          <w:sz w:val="20"/>
          <w:szCs w:val="20"/>
          <w:lang w:val="pt-BR"/>
        </w:rPr>
        <w:t xml:space="preserve">, </w:t>
      </w:r>
      <w:r w:rsidR="000326D2" w:rsidRPr="000326D2">
        <w:rPr>
          <w:rFonts w:eastAsia="Times New Roman"/>
          <w:sz w:val="20"/>
          <w:szCs w:val="20"/>
          <w:lang w:val="pt-BR"/>
        </w:rPr>
        <w:t xml:space="preserve">Wallace Rodrigues </w:t>
      </w:r>
      <w:proofErr w:type="spellStart"/>
      <w:r w:rsidR="000326D2" w:rsidRPr="000326D2">
        <w:rPr>
          <w:rFonts w:eastAsia="Times New Roman"/>
          <w:sz w:val="20"/>
          <w:szCs w:val="20"/>
          <w:lang w:val="pt-BR"/>
        </w:rPr>
        <w:t>Telino</w:t>
      </w:r>
      <w:proofErr w:type="spellEnd"/>
      <w:r w:rsidR="000326D2">
        <w:rPr>
          <w:rFonts w:eastAsia="Times New Roman"/>
          <w:sz w:val="20"/>
          <w:szCs w:val="20"/>
          <w:lang w:val="pt-BR"/>
        </w:rPr>
        <w:t xml:space="preserve"> </w:t>
      </w:r>
      <w:r w:rsidR="000326D2" w:rsidRPr="000326D2">
        <w:rPr>
          <w:rFonts w:eastAsia="Times New Roman"/>
          <w:sz w:val="20"/>
          <w:szCs w:val="20"/>
          <w:lang w:val="pt-BR"/>
        </w:rPr>
        <w:t>Júnior</w:t>
      </w:r>
      <w:r w:rsidR="00F17928" w:rsidRPr="00F17928">
        <w:rPr>
          <w:rFonts w:eastAsia="Times New Roman"/>
          <w:sz w:val="20"/>
          <w:szCs w:val="20"/>
          <w:lang w:val="pt-BR"/>
        </w:rPr>
        <w:t>⁴</w:t>
      </w:r>
      <w:r w:rsidR="000326D2">
        <w:rPr>
          <w:rFonts w:eastAsia="Times New Roman"/>
          <w:sz w:val="20"/>
          <w:szCs w:val="20"/>
          <w:lang w:val="pt-BR"/>
        </w:rPr>
        <w:t xml:space="preserve">, </w:t>
      </w:r>
      <w:r w:rsidR="000326D2" w:rsidRPr="000326D2">
        <w:rPr>
          <w:rFonts w:eastAsia="Times New Roman"/>
          <w:sz w:val="20"/>
          <w:szCs w:val="20"/>
          <w:lang w:val="pt-BR"/>
        </w:rPr>
        <w:t>Rachel Maria de Lyra Neves</w:t>
      </w:r>
      <w:r w:rsidR="00F17928" w:rsidRPr="00F17928">
        <w:rPr>
          <w:rFonts w:eastAsia="Times New Roman"/>
          <w:sz w:val="20"/>
          <w:szCs w:val="20"/>
          <w:lang w:val="pt-BR"/>
        </w:rPr>
        <w:t>⁵</w:t>
      </w:r>
      <w:r w:rsidR="000326D2">
        <w:rPr>
          <w:rFonts w:eastAsia="Times New Roman"/>
          <w:sz w:val="20"/>
          <w:szCs w:val="20"/>
          <w:lang w:val="pt-BR"/>
        </w:rPr>
        <w:t>,</w:t>
      </w:r>
      <w:r w:rsidR="00820B0C">
        <w:rPr>
          <w:rFonts w:eastAsia="Times New Roman"/>
          <w:sz w:val="20"/>
          <w:szCs w:val="20"/>
          <w:lang w:val="pt-BR"/>
        </w:rPr>
        <w:t xml:space="preserve"> </w:t>
      </w:r>
      <w:r w:rsidR="00A5458F">
        <w:rPr>
          <w:rFonts w:eastAsia="Times New Roman"/>
          <w:sz w:val="20"/>
          <w:szCs w:val="20"/>
          <w:lang/>
        </w:rPr>
        <w:t>Phoeve Macario</w:t>
      </w:r>
      <w:r w:rsidR="00820B0C" w:rsidRPr="00820B0C">
        <w:rPr>
          <w:rFonts w:eastAsia="Times New Roman"/>
          <w:sz w:val="20"/>
          <w:szCs w:val="20"/>
          <w:lang w:val="pt-BR"/>
        </w:rPr>
        <w:t>⁶</w:t>
      </w:r>
      <w:r w:rsidR="00820B0C">
        <w:rPr>
          <w:rFonts w:eastAsia="Times New Roman"/>
          <w:sz w:val="20"/>
          <w:szCs w:val="20"/>
          <w:lang w:val="pt-BR"/>
        </w:rPr>
        <w:t>,</w:t>
      </w:r>
      <w:r w:rsidR="000326D2">
        <w:rPr>
          <w:rFonts w:eastAsia="Times New Roman"/>
          <w:sz w:val="20"/>
          <w:szCs w:val="20"/>
          <w:lang w:val="pt-BR"/>
        </w:rPr>
        <w:t xml:space="preserve"> </w:t>
      </w:r>
      <w:r w:rsidR="000326D2" w:rsidRPr="000326D2">
        <w:rPr>
          <w:rFonts w:eastAsia="Times New Roman"/>
          <w:sz w:val="20"/>
          <w:szCs w:val="20"/>
          <w:lang w:val="pt-BR"/>
        </w:rPr>
        <w:t>Guilherme Santos Toledo de Lima</w:t>
      </w:r>
      <w:r w:rsidR="007377F5">
        <w:rPr>
          <w:rFonts w:eastAsia="Times New Roman"/>
          <w:sz w:val="20"/>
          <w:szCs w:val="20"/>
          <w:vertAlign w:val="superscript"/>
          <w:lang w:val="pt-BR"/>
        </w:rPr>
        <w:t>7</w:t>
      </w:r>
    </w:p>
    <w:p w14:paraId="6BDB15C3" w14:textId="0EC1652F" w:rsidR="000E6B8B" w:rsidRPr="00A920FC" w:rsidRDefault="004D7B89" w:rsidP="00D47F07"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203DFA">
        <w:rPr>
          <w:rFonts w:eastAsia="Times New Roman"/>
          <w:sz w:val="20"/>
          <w:szCs w:val="20"/>
          <w:lang w:val="pt-BR"/>
        </w:rPr>
        <w:t>Universidade</w:t>
      </w:r>
      <w:r w:rsidRPr="00DB6571">
        <w:rPr>
          <w:rFonts w:eastAsia="Times New Roman"/>
          <w:sz w:val="20"/>
          <w:szCs w:val="20"/>
          <w:lang w:val="pt-BR"/>
        </w:rPr>
        <w:t xml:space="preserve"> Federal d</w:t>
      </w:r>
      <w:r w:rsidR="008C0734">
        <w:rPr>
          <w:rFonts w:eastAsia="Times New Roman"/>
          <w:sz w:val="20"/>
          <w:szCs w:val="20"/>
          <w:lang w:val="pt-BR"/>
        </w:rPr>
        <w:t>o Agreste de</w:t>
      </w:r>
      <w:r w:rsidRPr="00DB6571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 w:rsidRPr="00DB6571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8C0734">
        <w:rPr>
          <w:rFonts w:eastAsia="Times New Roman"/>
          <w:sz w:val="20"/>
          <w:szCs w:val="20"/>
          <w:lang w:val="pt-BR"/>
        </w:rPr>
        <w:t>APE</w:t>
      </w:r>
      <w:r w:rsidRPr="00DB6571">
        <w:rPr>
          <w:rFonts w:eastAsia="Times New Roman"/>
          <w:sz w:val="20"/>
          <w:szCs w:val="20"/>
          <w:lang w:val="pt-BR"/>
        </w:rPr>
        <w:t xml:space="preserve">), </w:t>
      </w:r>
      <w:r w:rsidRPr="00DB6571">
        <w:rPr>
          <w:rFonts w:eastAsia="Times New Roman"/>
          <w:iCs/>
          <w:sz w:val="20"/>
          <w:szCs w:val="20"/>
          <w:lang w:val="pt-BR"/>
        </w:rPr>
        <w:t xml:space="preserve">Campus </w:t>
      </w:r>
      <w:r w:rsidR="008C0734">
        <w:rPr>
          <w:rFonts w:eastAsia="Times New Roman"/>
          <w:iCs/>
          <w:sz w:val="20"/>
          <w:szCs w:val="20"/>
          <w:lang w:val="pt-BR"/>
        </w:rPr>
        <w:t>Garanhuns</w:t>
      </w:r>
      <w:r w:rsidRPr="00DB6571">
        <w:rPr>
          <w:rFonts w:eastAsia="Times New Roman"/>
          <w:iCs/>
          <w:sz w:val="20"/>
          <w:szCs w:val="20"/>
          <w:lang w:val="pt-BR"/>
        </w:rPr>
        <w:t>.</w:t>
      </w:r>
      <w:r w:rsidRPr="00DB6571">
        <w:rPr>
          <w:rFonts w:eastAsia="Times New Roman"/>
          <w:sz w:val="20"/>
          <w:szCs w:val="20"/>
          <w:lang w:val="pt-BR"/>
        </w:rPr>
        <w:t xml:space="preserve"> E-mail: </w:t>
      </w:r>
      <w:r w:rsidR="007B4997">
        <w:rPr>
          <w:rFonts w:eastAsia="Times New Roman"/>
          <w:sz w:val="20"/>
          <w:szCs w:val="20"/>
          <w:lang w:val="pt-BR"/>
        </w:rPr>
        <w:t>rafaellycssantos@gmail.com</w:t>
      </w:r>
      <w:r w:rsidR="00400995" w:rsidRPr="00400995">
        <w:rPr>
          <w:rFonts w:eastAsia="Times New Roman"/>
          <w:sz w:val="20"/>
          <w:szCs w:val="20"/>
          <w:lang w:val="pt-BR"/>
        </w:rPr>
        <w:t>¹</w:t>
      </w:r>
      <w:r w:rsidR="00400995">
        <w:rPr>
          <w:rFonts w:eastAsia="Times New Roman"/>
          <w:sz w:val="20"/>
          <w:szCs w:val="20"/>
          <w:lang w:val="pt-BR"/>
        </w:rPr>
        <w:t>,</w:t>
      </w:r>
      <w:r w:rsidR="00400995" w:rsidRPr="00400995">
        <w:rPr>
          <w:lang w:val="pt-BR"/>
        </w:rPr>
        <w:t xml:space="preserve"> </w:t>
      </w:r>
      <w:r w:rsidR="00400995" w:rsidRPr="00400995">
        <w:rPr>
          <w:rFonts w:eastAsia="Times New Roman"/>
          <w:sz w:val="20"/>
          <w:szCs w:val="20"/>
          <w:lang w:val="pt-BR"/>
        </w:rPr>
        <w:t>natsilvestre68@gmail.com²</w:t>
      </w:r>
      <w:r w:rsidR="00400995">
        <w:rPr>
          <w:rFonts w:eastAsia="Times New Roman"/>
          <w:sz w:val="20"/>
          <w:szCs w:val="20"/>
          <w:lang w:val="pt-BR"/>
        </w:rPr>
        <w:t>,</w:t>
      </w:r>
      <w:r w:rsidR="00400995" w:rsidRPr="00400995">
        <w:rPr>
          <w:lang w:val="pt-BR"/>
        </w:rPr>
        <w:t xml:space="preserve"> </w:t>
      </w:r>
      <w:r w:rsidR="00400995" w:rsidRPr="00400995">
        <w:rPr>
          <w:rFonts w:eastAsia="Times New Roman"/>
          <w:sz w:val="20"/>
          <w:szCs w:val="20"/>
          <w:lang w:val="pt-BR"/>
        </w:rPr>
        <w:t>siqueira.ab@outlook.com³</w:t>
      </w:r>
      <w:r w:rsidR="00400995">
        <w:rPr>
          <w:rFonts w:eastAsia="Times New Roman"/>
          <w:sz w:val="20"/>
          <w:szCs w:val="20"/>
          <w:lang w:val="pt-BR"/>
        </w:rPr>
        <w:t xml:space="preserve">, </w:t>
      </w:r>
      <w:r w:rsidR="00400995" w:rsidRPr="00400995">
        <w:rPr>
          <w:rFonts w:eastAsia="Times New Roman"/>
          <w:sz w:val="20"/>
          <w:szCs w:val="20"/>
          <w:lang w:val="pt-BR"/>
        </w:rPr>
        <w:t>wallace.telinojr@ufape.edu.br⁴</w:t>
      </w:r>
      <w:r w:rsidR="00400995">
        <w:rPr>
          <w:rFonts w:eastAsia="Times New Roman"/>
          <w:sz w:val="20"/>
          <w:szCs w:val="20"/>
          <w:lang w:val="pt-BR"/>
        </w:rPr>
        <w:t xml:space="preserve">, </w:t>
      </w:r>
      <w:r w:rsidR="00400995" w:rsidRPr="00400995">
        <w:rPr>
          <w:rFonts w:eastAsia="Times New Roman"/>
          <w:sz w:val="20"/>
          <w:szCs w:val="20"/>
          <w:lang w:val="pt-BR"/>
        </w:rPr>
        <w:t>rachel.lyraneves@ufape.edu.br⁵</w:t>
      </w:r>
      <w:r w:rsidR="006E2FEE">
        <w:rPr>
          <w:rFonts w:eastAsia="Times New Roman"/>
          <w:sz w:val="20"/>
          <w:szCs w:val="20"/>
          <w:lang w:val="pt-BR"/>
        </w:rPr>
        <w:t>,</w:t>
      </w:r>
      <w:r w:rsidR="00B8796B">
        <w:rPr>
          <w:rFonts w:eastAsia="Times New Roman"/>
          <w:sz w:val="20"/>
          <w:szCs w:val="20"/>
          <w:lang w:val="pt-BR"/>
        </w:rPr>
        <w:t xml:space="preserve"> </w:t>
      </w:r>
      <w:r w:rsidR="00EE5A93" w:rsidRPr="00A920FC">
        <w:rPr>
          <w:rFonts w:eastAsia="Times New Roman"/>
          <w:sz w:val="20"/>
          <w:szCs w:val="20"/>
          <w:lang/>
        </w:rPr>
        <w:t>phoevemacario@gmail.com</w:t>
      </w:r>
      <w:r w:rsidR="00EE5A93" w:rsidRPr="00A920FC">
        <w:rPr>
          <w:rFonts w:eastAsia="Times New Roman"/>
          <w:sz w:val="20"/>
          <w:szCs w:val="20"/>
          <w:vertAlign w:val="superscript"/>
          <w:lang/>
        </w:rPr>
        <w:t>6</w:t>
      </w:r>
      <w:r w:rsidR="00A5458F">
        <w:rPr>
          <w:rFonts w:eastAsia="Times New Roman"/>
          <w:sz w:val="20"/>
          <w:szCs w:val="20"/>
          <w:lang/>
        </w:rPr>
        <w:t>,</w:t>
      </w:r>
      <w:r w:rsidR="00EE5A93">
        <w:rPr>
          <w:rFonts w:eastAsia="Times New Roman"/>
          <w:sz w:val="20"/>
          <w:szCs w:val="20"/>
          <w:lang w:val="pt-BR"/>
        </w:rPr>
        <w:t xml:space="preserve"> </w:t>
      </w:r>
      <w:r w:rsidR="00EE5A93" w:rsidRPr="00A920FC">
        <w:rPr>
          <w:rFonts w:eastAsia="Times New Roman"/>
          <w:sz w:val="20"/>
          <w:szCs w:val="20"/>
          <w:lang w:val="pt-BR"/>
        </w:rPr>
        <w:t>guilherme.toledo@ufape.edu.br</w:t>
      </w:r>
      <w:r w:rsidR="00A920FC">
        <w:rPr>
          <w:rFonts w:eastAsia="Times New Roman"/>
          <w:sz w:val="20"/>
          <w:szCs w:val="20"/>
          <w:vertAlign w:val="superscript"/>
          <w:lang w:val="pt-BR"/>
        </w:rPr>
        <w:t>7</w:t>
      </w:r>
    </w:p>
    <w:p w14:paraId="3BF43CE1" w14:textId="63E7BB53" w:rsidR="00F17928" w:rsidRDefault="00F17928" w:rsidP="00F17928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 w14:paraId="776BD921" w14:textId="77777777" w:rsidR="00F17928" w:rsidRPr="00DB6571" w:rsidRDefault="00F17928" w:rsidP="007B4997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4BB99A28" w14:textId="77777777" w:rsidR="00B555C8" w:rsidRPr="00DB6571" w:rsidRDefault="004D7B89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DB6571">
        <w:rPr>
          <w:rFonts w:eastAsia="Times New Roman"/>
          <w:b/>
          <w:sz w:val="20"/>
          <w:szCs w:val="20"/>
          <w:lang w:val="pt-BR"/>
        </w:rPr>
        <w:t>INTRODUÇÃO</w:t>
      </w:r>
    </w:p>
    <w:p w14:paraId="79DA7CCC" w14:textId="3108CD43" w:rsidR="002D0764" w:rsidRDefault="00214956" w:rsidP="002D076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F17928">
        <w:rPr>
          <w:rFonts w:eastAsia="Times New Roman"/>
          <w:sz w:val="20"/>
          <w:szCs w:val="20"/>
          <w:lang w:val="pt-BR"/>
        </w:rPr>
        <w:t>O</w:t>
      </w:r>
      <w:r w:rsidR="00AE6395">
        <w:rPr>
          <w:rFonts w:eastAsia="Times New Roman"/>
          <w:sz w:val="20"/>
          <w:szCs w:val="20"/>
          <w:lang/>
        </w:rPr>
        <w:t>s</w:t>
      </w:r>
      <w:r w:rsidRPr="00F17928">
        <w:rPr>
          <w:rFonts w:eastAsia="Times New Roman"/>
          <w:sz w:val="20"/>
          <w:szCs w:val="20"/>
          <w:lang w:val="pt-BR"/>
        </w:rPr>
        <w:t xml:space="preserve"> estudo</w:t>
      </w:r>
      <w:r w:rsidR="00AE6395">
        <w:rPr>
          <w:rFonts w:eastAsia="Times New Roman"/>
          <w:sz w:val="20"/>
          <w:szCs w:val="20"/>
          <w:lang/>
        </w:rPr>
        <w:t>s</w:t>
      </w:r>
      <w:r w:rsidRPr="00F17928">
        <w:rPr>
          <w:rFonts w:eastAsia="Times New Roman"/>
          <w:sz w:val="20"/>
          <w:szCs w:val="20"/>
          <w:lang w:val="pt-BR"/>
        </w:rPr>
        <w:t xml:space="preserve"> da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massa corporal das aves </w:t>
      </w:r>
      <w:r w:rsidR="00AE6395">
        <w:rPr>
          <w:rFonts w:eastAsia="Times New Roman"/>
          <w:sz w:val="20"/>
          <w:szCs w:val="20"/>
          <w:lang/>
        </w:rPr>
        <w:t xml:space="preserve">são </w:t>
      </w:r>
      <w:r w:rsidR="002D0764" w:rsidRPr="002D0764">
        <w:rPr>
          <w:rFonts w:eastAsia="Times New Roman"/>
          <w:sz w:val="20"/>
          <w:szCs w:val="20"/>
          <w:lang w:val="pt-BR"/>
        </w:rPr>
        <w:t>crucia</w:t>
      </w:r>
      <w:r w:rsidR="00AE6395">
        <w:rPr>
          <w:rFonts w:eastAsia="Times New Roman"/>
          <w:sz w:val="20"/>
          <w:szCs w:val="20"/>
          <w:lang/>
        </w:rPr>
        <w:t>is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</w:t>
      </w:r>
      <w:r w:rsidR="00AE6395">
        <w:rPr>
          <w:rFonts w:eastAsia="Times New Roman"/>
          <w:sz w:val="20"/>
          <w:szCs w:val="20"/>
          <w:lang/>
        </w:rPr>
        <w:t>para a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compreensão de questões fisiológicas e ecológicas</w:t>
      </w:r>
      <w:r w:rsidRPr="00F17928">
        <w:rPr>
          <w:rFonts w:eastAsia="Times New Roman"/>
          <w:sz w:val="20"/>
          <w:szCs w:val="20"/>
          <w:lang w:val="pt-BR"/>
        </w:rPr>
        <w:t xml:space="preserve"> do grupo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(Silva, 1989). </w:t>
      </w:r>
      <w:r w:rsidR="00AE6395" w:rsidRPr="00AE6395">
        <w:rPr>
          <w:rFonts w:eastAsia="Times New Roman"/>
          <w:sz w:val="20"/>
          <w:szCs w:val="20"/>
          <w:lang/>
        </w:rPr>
        <w:t>A</w:t>
      </w:r>
      <w:r w:rsidRPr="00AE6395">
        <w:rPr>
          <w:rFonts w:eastAsia="Times New Roman"/>
          <w:sz w:val="20"/>
          <w:szCs w:val="20"/>
          <w:lang w:val="pt-BR"/>
        </w:rPr>
        <w:t xml:space="preserve"> qualidade do </w:t>
      </w:r>
      <w:r w:rsidR="002D0764" w:rsidRPr="00AE6395">
        <w:rPr>
          <w:rFonts w:eastAsia="Times New Roman"/>
          <w:sz w:val="20"/>
          <w:szCs w:val="20"/>
          <w:lang w:val="pt-BR"/>
        </w:rPr>
        <w:t>habitat</w:t>
      </w:r>
      <w:r w:rsidR="004B4D64" w:rsidRPr="00AE6395">
        <w:rPr>
          <w:rFonts w:eastAsia="Times New Roman"/>
          <w:sz w:val="20"/>
          <w:szCs w:val="20"/>
          <w:lang w:val="pt-BR"/>
        </w:rPr>
        <w:t xml:space="preserve"> e a sazonalidade climática</w:t>
      </w:r>
      <w:r w:rsidR="00AE6395" w:rsidRPr="00AE6395">
        <w:rPr>
          <w:rFonts w:eastAsia="Times New Roman"/>
          <w:sz w:val="20"/>
          <w:szCs w:val="20"/>
          <w:lang/>
        </w:rPr>
        <w:t>, por exemplo,</w:t>
      </w:r>
      <w:r w:rsidR="002D0764" w:rsidRPr="00AE6395">
        <w:rPr>
          <w:rFonts w:eastAsia="Times New Roman"/>
          <w:sz w:val="20"/>
          <w:szCs w:val="20"/>
          <w:lang w:val="pt-BR"/>
        </w:rPr>
        <w:t xml:space="preserve"> </w:t>
      </w:r>
      <w:r w:rsidRPr="00AE6395">
        <w:rPr>
          <w:rFonts w:eastAsia="Times New Roman"/>
          <w:sz w:val="20"/>
          <w:szCs w:val="20"/>
          <w:lang w:val="pt-BR"/>
        </w:rPr>
        <w:t>podem influenciar substancialmente</w:t>
      </w:r>
      <w:r w:rsidR="002D0764" w:rsidRPr="00AE6395">
        <w:rPr>
          <w:rFonts w:eastAsia="Times New Roman"/>
          <w:sz w:val="20"/>
          <w:szCs w:val="20"/>
          <w:lang w:val="pt-BR"/>
        </w:rPr>
        <w:t xml:space="preserve"> a </w:t>
      </w:r>
      <w:r w:rsidR="00627FFE" w:rsidRPr="00AE6395">
        <w:rPr>
          <w:rFonts w:eastAsia="Times New Roman"/>
          <w:sz w:val="20"/>
          <w:szCs w:val="20"/>
          <w:lang/>
        </w:rPr>
        <w:t>dieta das aves e, por cons</w:t>
      </w:r>
      <w:r w:rsidR="00AE6395" w:rsidRPr="00AE6395">
        <w:rPr>
          <w:rFonts w:eastAsia="Times New Roman"/>
          <w:sz w:val="20"/>
          <w:szCs w:val="20"/>
          <w:lang/>
        </w:rPr>
        <w:t>e</w:t>
      </w:r>
      <w:r w:rsidR="00627FFE" w:rsidRPr="00AE6395">
        <w:rPr>
          <w:rFonts w:eastAsia="Times New Roman"/>
          <w:sz w:val="20"/>
          <w:szCs w:val="20"/>
          <w:lang/>
        </w:rPr>
        <w:t xml:space="preserve">quência, a </w:t>
      </w:r>
      <w:r w:rsidR="002D0764" w:rsidRPr="00AE6395">
        <w:rPr>
          <w:rFonts w:eastAsia="Times New Roman"/>
          <w:sz w:val="20"/>
          <w:szCs w:val="20"/>
          <w:lang w:val="pt-BR"/>
        </w:rPr>
        <w:t xml:space="preserve">massa corporal </w:t>
      </w:r>
      <w:r w:rsidRPr="00AE6395">
        <w:rPr>
          <w:rFonts w:eastAsia="Times New Roman"/>
          <w:sz w:val="20"/>
          <w:szCs w:val="20"/>
          <w:lang w:val="pt-BR"/>
        </w:rPr>
        <w:t>das espécies</w:t>
      </w:r>
      <w:r w:rsidR="00AE6395" w:rsidRPr="00AE6395">
        <w:rPr>
          <w:rFonts w:eastAsia="Times New Roman"/>
          <w:sz w:val="20"/>
          <w:szCs w:val="20"/>
          <w:lang/>
        </w:rPr>
        <w:t>,</w:t>
      </w:r>
      <w:r w:rsidRPr="00AE6395">
        <w:rPr>
          <w:rFonts w:eastAsia="Times New Roman"/>
          <w:sz w:val="20"/>
          <w:szCs w:val="20"/>
          <w:lang w:val="pt-BR"/>
        </w:rPr>
        <w:t xml:space="preserve"> </w:t>
      </w:r>
      <w:r w:rsidR="00AE6395" w:rsidRPr="00AE6395">
        <w:rPr>
          <w:rFonts w:eastAsia="Times New Roman"/>
          <w:sz w:val="20"/>
          <w:szCs w:val="20"/>
          <w:lang/>
        </w:rPr>
        <w:t>graças</w:t>
      </w:r>
      <w:r w:rsidR="002D0764" w:rsidRPr="00AE6395">
        <w:rPr>
          <w:rFonts w:eastAsia="Times New Roman"/>
          <w:sz w:val="20"/>
          <w:szCs w:val="20"/>
          <w:lang w:val="pt-BR"/>
        </w:rPr>
        <w:t xml:space="preserve"> à</w:t>
      </w:r>
      <w:r w:rsidR="004B4D64" w:rsidRPr="00AE6395">
        <w:rPr>
          <w:rFonts w:eastAsia="Times New Roman"/>
          <w:sz w:val="20"/>
          <w:szCs w:val="20"/>
          <w:lang w:val="pt-BR"/>
        </w:rPr>
        <w:t xml:space="preserve">s variações </w:t>
      </w:r>
      <w:r w:rsidR="00AE6395" w:rsidRPr="00AE6395">
        <w:rPr>
          <w:rFonts w:eastAsia="Times New Roman"/>
          <w:sz w:val="20"/>
          <w:szCs w:val="20"/>
          <w:lang/>
        </w:rPr>
        <w:t>que promovem na</w:t>
      </w:r>
      <w:r w:rsidR="004B4D64" w:rsidRPr="00AE6395">
        <w:rPr>
          <w:rFonts w:eastAsia="Times New Roman"/>
          <w:sz w:val="20"/>
          <w:szCs w:val="20"/>
          <w:lang w:val="pt-BR"/>
        </w:rPr>
        <w:t xml:space="preserve"> oferta de alimento</w:t>
      </w:r>
      <w:r w:rsidR="00627FFE" w:rsidRPr="00AE6395">
        <w:rPr>
          <w:rFonts w:eastAsia="Times New Roman"/>
          <w:sz w:val="20"/>
          <w:szCs w:val="20"/>
          <w:lang/>
        </w:rPr>
        <w:t xml:space="preserve"> </w:t>
      </w:r>
      <w:r w:rsidR="000326D2" w:rsidRPr="00AE6395">
        <w:rPr>
          <w:rFonts w:eastAsia="Times New Roman"/>
          <w:sz w:val="20"/>
          <w:szCs w:val="20"/>
          <w:lang w:val="pt-BR"/>
        </w:rPr>
        <w:t>(Dantas, 2013).</w:t>
      </w:r>
      <w:r w:rsidR="00DB6571">
        <w:rPr>
          <w:rFonts w:eastAsia="Times New Roman"/>
          <w:sz w:val="20"/>
          <w:szCs w:val="20"/>
          <w:lang w:val="pt-BR"/>
        </w:rPr>
        <w:t xml:space="preserve"> </w:t>
      </w:r>
      <w:r w:rsidR="002D0764" w:rsidRPr="002D0764">
        <w:rPr>
          <w:rFonts w:eastAsia="Times New Roman"/>
          <w:sz w:val="20"/>
          <w:szCs w:val="20"/>
          <w:lang w:val="pt-BR"/>
        </w:rPr>
        <w:t>Florestas tropicais preservadas abrigam uma</w:t>
      </w:r>
      <w:r w:rsidRPr="00F17928">
        <w:rPr>
          <w:rFonts w:eastAsia="Times New Roman"/>
          <w:sz w:val="20"/>
          <w:szCs w:val="20"/>
          <w:lang w:val="pt-BR"/>
        </w:rPr>
        <w:t xml:space="preserve"> grande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diversidade de espécies</w:t>
      </w:r>
      <w:r w:rsidRPr="00F17928">
        <w:rPr>
          <w:rFonts w:eastAsia="Times New Roman"/>
          <w:sz w:val="20"/>
          <w:szCs w:val="20"/>
          <w:lang w:val="pt-BR"/>
        </w:rPr>
        <w:t xml:space="preserve"> e hábitos alimentares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, incluindo </w:t>
      </w:r>
      <w:r w:rsidRPr="00F17928">
        <w:rPr>
          <w:rFonts w:eastAsia="Times New Roman"/>
          <w:sz w:val="20"/>
          <w:szCs w:val="20"/>
          <w:lang w:val="pt-BR"/>
        </w:rPr>
        <w:t xml:space="preserve">espécies 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frugívoras e </w:t>
      </w:r>
      <w:proofErr w:type="spellStart"/>
      <w:r w:rsidR="002D0764" w:rsidRPr="002D0764">
        <w:rPr>
          <w:rFonts w:eastAsia="Times New Roman"/>
          <w:sz w:val="20"/>
          <w:szCs w:val="20"/>
          <w:lang w:val="pt-BR"/>
        </w:rPr>
        <w:t>invertívoras</w:t>
      </w:r>
      <w:proofErr w:type="spellEnd"/>
      <w:r w:rsidR="00DB6571" w:rsidRPr="00DB6571">
        <w:rPr>
          <w:rFonts w:eastAsia="Times New Roman"/>
          <w:sz w:val="20"/>
          <w:szCs w:val="20"/>
          <w:lang w:val="pt-BR"/>
        </w:rPr>
        <w:t xml:space="preserve"> </w:t>
      </w:r>
      <w:r w:rsidR="00DB6571">
        <w:rPr>
          <w:rFonts w:eastAsia="Times New Roman"/>
          <w:sz w:val="20"/>
          <w:szCs w:val="20"/>
          <w:lang w:val="pt-BR"/>
        </w:rPr>
        <w:t>(</w:t>
      </w:r>
      <w:proofErr w:type="spellStart"/>
      <w:r w:rsidR="00DB6571" w:rsidRPr="002D0764">
        <w:rPr>
          <w:rFonts w:eastAsia="Times New Roman"/>
          <w:sz w:val="20"/>
          <w:szCs w:val="20"/>
          <w:lang w:val="pt-BR"/>
        </w:rPr>
        <w:t>Sekercioglu</w:t>
      </w:r>
      <w:proofErr w:type="spellEnd"/>
      <w:r w:rsidR="00DB6571" w:rsidRPr="002D0764">
        <w:rPr>
          <w:rFonts w:eastAsia="Times New Roman"/>
          <w:sz w:val="20"/>
          <w:szCs w:val="20"/>
          <w:lang w:val="pt-BR"/>
        </w:rPr>
        <w:t>, 2012</w:t>
      </w:r>
      <w:r w:rsidR="00DB6571">
        <w:rPr>
          <w:rFonts w:eastAsia="Times New Roman"/>
          <w:sz w:val="20"/>
          <w:szCs w:val="20"/>
          <w:lang w:val="pt-BR"/>
        </w:rPr>
        <w:t xml:space="preserve">). </w:t>
      </w:r>
      <w:r w:rsidR="000326D2">
        <w:rPr>
          <w:rFonts w:eastAsia="Times New Roman"/>
          <w:sz w:val="20"/>
          <w:szCs w:val="20"/>
          <w:lang w:val="pt-BR"/>
        </w:rPr>
        <w:t xml:space="preserve">O </w:t>
      </w:r>
      <w:r w:rsidR="000326D2" w:rsidRPr="00DB6571">
        <w:rPr>
          <w:rFonts w:eastAsia="Times New Roman"/>
          <w:sz w:val="20"/>
          <w:szCs w:val="20"/>
          <w:lang w:val="pt-BR"/>
        </w:rPr>
        <w:t>desmatamento</w:t>
      </w:r>
      <w:r w:rsidR="00DB6571" w:rsidRPr="00DB6571">
        <w:rPr>
          <w:rFonts w:eastAsia="Times New Roman"/>
          <w:sz w:val="20"/>
          <w:szCs w:val="20"/>
          <w:lang w:val="pt-BR"/>
        </w:rPr>
        <w:t xml:space="preserve"> e a fragmentação destes habitats são conhecidos como os principais impulsionadores da perda </w:t>
      </w:r>
      <w:r w:rsidR="00AE6395">
        <w:rPr>
          <w:rFonts w:eastAsia="Times New Roman"/>
          <w:sz w:val="20"/>
          <w:szCs w:val="20"/>
          <w:lang/>
        </w:rPr>
        <w:t>de dive</w:t>
      </w:r>
      <w:proofErr w:type="spellStart"/>
      <w:r w:rsidR="00DB6571" w:rsidRPr="00DB6571">
        <w:rPr>
          <w:rFonts w:eastAsia="Times New Roman"/>
          <w:sz w:val="20"/>
          <w:szCs w:val="20"/>
          <w:lang w:val="pt-BR"/>
        </w:rPr>
        <w:t>rsidade</w:t>
      </w:r>
      <w:proofErr w:type="spellEnd"/>
      <w:r w:rsidR="00DB6571" w:rsidRPr="00DB6571">
        <w:rPr>
          <w:rFonts w:eastAsia="Times New Roman"/>
          <w:sz w:val="20"/>
          <w:szCs w:val="20"/>
          <w:lang w:val="pt-BR"/>
        </w:rPr>
        <w:t xml:space="preserve"> e pouco se sabe sobre a condição das espécies e indivíduos que permanecem nestes habitats perturbados (</w:t>
      </w:r>
      <w:proofErr w:type="spellStart"/>
      <w:r w:rsidR="00DB6571" w:rsidRPr="00DB6571">
        <w:rPr>
          <w:rFonts w:eastAsia="Times New Roman"/>
          <w:sz w:val="20"/>
          <w:szCs w:val="20"/>
          <w:lang w:val="pt-BR"/>
        </w:rPr>
        <w:t>K</w:t>
      </w:r>
      <w:r w:rsidR="00DB6571">
        <w:rPr>
          <w:rFonts w:eastAsia="Times New Roman"/>
          <w:sz w:val="20"/>
          <w:szCs w:val="20"/>
          <w:lang w:val="pt-BR"/>
        </w:rPr>
        <w:t>azo</w:t>
      </w:r>
      <w:proofErr w:type="spellEnd"/>
      <w:r w:rsidR="00DB6571" w:rsidRPr="00DB6571">
        <w:rPr>
          <w:rFonts w:eastAsia="Times New Roman"/>
          <w:sz w:val="20"/>
          <w:szCs w:val="20"/>
          <w:lang w:val="pt-BR"/>
        </w:rPr>
        <w:t xml:space="preserve"> </w:t>
      </w:r>
      <w:r w:rsidR="00DB6571" w:rsidRPr="00DB6571">
        <w:rPr>
          <w:rFonts w:eastAsia="Times New Roman"/>
          <w:i/>
          <w:iCs/>
          <w:sz w:val="20"/>
          <w:szCs w:val="20"/>
          <w:lang w:val="pt-BR"/>
        </w:rPr>
        <w:t>et al</w:t>
      </w:r>
      <w:r w:rsidR="00DB6571" w:rsidRPr="00DB6571">
        <w:rPr>
          <w:rFonts w:eastAsia="Times New Roman"/>
          <w:sz w:val="20"/>
          <w:szCs w:val="20"/>
          <w:lang w:val="pt-BR"/>
        </w:rPr>
        <w:t>.</w:t>
      </w:r>
      <w:r w:rsidR="00DB6571">
        <w:rPr>
          <w:rFonts w:eastAsia="Times New Roman"/>
          <w:sz w:val="20"/>
          <w:szCs w:val="20"/>
          <w:lang w:val="pt-BR"/>
        </w:rPr>
        <w:t>,</w:t>
      </w:r>
      <w:r w:rsidR="00AE6395">
        <w:rPr>
          <w:rFonts w:eastAsia="Times New Roman"/>
          <w:sz w:val="20"/>
          <w:szCs w:val="20"/>
          <w:lang/>
        </w:rPr>
        <w:t xml:space="preserve"> </w:t>
      </w:r>
      <w:r w:rsidR="00DB6571" w:rsidRPr="00DB6571">
        <w:rPr>
          <w:rFonts w:eastAsia="Times New Roman"/>
          <w:sz w:val="20"/>
          <w:szCs w:val="20"/>
          <w:lang w:val="pt-BR"/>
        </w:rPr>
        <w:t>2022), onde os recursos geralmente são mais limitados em comparação à oferta em seu estado original</w:t>
      </w:r>
      <w:r w:rsidR="00DB6571">
        <w:rPr>
          <w:rFonts w:eastAsia="Times New Roman"/>
          <w:sz w:val="20"/>
          <w:szCs w:val="20"/>
          <w:lang w:val="pt-BR"/>
        </w:rPr>
        <w:t xml:space="preserve">. </w:t>
      </w:r>
      <w:r w:rsidR="00AE6395">
        <w:rPr>
          <w:rFonts w:eastAsia="Times New Roman"/>
          <w:sz w:val="20"/>
          <w:szCs w:val="20"/>
          <w:lang/>
        </w:rPr>
        <w:t>Soma-se às mundanças espaciais aquelas relacionadas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</w:t>
      </w:r>
      <w:r w:rsidR="00AE6395">
        <w:rPr>
          <w:rFonts w:eastAsia="Times New Roman"/>
          <w:sz w:val="20"/>
          <w:szCs w:val="20"/>
          <w:lang/>
        </w:rPr>
        <w:t>às flutuações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sazonais </w:t>
      </w:r>
      <w:r w:rsidR="00AE6395">
        <w:rPr>
          <w:rFonts w:eastAsia="Times New Roman"/>
          <w:sz w:val="20"/>
          <w:szCs w:val="20"/>
          <w:lang/>
        </w:rPr>
        <w:t>na d</w:t>
      </w:r>
      <w:proofErr w:type="spellStart"/>
      <w:r w:rsidR="002D0764" w:rsidRPr="002D0764">
        <w:rPr>
          <w:rFonts w:eastAsia="Times New Roman"/>
          <w:sz w:val="20"/>
          <w:szCs w:val="20"/>
          <w:lang w:val="pt-BR"/>
        </w:rPr>
        <w:t>isponibilidade</w:t>
      </w:r>
      <w:proofErr w:type="spellEnd"/>
      <w:r w:rsidR="002D0764" w:rsidRPr="002D0764">
        <w:rPr>
          <w:rFonts w:eastAsia="Times New Roman"/>
          <w:sz w:val="20"/>
          <w:szCs w:val="20"/>
          <w:lang w:val="pt-BR"/>
        </w:rPr>
        <w:t xml:space="preserve"> de recursos alimentares, </w:t>
      </w:r>
      <w:r w:rsidR="00AE6395">
        <w:rPr>
          <w:rFonts w:eastAsia="Times New Roman"/>
          <w:sz w:val="20"/>
          <w:szCs w:val="20"/>
          <w:lang/>
        </w:rPr>
        <w:t>qua</w:t>
      </w:r>
      <w:r w:rsidR="00FE4751">
        <w:rPr>
          <w:rFonts w:eastAsia="Times New Roman"/>
          <w:sz w:val="20"/>
          <w:szCs w:val="20"/>
          <w:lang/>
        </w:rPr>
        <w:t>ndo</w:t>
      </w:r>
      <w:r w:rsidR="00AE6395">
        <w:rPr>
          <w:rFonts w:eastAsia="Times New Roman"/>
          <w:sz w:val="20"/>
          <w:szCs w:val="20"/>
          <w:lang/>
        </w:rPr>
        <w:t xml:space="preserve"> a oferta de presas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artrópodes </w:t>
      </w:r>
      <w:r w:rsidR="00FE4751">
        <w:rPr>
          <w:rFonts w:eastAsia="Times New Roman"/>
          <w:sz w:val="20"/>
          <w:szCs w:val="20"/>
          <w:lang/>
        </w:rPr>
        <w:t xml:space="preserve">é normalmente maior </w:t>
      </w:r>
      <w:r w:rsidR="002D0764" w:rsidRPr="002D0764">
        <w:rPr>
          <w:rFonts w:eastAsia="Times New Roman"/>
          <w:sz w:val="20"/>
          <w:szCs w:val="20"/>
          <w:lang w:val="pt-BR"/>
        </w:rPr>
        <w:t>durante a estação chuvosa e</w:t>
      </w:r>
      <w:r w:rsidR="00FE4751">
        <w:rPr>
          <w:rFonts w:eastAsia="Times New Roman"/>
          <w:sz w:val="20"/>
          <w:szCs w:val="20"/>
          <w:lang/>
        </w:rPr>
        <w:t xml:space="preserve"> a de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</w:t>
      </w:r>
      <w:r w:rsidR="00FE4751">
        <w:rPr>
          <w:rFonts w:eastAsia="Times New Roman"/>
          <w:sz w:val="20"/>
          <w:szCs w:val="20"/>
          <w:lang/>
        </w:rPr>
        <w:t xml:space="preserve">flores e </w:t>
      </w:r>
      <w:r w:rsidR="002D0764" w:rsidRPr="002D0764">
        <w:rPr>
          <w:rFonts w:eastAsia="Times New Roman"/>
          <w:sz w:val="20"/>
          <w:szCs w:val="20"/>
          <w:lang w:val="pt-BR"/>
        </w:rPr>
        <w:t>frutos durante a estação seca</w:t>
      </w:r>
      <w:r w:rsidR="00FE4751">
        <w:rPr>
          <w:rFonts w:eastAsia="Times New Roman"/>
          <w:sz w:val="20"/>
          <w:szCs w:val="20"/>
          <w:lang/>
        </w:rPr>
        <w:t xml:space="preserve"> em alguns ambientes tropicais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2D0764" w:rsidRPr="002D0764">
        <w:rPr>
          <w:rFonts w:eastAsia="Times New Roman"/>
          <w:sz w:val="20"/>
          <w:szCs w:val="20"/>
          <w:lang w:val="pt-BR"/>
        </w:rPr>
        <w:t>Favretto</w:t>
      </w:r>
      <w:proofErr w:type="spellEnd"/>
      <w:r w:rsidR="002D0764" w:rsidRPr="002D0764">
        <w:rPr>
          <w:rFonts w:eastAsia="Times New Roman"/>
          <w:sz w:val="20"/>
          <w:szCs w:val="20"/>
          <w:lang w:val="pt-BR"/>
        </w:rPr>
        <w:t>, 2021).</w:t>
      </w:r>
    </w:p>
    <w:p w14:paraId="6D714EAC" w14:textId="63EA886A" w:rsidR="002D0764" w:rsidRDefault="00FE4751" w:rsidP="002D076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/>
        </w:rPr>
        <w:t>No entanto, pouco se sabe acerca da interação entre alterações de habitat e mudanças sazonais na oferta de recursos e, sobretudo, seu efeito sobre a massa corporal das aves tropicais, em especial nas que ocupam habitats florestais sazonais. C</w:t>
      </w:r>
      <w:proofErr w:type="spellStart"/>
      <w:r w:rsidR="002D0764" w:rsidRPr="002D0764">
        <w:rPr>
          <w:rFonts w:eastAsia="Times New Roman"/>
          <w:sz w:val="20"/>
          <w:szCs w:val="20"/>
          <w:lang w:val="pt-BR"/>
        </w:rPr>
        <w:t>onsiderando</w:t>
      </w:r>
      <w:proofErr w:type="spellEnd"/>
      <w:r w:rsidR="002D0764" w:rsidRPr="002D0764">
        <w:rPr>
          <w:rFonts w:eastAsia="Times New Roman"/>
          <w:sz w:val="20"/>
          <w:szCs w:val="20"/>
          <w:lang w:val="pt-BR"/>
        </w:rPr>
        <w:t xml:space="preserve"> a </w:t>
      </w:r>
      <w:r>
        <w:rPr>
          <w:rFonts w:eastAsia="Times New Roman"/>
          <w:sz w:val="20"/>
          <w:szCs w:val="20"/>
          <w:lang/>
        </w:rPr>
        <w:t>carência de informações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/>
        </w:rPr>
        <w:t xml:space="preserve">acerca destas </w:t>
      </w:r>
      <w:r w:rsidR="002D0764" w:rsidRPr="002D0764">
        <w:rPr>
          <w:rFonts w:eastAsia="Times New Roman"/>
          <w:sz w:val="20"/>
          <w:szCs w:val="20"/>
          <w:lang w:val="pt-BR"/>
        </w:rPr>
        <w:t>interações</w:t>
      </w:r>
      <w:r>
        <w:rPr>
          <w:rFonts w:eastAsia="Times New Roman"/>
          <w:sz w:val="20"/>
          <w:szCs w:val="20"/>
          <w:lang/>
        </w:rPr>
        <w:t>,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</w:t>
      </w:r>
      <w:r w:rsidR="005C270D">
        <w:rPr>
          <w:rFonts w:eastAsia="Times New Roman"/>
          <w:sz w:val="20"/>
          <w:szCs w:val="20"/>
          <w:lang w:val="pt-BR"/>
        </w:rPr>
        <w:t>esta pesquisa objetiva</w:t>
      </w:r>
      <w:r w:rsidR="002D0764" w:rsidRPr="002D0764">
        <w:rPr>
          <w:rFonts w:eastAsia="Times New Roman"/>
          <w:sz w:val="20"/>
          <w:szCs w:val="20"/>
          <w:lang w:val="pt-BR"/>
        </w:rPr>
        <w:t xml:space="preserve"> estimar a massa corporal de aves do sub-bosque em diferentes habitats de uma área de altitude no Agreste de Pernambuco e investigar sua possível relação com os padrões sazonais de disponibilidade de recursos.</w:t>
      </w:r>
    </w:p>
    <w:p w14:paraId="7E3094A5" w14:textId="77777777" w:rsidR="002D0764" w:rsidRDefault="002D0764" w:rsidP="002D076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E5C18D7" w14:textId="4DF28F53" w:rsidR="00B555C8" w:rsidRPr="002D0764" w:rsidRDefault="004D7B89" w:rsidP="002D0764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DB6571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40AC63D0" w14:textId="4313D776" w:rsidR="009741C9" w:rsidRPr="00DB6571" w:rsidRDefault="009741C9" w:rsidP="00811A23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O </w:t>
      </w:r>
      <w:r w:rsidR="00A17E2D" w:rsidRPr="00F17928">
        <w:rPr>
          <w:rFonts w:eastAsia="Times New Roman"/>
          <w:sz w:val="20"/>
          <w:szCs w:val="20"/>
          <w:lang w:val="pt-BR"/>
        </w:rPr>
        <w:t>estudo está sendo</w:t>
      </w:r>
      <w:r w:rsidRPr="00DB6571">
        <w:rPr>
          <w:rFonts w:eastAsia="Times New Roman"/>
          <w:sz w:val="20"/>
          <w:szCs w:val="20"/>
          <w:lang w:val="pt-BR"/>
        </w:rPr>
        <w:t xml:space="preserve"> realizado na RPPN Reserva Natural Brejo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DB6571">
        <w:rPr>
          <w:rFonts w:eastAsia="Times New Roman"/>
          <w:sz w:val="20"/>
          <w:szCs w:val="20"/>
          <w:lang w:val="pt-BR"/>
        </w:rPr>
        <w:t xml:space="preserve">situada na Serra da Prata, no município de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Saloá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, </w:t>
      </w:r>
      <w:r w:rsidR="00A17E2D" w:rsidRPr="00F17928">
        <w:rPr>
          <w:rFonts w:eastAsia="Times New Roman"/>
          <w:sz w:val="20"/>
          <w:szCs w:val="20"/>
          <w:lang w:val="pt-BR"/>
        </w:rPr>
        <w:t xml:space="preserve">agreste de </w:t>
      </w:r>
      <w:r w:rsidRPr="00DB6571">
        <w:rPr>
          <w:rFonts w:eastAsia="Times New Roman"/>
          <w:sz w:val="20"/>
          <w:szCs w:val="20"/>
          <w:lang w:val="pt-BR"/>
        </w:rPr>
        <w:t>Pernambuco</w:t>
      </w:r>
      <w:r w:rsidR="00A17E2D" w:rsidRPr="00F17928">
        <w:rPr>
          <w:rFonts w:eastAsia="Times New Roman"/>
          <w:sz w:val="20"/>
          <w:szCs w:val="20"/>
          <w:lang w:val="pt-BR"/>
        </w:rPr>
        <w:t>.</w:t>
      </w:r>
      <w:r w:rsidR="00811A23">
        <w:rPr>
          <w:rFonts w:eastAsia="Times New Roman"/>
          <w:sz w:val="20"/>
          <w:szCs w:val="20"/>
          <w:lang w:val="pt-BR"/>
        </w:rPr>
        <w:t xml:space="preserve"> </w:t>
      </w:r>
      <w:r w:rsidR="00A17E2D" w:rsidRPr="00F17928">
        <w:rPr>
          <w:rFonts w:eastAsia="Times New Roman"/>
          <w:sz w:val="20"/>
          <w:szCs w:val="20"/>
          <w:lang w:val="pt-BR"/>
        </w:rPr>
        <w:t>A RPPN Brejo tem cerca de 50 ha</w:t>
      </w:r>
      <w:r w:rsidR="00811A23">
        <w:rPr>
          <w:rFonts w:eastAsia="Times New Roman"/>
          <w:sz w:val="20"/>
          <w:szCs w:val="20"/>
          <w:lang w:val="pt-BR"/>
        </w:rPr>
        <w:t xml:space="preserve"> </w:t>
      </w:r>
      <w:r w:rsidR="00A17E2D" w:rsidRPr="00F17928">
        <w:rPr>
          <w:rFonts w:eastAsia="Times New Roman"/>
          <w:sz w:val="20"/>
          <w:szCs w:val="20"/>
          <w:lang w:val="pt-BR"/>
        </w:rPr>
        <w:t>de</w:t>
      </w:r>
      <w:r w:rsidR="00811A23">
        <w:rPr>
          <w:rFonts w:eastAsia="Times New Roman"/>
          <w:sz w:val="20"/>
          <w:szCs w:val="20"/>
          <w:lang w:val="pt-BR"/>
        </w:rPr>
        <w:t xml:space="preserve"> </w:t>
      </w:r>
      <w:r w:rsidRPr="00DB6571">
        <w:rPr>
          <w:rFonts w:eastAsia="Times New Roman"/>
          <w:sz w:val="20"/>
          <w:szCs w:val="20"/>
          <w:lang w:val="pt-BR"/>
        </w:rPr>
        <w:t>áreas florestais em diferentes estágios de recuperação</w:t>
      </w:r>
      <w:r w:rsidR="00A17E2D" w:rsidRPr="00F17928">
        <w:rPr>
          <w:rFonts w:eastAsia="Times New Roman"/>
          <w:sz w:val="20"/>
          <w:szCs w:val="20"/>
          <w:lang w:val="pt-BR"/>
        </w:rPr>
        <w:t>, desde florestas mais altas e preservadas com pouca intervenção humana nos últimos 30 a 50 anos, até áreas floresta</w:t>
      </w:r>
      <w:r w:rsidR="00CD5DC4">
        <w:rPr>
          <w:rFonts w:eastAsia="Times New Roman"/>
          <w:sz w:val="20"/>
          <w:szCs w:val="20"/>
          <w:lang/>
        </w:rPr>
        <w:t>i</w:t>
      </w:r>
      <w:r w:rsidR="00A17E2D" w:rsidRPr="00F17928">
        <w:rPr>
          <w:rFonts w:eastAsia="Times New Roman"/>
          <w:sz w:val="20"/>
          <w:szCs w:val="20"/>
          <w:lang w:val="pt-BR"/>
        </w:rPr>
        <w:t>s mais jovens com trechos em diferentes estágios de recuperação da vegetação, após práticas de queimadas, plantios e pecuária extensiva nas últimas décadas</w:t>
      </w:r>
      <w:r w:rsidR="002A2BF7">
        <w:rPr>
          <w:rFonts w:hint="eastAsia"/>
          <w:sz w:val="20"/>
          <w:szCs w:val="20"/>
          <w:lang w:val="pt-BR" w:eastAsia="zh-CN"/>
        </w:rPr>
        <w:t>.</w:t>
      </w:r>
      <w:r w:rsidR="002A2BF7">
        <w:rPr>
          <w:sz w:val="20"/>
          <w:szCs w:val="20"/>
          <w:lang w:val="pt-BR" w:eastAsia="zh-CN"/>
        </w:rPr>
        <w:t xml:space="preserve"> A</w:t>
      </w:r>
      <w:r w:rsidRPr="00DB6571">
        <w:rPr>
          <w:rFonts w:eastAsia="Times New Roman"/>
          <w:sz w:val="20"/>
          <w:szCs w:val="20"/>
          <w:lang w:val="pt-BR"/>
        </w:rPr>
        <w:t xml:space="preserve"> coleta de dados </w:t>
      </w:r>
      <w:r w:rsidR="00A17E2D" w:rsidRPr="00F17928">
        <w:rPr>
          <w:rFonts w:eastAsia="Times New Roman"/>
          <w:sz w:val="20"/>
          <w:szCs w:val="20"/>
          <w:lang w:val="pt-BR"/>
        </w:rPr>
        <w:t>está sendo</w:t>
      </w:r>
      <w:r w:rsidRPr="00DB6571">
        <w:rPr>
          <w:rFonts w:eastAsia="Times New Roman"/>
          <w:sz w:val="20"/>
          <w:szCs w:val="20"/>
          <w:lang w:val="pt-BR"/>
        </w:rPr>
        <w:t xml:space="preserve"> conduzida utilizando o método de captura-marcação-recaptura</w:t>
      </w:r>
      <w:r w:rsidR="00A17E2D" w:rsidRPr="00F17928">
        <w:rPr>
          <w:rFonts w:eastAsia="Times New Roman"/>
          <w:sz w:val="20"/>
          <w:szCs w:val="20"/>
          <w:lang w:val="pt-BR"/>
        </w:rPr>
        <w:t xml:space="preserve"> das aves</w:t>
      </w:r>
      <w:r w:rsidRPr="00DB6571">
        <w:rPr>
          <w:rFonts w:eastAsia="Times New Roman"/>
          <w:sz w:val="20"/>
          <w:szCs w:val="20"/>
          <w:lang w:val="pt-BR"/>
        </w:rPr>
        <w:t>, empregando</w:t>
      </w:r>
      <w:r w:rsidR="00CD5DC4">
        <w:rPr>
          <w:rFonts w:eastAsia="Times New Roman"/>
          <w:sz w:val="20"/>
          <w:szCs w:val="20"/>
          <w:lang/>
        </w:rPr>
        <w:t>-se</w:t>
      </w:r>
      <w:r w:rsidRPr="00DB6571">
        <w:rPr>
          <w:rFonts w:eastAsia="Times New Roman"/>
          <w:sz w:val="20"/>
          <w:szCs w:val="20"/>
          <w:lang w:val="pt-BR"/>
        </w:rPr>
        <w:t xml:space="preserve"> redes-de-neblina em seis estações de captura que representam três habitats</w:t>
      </w:r>
      <w:r w:rsidR="00A17E2D" w:rsidRPr="00F17928">
        <w:rPr>
          <w:rFonts w:eastAsia="Times New Roman"/>
          <w:sz w:val="20"/>
          <w:szCs w:val="20"/>
          <w:lang w:val="pt-BR"/>
        </w:rPr>
        <w:t>:</w:t>
      </w:r>
      <w:r w:rsidRPr="00DB6571">
        <w:rPr>
          <w:rFonts w:eastAsia="Times New Roman"/>
          <w:sz w:val="20"/>
          <w:szCs w:val="20"/>
          <w:lang w:val="pt-BR"/>
        </w:rPr>
        <w:t xml:space="preserve"> área florestal preservada e </w:t>
      </w:r>
      <w:r w:rsidR="0081416D">
        <w:rPr>
          <w:rFonts w:eastAsia="Times New Roman"/>
          <w:sz w:val="20"/>
          <w:szCs w:val="20"/>
          <w:lang w:val="pt-BR"/>
        </w:rPr>
        <w:t xml:space="preserve">pouco perturbada, </w:t>
      </w:r>
      <w:r w:rsidRPr="00DB6571">
        <w:rPr>
          <w:rFonts w:eastAsia="Times New Roman"/>
          <w:sz w:val="20"/>
          <w:szCs w:val="20"/>
          <w:lang w:val="pt-BR"/>
        </w:rPr>
        <w:t>área floresta</w:t>
      </w:r>
      <w:r w:rsidR="0081416D">
        <w:rPr>
          <w:rFonts w:eastAsia="Times New Roman"/>
          <w:sz w:val="20"/>
          <w:szCs w:val="20"/>
          <w:lang w:val="pt-BR"/>
        </w:rPr>
        <w:t>l</w:t>
      </w:r>
      <w:r w:rsidRPr="00DB6571">
        <w:rPr>
          <w:rFonts w:eastAsia="Times New Roman"/>
          <w:sz w:val="20"/>
          <w:szCs w:val="20"/>
          <w:lang w:val="pt-BR"/>
        </w:rPr>
        <w:t xml:space="preserve"> </w:t>
      </w:r>
      <w:r w:rsidR="002A2BF7" w:rsidRPr="00DB6571">
        <w:rPr>
          <w:rFonts w:eastAsia="Times New Roman"/>
          <w:sz w:val="20"/>
          <w:szCs w:val="20"/>
          <w:lang w:val="pt-BR"/>
        </w:rPr>
        <w:t>em estágio intermediário</w:t>
      </w:r>
      <w:r w:rsidR="002A2BF7">
        <w:rPr>
          <w:rFonts w:eastAsia="Times New Roman"/>
          <w:sz w:val="20"/>
          <w:szCs w:val="20"/>
          <w:lang w:val="pt-BR"/>
        </w:rPr>
        <w:t xml:space="preserve"> </w:t>
      </w:r>
      <w:r w:rsidRPr="00DB6571">
        <w:rPr>
          <w:rFonts w:eastAsia="Times New Roman"/>
          <w:sz w:val="20"/>
          <w:szCs w:val="20"/>
          <w:lang w:val="pt-BR"/>
        </w:rPr>
        <w:t>de recuperação</w:t>
      </w:r>
      <w:r>
        <w:rPr>
          <w:rFonts w:eastAsia="Times New Roman"/>
          <w:sz w:val="20"/>
          <w:szCs w:val="20"/>
          <w:lang w:val="pt-BR"/>
        </w:rPr>
        <w:t xml:space="preserve"> e </w:t>
      </w:r>
      <w:r w:rsidRPr="00DB6571">
        <w:rPr>
          <w:rFonts w:eastAsia="Times New Roman"/>
          <w:sz w:val="20"/>
          <w:szCs w:val="20"/>
          <w:lang w:val="pt-BR"/>
        </w:rPr>
        <w:t>áreas de vegetação de transição</w:t>
      </w:r>
      <w:r w:rsidR="00783C28">
        <w:rPr>
          <w:rFonts w:eastAsia="Times New Roman"/>
          <w:sz w:val="20"/>
          <w:szCs w:val="20"/>
          <w:lang w:val="pt-BR"/>
        </w:rPr>
        <w:t xml:space="preserve"> Mata Atlântica-Caatinga</w:t>
      </w:r>
      <w:r w:rsidR="002A2BF7">
        <w:rPr>
          <w:rFonts w:eastAsia="Times New Roman"/>
          <w:sz w:val="20"/>
          <w:szCs w:val="20"/>
          <w:lang w:val="pt-BR"/>
        </w:rPr>
        <w:t xml:space="preserve">. </w:t>
      </w:r>
      <w:r w:rsidRPr="00DB6571">
        <w:rPr>
          <w:rFonts w:eastAsia="Times New Roman"/>
          <w:sz w:val="20"/>
          <w:szCs w:val="20"/>
          <w:lang w:val="pt-BR"/>
        </w:rPr>
        <w:t>Doze redes</w:t>
      </w:r>
      <w:r w:rsidR="00A17E2D" w:rsidRPr="00F17928">
        <w:rPr>
          <w:rFonts w:eastAsia="Times New Roman"/>
          <w:sz w:val="20"/>
          <w:szCs w:val="20"/>
          <w:lang w:val="pt-BR"/>
        </w:rPr>
        <w:t>-</w:t>
      </w:r>
      <w:r w:rsidRPr="00DB6571">
        <w:rPr>
          <w:rFonts w:eastAsia="Times New Roman"/>
          <w:sz w:val="20"/>
          <w:szCs w:val="20"/>
          <w:lang w:val="pt-BR"/>
        </w:rPr>
        <w:t>de</w:t>
      </w:r>
      <w:r w:rsidR="00A17E2D" w:rsidRPr="00F17928">
        <w:rPr>
          <w:rFonts w:eastAsia="Times New Roman"/>
          <w:sz w:val="20"/>
          <w:szCs w:val="20"/>
          <w:lang w:val="pt-BR"/>
        </w:rPr>
        <w:t>-</w:t>
      </w:r>
      <w:r w:rsidRPr="00DB6571">
        <w:rPr>
          <w:rFonts w:eastAsia="Times New Roman"/>
          <w:sz w:val="20"/>
          <w:szCs w:val="20"/>
          <w:lang w:val="pt-BR"/>
        </w:rPr>
        <w:t xml:space="preserve">neblina </w:t>
      </w:r>
      <w:r w:rsidR="00F002AE" w:rsidRPr="00F17928">
        <w:rPr>
          <w:rFonts w:eastAsia="Times New Roman"/>
          <w:sz w:val="20"/>
          <w:szCs w:val="20"/>
          <w:lang w:val="pt-BR"/>
        </w:rPr>
        <w:t>são</w:t>
      </w:r>
      <w:r w:rsidRPr="00DB6571">
        <w:rPr>
          <w:rFonts w:eastAsia="Times New Roman"/>
          <w:sz w:val="20"/>
          <w:szCs w:val="20"/>
          <w:lang w:val="pt-BR"/>
        </w:rPr>
        <w:t xml:space="preserve"> utilizadas em cada estação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, dispostas individualmente em trilhas da amostragem com 50 m de distância entre si. </w:t>
      </w:r>
      <w:r w:rsidRPr="00DB6571">
        <w:rPr>
          <w:rFonts w:eastAsia="Times New Roman"/>
          <w:sz w:val="20"/>
          <w:szCs w:val="20"/>
          <w:lang w:val="pt-BR"/>
        </w:rPr>
        <w:t xml:space="preserve">Os indivíduos capturados 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até o momento </w:t>
      </w:r>
      <w:r w:rsidRPr="00DB6571">
        <w:rPr>
          <w:rFonts w:eastAsia="Times New Roman"/>
          <w:sz w:val="20"/>
          <w:szCs w:val="20"/>
          <w:lang w:val="pt-BR"/>
        </w:rPr>
        <w:t xml:space="preserve">foram identificados </w:t>
      </w:r>
      <w:r w:rsidR="00F002AE" w:rsidRPr="00F17928">
        <w:rPr>
          <w:rFonts w:eastAsia="Times New Roman"/>
          <w:sz w:val="20"/>
          <w:szCs w:val="20"/>
          <w:lang w:val="pt-BR"/>
        </w:rPr>
        <w:t>quanto à</w:t>
      </w:r>
      <w:r w:rsidRPr="00DB6571">
        <w:rPr>
          <w:rFonts w:eastAsia="Times New Roman"/>
          <w:sz w:val="20"/>
          <w:szCs w:val="20"/>
          <w:lang w:val="pt-BR"/>
        </w:rPr>
        <w:t xml:space="preserve"> espécie, idade e sexo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 (quando possível)</w:t>
      </w:r>
      <w:r w:rsidR="002A2BF7">
        <w:rPr>
          <w:rFonts w:eastAsia="Times New Roman"/>
          <w:sz w:val="20"/>
          <w:szCs w:val="20"/>
          <w:lang w:val="pt-BR"/>
        </w:rPr>
        <w:t xml:space="preserve">, 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além de </w:t>
      </w:r>
      <w:r w:rsidRPr="00DB6571">
        <w:rPr>
          <w:rFonts w:eastAsia="Times New Roman"/>
          <w:sz w:val="20"/>
          <w:szCs w:val="20"/>
          <w:lang w:val="pt-BR"/>
        </w:rPr>
        <w:t xml:space="preserve">pesados </w:t>
      </w:r>
      <w:r w:rsidR="00F002AE" w:rsidRPr="00F17928">
        <w:rPr>
          <w:rFonts w:eastAsia="Times New Roman"/>
          <w:sz w:val="20"/>
          <w:szCs w:val="20"/>
          <w:lang w:val="pt-BR"/>
        </w:rPr>
        <w:t>com auxílio de</w:t>
      </w:r>
      <w:r w:rsidRPr="00DB6571">
        <w:rPr>
          <w:rFonts w:eastAsia="Times New Roman"/>
          <w:sz w:val="20"/>
          <w:szCs w:val="20"/>
          <w:lang w:val="pt-BR"/>
        </w:rPr>
        <w:t xml:space="preserve"> dinamômetros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 de 100 g e 300 g, cujas precisões são de </w:t>
      </w:r>
      <w:r w:rsidR="00CD5DC4">
        <w:rPr>
          <w:rFonts w:eastAsia="Times New Roman"/>
          <w:sz w:val="20"/>
          <w:szCs w:val="20"/>
          <w:lang/>
        </w:rPr>
        <w:t>0,2 g e 0,5 g,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 respectivamente</w:t>
      </w:r>
      <w:r w:rsidRPr="00DB6571">
        <w:rPr>
          <w:rFonts w:eastAsia="Times New Roman"/>
          <w:sz w:val="20"/>
          <w:szCs w:val="20"/>
          <w:lang w:val="pt-BR"/>
        </w:rPr>
        <w:t xml:space="preserve">. </w:t>
      </w:r>
      <w:r w:rsidR="00F002AE" w:rsidRPr="00F17928">
        <w:rPr>
          <w:rFonts w:eastAsia="Times New Roman"/>
          <w:sz w:val="20"/>
          <w:szCs w:val="20"/>
          <w:lang w:val="pt-BR"/>
        </w:rPr>
        <w:t>Após marcadas com anilhas metálicas numeradas, a</w:t>
      </w:r>
      <w:r w:rsidRPr="00DB6571">
        <w:rPr>
          <w:rFonts w:eastAsia="Times New Roman"/>
          <w:sz w:val="20"/>
          <w:szCs w:val="20"/>
          <w:lang w:val="pt-BR"/>
        </w:rPr>
        <w:t xml:space="preserve">s aves foram 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liberadas próximas aos seus locais de captura. </w:t>
      </w:r>
      <w:r w:rsidRPr="00DB6571">
        <w:rPr>
          <w:rFonts w:eastAsia="Times New Roman"/>
          <w:sz w:val="20"/>
          <w:szCs w:val="20"/>
          <w:lang w:val="pt-BR"/>
        </w:rPr>
        <w:t xml:space="preserve">As análises </w:t>
      </w:r>
      <w:r w:rsidR="00F002AE" w:rsidRPr="00F17928">
        <w:rPr>
          <w:rFonts w:eastAsia="Times New Roman"/>
          <w:sz w:val="20"/>
          <w:szCs w:val="20"/>
          <w:lang w:val="pt-BR"/>
        </w:rPr>
        <w:t xml:space="preserve">das massas corpóreas </w:t>
      </w:r>
      <w:r w:rsidRPr="00DB6571">
        <w:rPr>
          <w:rFonts w:eastAsia="Times New Roman"/>
          <w:sz w:val="20"/>
          <w:szCs w:val="20"/>
          <w:lang w:val="pt-BR"/>
        </w:rPr>
        <w:t xml:space="preserve">foram realizadas com o auxílio do software PAST –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PAleontological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STatistics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(H</w:t>
      </w:r>
      <w:r>
        <w:rPr>
          <w:rFonts w:eastAsia="Times New Roman"/>
          <w:sz w:val="20"/>
          <w:szCs w:val="20"/>
          <w:lang w:val="pt-BR"/>
        </w:rPr>
        <w:t>ammer</w:t>
      </w:r>
      <w:r w:rsidRPr="00DB6571">
        <w:rPr>
          <w:rFonts w:eastAsia="Times New Roman"/>
          <w:sz w:val="20"/>
          <w:szCs w:val="20"/>
          <w:lang w:val="pt-BR"/>
        </w:rPr>
        <w:t>, 2018). Análises exploratórias foram efetuadas, incluindo gráficos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DB6571">
        <w:rPr>
          <w:rFonts w:eastAsia="Times New Roman"/>
          <w:sz w:val="20"/>
          <w:szCs w:val="20"/>
          <w:lang w:val="pt-BR"/>
        </w:rPr>
        <w:t>tipo box-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plot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para visualizar distribuições, médias, máximos, mínimos e desvios padrões dos pesos entre indivíduos de uma mesma espécie na área de </w:t>
      </w:r>
      <w:r w:rsidRPr="00DB6571">
        <w:rPr>
          <w:rFonts w:eastAsia="Times New Roman"/>
          <w:sz w:val="20"/>
          <w:szCs w:val="20"/>
          <w:lang w:val="pt-BR"/>
        </w:rPr>
        <w:lastRenderedPageBreak/>
        <w:t xml:space="preserve">estudo. A diferença nas médias de massa corporal entre indivíduos de uma mesma espécie em diferentes habitats foi analisada através de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testes-t</w:t>
      </w:r>
      <w:proofErr w:type="spellEnd"/>
      <w:r w:rsidR="00F002AE" w:rsidRPr="00F17928">
        <w:rPr>
          <w:rFonts w:eastAsia="Times New Roman"/>
          <w:sz w:val="20"/>
          <w:szCs w:val="20"/>
          <w:lang w:val="pt-BR"/>
        </w:rPr>
        <w:t xml:space="preserve"> ao nível de significância de</w:t>
      </w:r>
      <w:r w:rsidRPr="00DB6571">
        <w:rPr>
          <w:rFonts w:eastAsia="Times New Roman"/>
          <w:sz w:val="20"/>
          <w:szCs w:val="20"/>
          <w:lang w:val="pt-BR"/>
        </w:rPr>
        <w:t xml:space="preserve"> p &lt; 0.05.</w:t>
      </w:r>
    </w:p>
    <w:p w14:paraId="239CC9CF" w14:textId="77777777" w:rsidR="002D0764" w:rsidRPr="00DB6571" w:rsidRDefault="002D0764" w:rsidP="00811A23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</w:pPr>
    </w:p>
    <w:p w14:paraId="2154A434" w14:textId="77777777" w:rsidR="00B555C8" w:rsidRPr="00F17928" w:rsidRDefault="004D7B8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17928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71A8440B" w14:textId="618CCE26" w:rsidR="000326D2" w:rsidRDefault="00354F5C" w:rsidP="000D33B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Dentre as espécies mais frequentemente capturadas, seis </w:t>
      </w:r>
      <w:r w:rsidR="007C234E" w:rsidRPr="00F17928">
        <w:rPr>
          <w:rFonts w:eastAsia="Times New Roman"/>
          <w:sz w:val="20"/>
          <w:szCs w:val="20"/>
          <w:lang w:val="pt-BR"/>
        </w:rPr>
        <w:t>são</w:t>
      </w:r>
      <w:r w:rsidRPr="00DB6571">
        <w:rPr>
          <w:rFonts w:eastAsia="Times New Roman"/>
          <w:sz w:val="20"/>
          <w:szCs w:val="20"/>
          <w:lang w:val="pt-BR"/>
        </w:rPr>
        <w:t xml:space="preserve"> de hábitos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invertívoros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, incluindo o canário-do-mato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Myiothlypis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flaveola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>),</w:t>
      </w:r>
      <w:r w:rsidRPr="00DB6571">
        <w:rPr>
          <w:rFonts w:eastAsia="Times New Roman"/>
          <w:sz w:val="20"/>
          <w:szCs w:val="20"/>
          <w:lang w:val="pt-BR"/>
        </w:rPr>
        <w:t xml:space="preserve"> pula-pula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Basileuterus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culicivorus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), sabiá-barranco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Turdus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leucomelas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),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fruxu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-do-cerradão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Neopelma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pallescens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), cuspidor-do-nordeste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Conopophaga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cearae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 e estrelinha-preta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Synallaxis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scutata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), enquanto apenas uma espécie</w:t>
      </w:r>
      <w:r w:rsidR="00F933FB" w:rsidRPr="00F17928">
        <w:rPr>
          <w:rFonts w:eastAsia="Times New Roman"/>
          <w:sz w:val="20"/>
          <w:szCs w:val="20"/>
          <w:lang w:val="pt-BR"/>
        </w:rPr>
        <w:t xml:space="preserve"> até o momento</w:t>
      </w:r>
      <w:r w:rsidRPr="00DB6571">
        <w:rPr>
          <w:rFonts w:eastAsia="Times New Roman"/>
          <w:sz w:val="20"/>
          <w:szCs w:val="20"/>
          <w:lang w:val="pt-BR"/>
        </w:rPr>
        <w:t>, o tico-tico-do-bico-preto (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Arremon</w:t>
      </w:r>
      <w:proofErr w:type="spellEnd"/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taciturnus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), </w:t>
      </w:r>
      <w:r w:rsidR="00F933FB" w:rsidRPr="00F17928">
        <w:rPr>
          <w:rFonts w:eastAsia="Times New Roman"/>
          <w:sz w:val="20"/>
          <w:szCs w:val="20"/>
          <w:lang w:val="pt-BR"/>
        </w:rPr>
        <w:t>é</w:t>
      </w:r>
      <w:r w:rsidRPr="00DB6571">
        <w:rPr>
          <w:rFonts w:eastAsia="Times New Roman"/>
          <w:sz w:val="20"/>
          <w:szCs w:val="20"/>
          <w:lang w:val="pt-BR"/>
        </w:rPr>
        <w:t xml:space="preserve"> considerad</w:t>
      </w:r>
      <w:r w:rsidR="00F933FB" w:rsidRPr="00F17928">
        <w:rPr>
          <w:rFonts w:eastAsia="Times New Roman"/>
          <w:sz w:val="20"/>
          <w:szCs w:val="20"/>
          <w:lang w:val="pt-BR"/>
        </w:rPr>
        <w:t>o</w:t>
      </w:r>
      <w:r w:rsidRPr="00DB6571">
        <w:rPr>
          <w:rFonts w:eastAsia="Times New Roman"/>
          <w:sz w:val="20"/>
          <w:szCs w:val="20"/>
          <w:lang w:val="pt-BR"/>
        </w:rPr>
        <w:t xml:space="preserve"> onívor</w:t>
      </w:r>
      <w:r w:rsidR="00F933FB" w:rsidRPr="00F17928">
        <w:rPr>
          <w:rFonts w:eastAsia="Times New Roman"/>
          <w:sz w:val="20"/>
          <w:szCs w:val="20"/>
          <w:lang w:val="pt-BR"/>
        </w:rPr>
        <w:t>o</w:t>
      </w:r>
      <w:r w:rsidRPr="00DB6571">
        <w:rPr>
          <w:rFonts w:eastAsia="Times New Roman"/>
          <w:sz w:val="20"/>
          <w:szCs w:val="20"/>
          <w:lang w:val="pt-BR"/>
        </w:rPr>
        <w:t xml:space="preserve">. </w:t>
      </w:r>
      <w:r w:rsidR="0081416D">
        <w:rPr>
          <w:rFonts w:hint="eastAsia"/>
          <w:sz w:val="20"/>
          <w:szCs w:val="20"/>
          <w:lang w:val="pt-BR" w:eastAsia="zh-CN"/>
        </w:rPr>
        <w:t>A</w:t>
      </w:r>
      <w:r w:rsidR="0081416D">
        <w:rPr>
          <w:sz w:val="20"/>
          <w:szCs w:val="20"/>
          <w:lang w:val="pt-BR" w:eastAsia="zh-CN"/>
        </w:rPr>
        <w:t xml:space="preserve">s </w:t>
      </w:r>
      <w:r w:rsidRPr="00DB6571">
        <w:rPr>
          <w:rFonts w:eastAsia="Times New Roman"/>
          <w:sz w:val="20"/>
          <w:szCs w:val="20"/>
          <w:lang w:val="pt-BR"/>
        </w:rPr>
        <w:t xml:space="preserve">estimativas de peso para indivíduos capturados na vegetação de transição entre Mata Atlântica e Caatinga não </w:t>
      </w:r>
      <w:r w:rsidR="00F933FB" w:rsidRPr="00F17928">
        <w:rPr>
          <w:rFonts w:eastAsia="Times New Roman"/>
          <w:sz w:val="20"/>
          <w:szCs w:val="20"/>
          <w:lang w:val="pt-BR"/>
        </w:rPr>
        <w:t>estão sendo</w:t>
      </w:r>
      <w:r w:rsidRPr="00DB6571">
        <w:rPr>
          <w:rFonts w:eastAsia="Times New Roman"/>
          <w:sz w:val="20"/>
          <w:szCs w:val="20"/>
          <w:lang w:val="pt-BR"/>
        </w:rPr>
        <w:t xml:space="preserve"> consideradas</w:t>
      </w:r>
      <w:r w:rsidR="00F933FB" w:rsidRPr="00F17928">
        <w:rPr>
          <w:rFonts w:eastAsia="Times New Roman"/>
          <w:sz w:val="20"/>
          <w:szCs w:val="20"/>
          <w:lang w:val="pt-BR"/>
        </w:rPr>
        <w:t xml:space="preserve"> aqui</w:t>
      </w:r>
      <w:r w:rsidRPr="00DB6571">
        <w:rPr>
          <w:rFonts w:eastAsia="Times New Roman"/>
          <w:sz w:val="20"/>
          <w:szCs w:val="20"/>
          <w:lang w:val="pt-BR"/>
        </w:rPr>
        <w:t xml:space="preserve"> devido </w:t>
      </w:r>
      <w:r w:rsidR="00F933FB" w:rsidRPr="00F17928">
        <w:rPr>
          <w:rFonts w:eastAsia="Times New Roman"/>
          <w:sz w:val="20"/>
          <w:szCs w:val="20"/>
          <w:lang w:val="pt-BR"/>
        </w:rPr>
        <w:t>ao baixo número</w:t>
      </w:r>
      <w:r w:rsidRPr="00DB6571">
        <w:rPr>
          <w:rFonts w:eastAsia="Times New Roman"/>
          <w:sz w:val="20"/>
          <w:szCs w:val="20"/>
          <w:lang w:val="pt-BR"/>
        </w:rPr>
        <w:t xml:space="preserve"> de réplicas</w:t>
      </w:r>
      <w:r w:rsidR="00F933FB" w:rsidRPr="00F17928">
        <w:rPr>
          <w:rFonts w:eastAsia="Times New Roman"/>
          <w:sz w:val="20"/>
          <w:szCs w:val="20"/>
          <w:lang w:val="pt-BR"/>
        </w:rPr>
        <w:t xml:space="preserve">, </w:t>
      </w:r>
      <w:r w:rsidR="001A57F1" w:rsidRPr="00F17928">
        <w:rPr>
          <w:rFonts w:eastAsia="Times New Roman"/>
          <w:sz w:val="20"/>
          <w:szCs w:val="20"/>
          <w:lang w:val="pt-BR"/>
        </w:rPr>
        <w:t>e,</w:t>
      </w:r>
      <w:r w:rsidR="00F933FB" w:rsidRPr="00F17928">
        <w:rPr>
          <w:rFonts w:eastAsia="Times New Roman"/>
          <w:sz w:val="20"/>
          <w:szCs w:val="20"/>
          <w:lang w:val="pt-BR"/>
        </w:rPr>
        <w:t xml:space="preserve"> portanto, não comparáveis ao disponível para os demais habitats</w:t>
      </w:r>
      <w:r w:rsidR="00897856">
        <w:rPr>
          <w:rFonts w:eastAsia="Times New Roman"/>
          <w:sz w:val="20"/>
          <w:szCs w:val="20"/>
          <w:lang/>
        </w:rPr>
        <w:t xml:space="preserve"> (Tab. 1)</w:t>
      </w:r>
      <w:r w:rsidRPr="00DB6571">
        <w:rPr>
          <w:rFonts w:eastAsia="Times New Roman"/>
          <w:sz w:val="20"/>
          <w:szCs w:val="20"/>
          <w:lang w:val="pt-BR"/>
        </w:rPr>
        <w:t>.</w:t>
      </w:r>
      <w:r w:rsidR="000D33BE" w:rsidRPr="000D33BE">
        <w:rPr>
          <w:sz w:val="20"/>
          <w:szCs w:val="20"/>
          <w:lang w:val="pt-BR" w:eastAsia="zh-CN"/>
        </w:rPr>
        <w:t xml:space="preserve"> </w:t>
      </w:r>
    </w:p>
    <w:p w14:paraId="2E12D882" w14:textId="412E1311" w:rsidR="00C336F0" w:rsidRDefault="00C336F0" w:rsidP="000326D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3232"/>
        <w:gridCol w:w="2429"/>
        <w:gridCol w:w="2429"/>
        <w:gridCol w:w="939"/>
      </w:tblGrid>
      <w:tr w:rsidR="000E126F" w:rsidRPr="000E126F" w14:paraId="78F8FCD1" w14:textId="77777777" w:rsidTr="006D4CEE">
        <w:trPr>
          <w:trHeight w:val="288"/>
        </w:trPr>
        <w:tc>
          <w:tcPr>
            <w:tcW w:w="1790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C516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>Táxon</w:t>
            </w:r>
          </w:p>
        </w:tc>
        <w:tc>
          <w:tcPr>
            <w:tcW w:w="2690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C1FE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>Massa corporal (g)</w:t>
            </w:r>
          </w:p>
        </w:tc>
        <w:tc>
          <w:tcPr>
            <w:tcW w:w="521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27C9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i/>
                <w:iCs/>
                <w:color w:val="000000"/>
                <w:lang w:val="pt-BR"/>
              </w:rPr>
              <w:t>p</w:t>
            </w:r>
          </w:p>
        </w:tc>
      </w:tr>
      <w:tr w:rsidR="000E126F" w:rsidRPr="000E126F" w14:paraId="3C805612" w14:textId="77777777" w:rsidTr="006D4CEE">
        <w:trPr>
          <w:trHeight w:val="288"/>
        </w:trPr>
        <w:tc>
          <w:tcPr>
            <w:tcW w:w="17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7E3FA" w14:textId="77777777" w:rsidR="000E126F" w:rsidRPr="000E126F" w:rsidRDefault="000E126F" w:rsidP="000E126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19FA5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>Floresta preservada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520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>Floresta em recuperação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4AF5" w14:textId="77777777" w:rsidR="000E126F" w:rsidRPr="000E126F" w:rsidRDefault="000E126F" w:rsidP="000E126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pt-BR"/>
              </w:rPr>
            </w:pPr>
          </w:p>
        </w:tc>
      </w:tr>
      <w:tr w:rsidR="000E126F" w:rsidRPr="000E126F" w14:paraId="02088AE7" w14:textId="77777777" w:rsidTr="00620209">
        <w:trPr>
          <w:trHeight w:val="288"/>
        </w:trPr>
        <w:tc>
          <w:tcPr>
            <w:tcW w:w="1790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272CBCE" w14:textId="77777777" w:rsidR="000E126F" w:rsidRPr="000E126F" w:rsidRDefault="000E126F" w:rsidP="000E126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29015A74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</w:pPr>
            <w:proofErr w:type="spellStart"/>
            <w:r w:rsidRPr="000E12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  <w:t>Mean</w:t>
            </w:r>
            <w:proofErr w:type="spellEnd"/>
            <w:r w:rsidRPr="000E12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  <w:t xml:space="preserve"> ± SD (Min - Max)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33F7EBF5" w14:textId="77777777" w:rsidR="000E126F" w:rsidRPr="000E126F" w:rsidRDefault="000E126F" w:rsidP="000E126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</w:pPr>
            <w:proofErr w:type="spellStart"/>
            <w:r w:rsidRPr="000E12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  <w:t>Mean</w:t>
            </w:r>
            <w:proofErr w:type="spellEnd"/>
            <w:r w:rsidRPr="000E12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  <w:t xml:space="preserve"> ± SD (Min - Max)</w:t>
            </w:r>
          </w:p>
        </w:tc>
        <w:tc>
          <w:tcPr>
            <w:tcW w:w="521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923EB59" w14:textId="77777777" w:rsidR="000E126F" w:rsidRPr="000E126F" w:rsidRDefault="000E126F" w:rsidP="000E126F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pt-BR"/>
              </w:rPr>
            </w:pPr>
          </w:p>
        </w:tc>
      </w:tr>
      <w:tr w:rsidR="00AF0EF1" w:rsidRPr="000E126F" w14:paraId="47CD8B5E" w14:textId="77777777" w:rsidTr="00620209">
        <w:trPr>
          <w:trHeight w:val="288"/>
        </w:trPr>
        <w:tc>
          <w:tcPr>
            <w:tcW w:w="179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128081" w14:textId="77777777" w:rsidR="00AF0EF1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 w:eastAsia="zh-CN"/>
              </w:rPr>
            </w:pPr>
            <w:proofErr w:type="spellStart"/>
            <w:r w:rsidRPr="000E126F">
              <w:rPr>
                <w:rFonts w:eastAsia="Times New Roman" w:hint="eastAsia"/>
                <w:i/>
                <w:iCs/>
                <w:color w:val="000000"/>
                <w:sz w:val="20"/>
                <w:szCs w:val="20"/>
                <w:lang w:val="pt-BR" w:eastAsia="zh-CN"/>
              </w:rPr>
              <w:t>Myiothlypis</w:t>
            </w:r>
            <w:proofErr w:type="spellEnd"/>
            <w:r w:rsidRPr="000E126F">
              <w:rPr>
                <w:rFonts w:eastAsia="Times New Roman" w:hint="eastAsia"/>
                <w:i/>
                <w:iCs/>
                <w:color w:val="000000"/>
                <w:sz w:val="20"/>
                <w:szCs w:val="20"/>
                <w:lang w:val="pt-BR" w:eastAsia="zh-CN"/>
              </w:rPr>
              <w:t xml:space="preserve"> </w:t>
            </w:r>
            <w:proofErr w:type="spellStart"/>
            <w:r w:rsidRPr="000E126F">
              <w:rPr>
                <w:rFonts w:eastAsia="Times New Roman" w:hint="eastAsia"/>
                <w:i/>
                <w:iCs/>
                <w:color w:val="000000"/>
                <w:sz w:val="20"/>
                <w:szCs w:val="20"/>
                <w:lang w:val="pt-BR" w:eastAsia="zh-CN"/>
              </w:rPr>
              <w:t>flaveola</w:t>
            </w:r>
            <w:proofErr w:type="spellEnd"/>
          </w:p>
          <w:p w14:paraId="343F7D97" w14:textId="77777777" w:rsidR="00AF0EF1" w:rsidRPr="000E126F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 w:eastAsia="zh-CN"/>
              </w:rPr>
            </w:pPr>
          </w:p>
        </w:tc>
        <w:tc>
          <w:tcPr>
            <w:tcW w:w="134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C1E605" w14:textId="39A3E039" w:rsidR="00AF0EF1" w:rsidRPr="000E126F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 xml:space="preserve">12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1,1</w:t>
            </w: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(10.25 - 13.5)</w:t>
            </w:r>
          </w:p>
        </w:tc>
        <w:tc>
          <w:tcPr>
            <w:tcW w:w="134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A21153" w14:textId="4068257C" w:rsidR="00AF0EF1" w:rsidRPr="000E126F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 xml:space="preserve">12.5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0,8</w:t>
            </w:r>
            <w:r w:rsidRPr="000E126F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(11 - 14.25</w:t>
            </w:r>
            <w:r>
              <w:rPr>
                <w:rFonts w:ascii="Calibri" w:eastAsia="Times New Roman" w:hAnsi="Calibri" w:cs="Calibri"/>
                <w:color w:val="000000"/>
                <w:lang w:val="pt-BR"/>
              </w:rPr>
              <w:t>)</w:t>
            </w:r>
          </w:p>
        </w:tc>
        <w:tc>
          <w:tcPr>
            <w:tcW w:w="521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7F903E" w14:textId="0105A490" w:rsidR="00AF0EF1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1</w:t>
            </w:r>
            <w:r w:rsidR="006D2B4B">
              <w:rPr>
                <w:rFonts w:ascii="Calibri" w:eastAsia="Times New Roman" w:hAnsi="Calibri" w:cs="Calibri"/>
                <w:color w:val="000000"/>
                <w:lang/>
              </w:rPr>
              <w:t>8</w:t>
            </w:r>
            <w:r w:rsidR="00761A7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F0EF1" w:rsidRPr="000E126F" w14:paraId="4E1E1E09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FCDBAA" w14:textId="77777777" w:rsidR="00AF0EF1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Basileuterus</w:t>
            </w:r>
            <w:proofErr w:type="spellEnd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culicivorus</w:t>
            </w:r>
            <w:proofErr w:type="spellEnd"/>
          </w:p>
          <w:p w14:paraId="19CDBFD1" w14:textId="77777777" w:rsidR="00AF0EF1" w:rsidRPr="000E126F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 w:eastAsia="zh-CN"/>
              </w:rPr>
            </w:pP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446E7A" w14:textId="3E94079D" w:rsidR="00AF0EF1" w:rsidRPr="000E126F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9.7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0,5</w:t>
            </w: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(9 - 10.75)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4EDE9E" w14:textId="002F776F" w:rsidR="00AF0EF1" w:rsidRPr="000E126F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10.8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 xml:space="preserve">1,5 </w:t>
            </w: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>(9.5 - 13)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BF11E3" w14:textId="4CFC141F" w:rsidR="00AF0EF1" w:rsidRPr="00AF0EF1" w:rsidRDefault="00761A78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0</w:t>
            </w:r>
            <w:r w:rsidR="00620209">
              <w:rPr>
                <w:rFonts w:ascii="Calibri" w:eastAsia="Times New Roman" w:hAnsi="Calibri" w:cs="Calibri"/>
                <w:color w:val="000000"/>
                <w:lang w:val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pt-BR"/>
              </w:rPr>
              <w:t>03</w:t>
            </w:r>
            <w:r w:rsidR="00AF0EF1">
              <w:rPr>
                <w:rFonts w:ascii="Calibri" w:eastAsia="Times New Roman" w:hAnsi="Calibri" w:cs="Calibri"/>
                <w:color w:val="000000"/>
                <w:lang w:val="pt-BR"/>
              </w:rPr>
              <w:t>*</w:t>
            </w:r>
          </w:p>
        </w:tc>
      </w:tr>
      <w:tr w:rsidR="00AF0EF1" w:rsidRPr="00620209" w14:paraId="2702B568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C9A160" w14:textId="77777777" w:rsidR="00AF0EF1" w:rsidRPr="00620209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620209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Arremon</w:t>
            </w:r>
            <w:proofErr w:type="spellEnd"/>
            <w:r w:rsidRPr="00620209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20209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taciturnus</w:t>
            </w:r>
            <w:proofErr w:type="spellEnd"/>
          </w:p>
          <w:p w14:paraId="35BEE812" w14:textId="77777777" w:rsidR="00AF0EF1" w:rsidRPr="00620209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D9C132" w14:textId="17683765" w:rsidR="00AF0EF1" w:rsidRPr="00620209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 xml:space="preserve">26.4 ± </w:t>
            </w:r>
            <w:r w:rsidR="00761A78" w:rsidRPr="00620209">
              <w:rPr>
                <w:rFonts w:ascii="Calibri" w:eastAsia="Times New Roman" w:hAnsi="Calibri" w:cs="Calibri"/>
                <w:color w:val="000000"/>
                <w:lang w:val="pt-BR"/>
              </w:rPr>
              <w:t>3,8</w:t>
            </w: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(22.5 - 34)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D58004" w14:textId="2535F3A3" w:rsidR="00AF0EF1" w:rsidRPr="00620209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 xml:space="preserve">24.8 ± </w:t>
            </w:r>
            <w:r w:rsidR="00761A78" w:rsidRPr="00620209">
              <w:rPr>
                <w:rFonts w:ascii="Calibri" w:eastAsia="Times New Roman" w:hAnsi="Calibri" w:cs="Calibri"/>
                <w:color w:val="000000"/>
                <w:lang w:val="pt-BR"/>
              </w:rPr>
              <w:t>0,7</w:t>
            </w: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(24 - 26)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9D062C" w14:textId="31E1A60C" w:rsidR="00AF0EF1" w:rsidRPr="00620209" w:rsidRDefault="00620209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>0</w:t>
            </w:r>
            <w:r w:rsidR="004D7B89">
              <w:rPr>
                <w:rFonts w:ascii="Calibri" w:eastAsia="Times New Roman" w:hAnsi="Calibri" w:cs="Calibri"/>
                <w:color w:val="000000"/>
                <w:lang w:val="pt-BR"/>
              </w:rPr>
              <w:t>.</w:t>
            </w: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>0</w:t>
            </w:r>
            <w:r w:rsidR="006D2B4B">
              <w:rPr>
                <w:rFonts w:ascii="Calibri" w:eastAsia="Times New Roman" w:hAnsi="Calibri" w:cs="Calibri"/>
                <w:color w:val="000000"/>
                <w:lang/>
              </w:rPr>
              <w:t>2</w:t>
            </w:r>
            <w:r w:rsidRPr="00620209">
              <w:rPr>
                <w:rFonts w:ascii="Calibri" w:eastAsia="Times New Roman" w:hAnsi="Calibri" w:cs="Calibri"/>
                <w:color w:val="000000"/>
                <w:lang w:val="pt-BR"/>
              </w:rPr>
              <w:t>*</w:t>
            </w:r>
          </w:p>
        </w:tc>
      </w:tr>
      <w:tr w:rsidR="00AF0EF1" w:rsidRPr="000E126F" w14:paraId="4AF7C05C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2C4150" w14:textId="77777777" w:rsidR="00AF0EF1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Turdus</w:t>
            </w:r>
            <w:proofErr w:type="spellEnd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leucomelas</w:t>
            </w:r>
            <w:proofErr w:type="spellEnd"/>
          </w:p>
          <w:p w14:paraId="5CA94AA4" w14:textId="77777777" w:rsidR="00AF0EF1" w:rsidRPr="0056245F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A14F44" w14:textId="5F4C5FDA" w:rsidR="00AF0EF1" w:rsidRPr="00AF0EF1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61.8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2,3</w:t>
            </w: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(58.5 - 66)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6ACDCC" w14:textId="42F9A73B" w:rsidR="00AF0EF1" w:rsidRPr="00AF0EF1" w:rsidRDefault="00AF0EF1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63.1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4,5</w:t>
            </w:r>
            <w:r w:rsidRPr="00AF0EF1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(56 - 69.5)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66131B" w14:textId="26DE3F19" w:rsidR="00AF0EF1" w:rsidRDefault="00620209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209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AF0EF1" w:rsidRPr="000E126F" w14:paraId="73A980B3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825C1" w14:textId="77777777" w:rsidR="00AF0EF1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Neopelma</w:t>
            </w:r>
            <w:proofErr w:type="spellEnd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pallescens</w:t>
            </w:r>
            <w:proofErr w:type="spellEnd"/>
          </w:p>
          <w:p w14:paraId="392DA7C5" w14:textId="77777777" w:rsidR="00AF0EF1" w:rsidRPr="0056245F" w:rsidRDefault="00AF0EF1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8A04DD" w14:textId="7B556518" w:rsidR="00AF0EF1" w:rsidRPr="00AF0EF1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16.9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1,2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(15 - 19.5)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E95305" w14:textId="028D9C21" w:rsidR="00AF0EF1" w:rsidRPr="00AF0EF1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17.5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1,1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(16 - 19)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22E49F" w14:textId="7EA4D71B" w:rsidR="00AF0EF1" w:rsidRDefault="00620209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209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0E126F" w:rsidRPr="00AF0EF1" w14:paraId="2400E782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849D" w14:textId="784BFF23" w:rsidR="0056245F" w:rsidRDefault="0056245F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Conopophaga</w:t>
            </w:r>
            <w:proofErr w:type="spellEnd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6245F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cearae</w:t>
            </w:r>
            <w:proofErr w:type="spellEnd"/>
          </w:p>
          <w:p w14:paraId="775A15E0" w14:textId="77777777" w:rsidR="0056245F" w:rsidRDefault="0056245F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</w:p>
          <w:p w14:paraId="1CC58408" w14:textId="4BA5E7B8" w:rsidR="0056245F" w:rsidRPr="000E126F" w:rsidRDefault="0056245F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DEA7" w14:textId="3FDCC480" w:rsidR="000E126F" w:rsidRPr="000E126F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24.5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1,6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(22.5 - 26.5)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A2E7" w14:textId="355D212F" w:rsidR="000E126F" w:rsidRPr="000E126F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24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 xml:space="preserve">1,1 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>(22.7 - 25.5)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69E2" w14:textId="6A93E724" w:rsidR="000E126F" w:rsidRPr="006D2B4B" w:rsidRDefault="00620209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0</w:t>
            </w:r>
            <w:r w:rsidR="004D7B89">
              <w:rPr>
                <w:rFonts w:ascii="Calibri" w:eastAsia="Times New Roman" w:hAnsi="Calibri" w:cs="Calibri"/>
                <w:color w:val="000000"/>
                <w:lang w:val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pt-BR"/>
              </w:rPr>
              <w:t>2</w:t>
            </w:r>
            <w:r w:rsidR="006D2B4B">
              <w:rPr>
                <w:rFonts w:ascii="Calibri" w:eastAsia="Times New Roman" w:hAnsi="Calibri" w:cs="Calibri"/>
                <w:color w:val="000000"/>
                <w:lang/>
              </w:rPr>
              <w:t>2</w:t>
            </w:r>
          </w:p>
        </w:tc>
      </w:tr>
      <w:tr w:rsidR="006D4CEE" w:rsidRPr="00AF0EF1" w14:paraId="79CC77D2" w14:textId="77777777" w:rsidTr="00620209">
        <w:trPr>
          <w:trHeight w:val="288"/>
        </w:trPr>
        <w:tc>
          <w:tcPr>
            <w:tcW w:w="17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4E72" w14:textId="1FD84D74" w:rsidR="006D4CEE" w:rsidRPr="0056245F" w:rsidRDefault="006D4CEE" w:rsidP="00620209">
            <w:pPr>
              <w:spacing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proofErr w:type="spellStart"/>
            <w:r w:rsidRPr="006D4CEE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Synallaxis</w:t>
            </w:r>
            <w:proofErr w:type="spellEnd"/>
            <w:r w:rsidRPr="006D4CEE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D4CEE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scutata</w:t>
            </w:r>
            <w:proofErr w:type="spellEnd"/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4ED8" w14:textId="68797196" w:rsidR="006D4CEE" w:rsidRPr="006D4CEE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12.8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0,4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(12.5 - 13.5)</w:t>
            </w:r>
          </w:p>
        </w:tc>
        <w:tc>
          <w:tcPr>
            <w:tcW w:w="13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8FBB" w14:textId="3152058B" w:rsidR="006D4CEE" w:rsidRPr="006D4CEE" w:rsidRDefault="006D4CEE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13.6 ± </w:t>
            </w:r>
            <w:r w:rsidR="00761A78">
              <w:rPr>
                <w:rFonts w:ascii="Calibri" w:eastAsia="Times New Roman" w:hAnsi="Calibri" w:cs="Calibri"/>
                <w:color w:val="000000"/>
                <w:lang w:val="pt-BR"/>
              </w:rPr>
              <w:t>0,4</w:t>
            </w:r>
            <w:r w:rsidRPr="006D4CEE">
              <w:rPr>
                <w:rFonts w:ascii="Calibri" w:eastAsia="Times New Roman" w:hAnsi="Calibri" w:cs="Calibri"/>
                <w:color w:val="000000"/>
                <w:lang w:val="pt-BR"/>
              </w:rPr>
              <w:t xml:space="preserve"> (13 - 14)</w:t>
            </w: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DBE9" w14:textId="6022BD5C" w:rsidR="006D4CEE" w:rsidRPr="00620209" w:rsidRDefault="00620209" w:rsidP="0062020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0.70</w:t>
            </w:r>
          </w:p>
        </w:tc>
      </w:tr>
    </w:tbl>
    <w:p w14:paraId="4CCE561E" w14:textId="77777777" w:rsidR="000E126F" w:rsidRPr="00AF0EF1" w:rsidRDefault="000E126F" w:rsidP="00737C78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18C288CE" w14:textId="63161F64" w:rsidR="00586592" w:rsidRDefault="0012185B" w:rsidP="000326D2">
      <w:pPr>
        <w:spacing w:line="240" w:lineRule="auto"/>
        <w:ind w:firstLine="567"/>
        <w:jc w:val="center"/>
        <w:rPr>
          <w:sz w:val="20"/>
          <w:szCs w:val="20"/>
          <w:lang w:val="pt-BR" w:eastAsia="zh-CN"/>
        </w:rPr>
      </w:pPr>
      <w:r w:rsidRPr="000326D2">
        <w:rPr>
          <w:b/>
          <w:bCs/>
          <w:sz w:val="20"/>
          <w:szCs w:val="20"/>
          <w:lang w:val="pt-BR" w:eastAsia="zh-CN"/>
        </w:rPr>
        <w:t>Tabela 1</w:t>
      </w:r>
      <w:r w:rsidRPr="0012185B">
        <w:rPr>
          <w:sz w:val="20"/>
          <w:szCs w:val="20"/>
          <w:lang w:val="pt-BR" w:eastAsia="zh-CN"/>
        </w:rPr>
        <w:t>: Estimativas de massa corporal</w:t>
      </w:r>
      <w:r w:rsidR="006D2B4B">
        <w:rPr>
          <w:sz w:val="20"/>
          <w:szCs w:val="20"/>
          <w:lang w:eastAsia="zh-CN"/>
        </w:rPr>
        <w:t xml:space="preserve"> e sua variação </w:t>
      </w:r>
      <w:r w:rsidRPr="0012185B">
        <w:rPr>
          <w:sz w:val="20"/>
          <w:szCs w:val="20"/>
          <w:lang w:val="pt-BR" w:eastAsia="zh-CN"/>
        </w:rPr>
        <w:t>entre habitats</w:t>
      </w:r>
      <w:r w:rsidR="000326D2">
        <w:rPr>
          <w:sz w:val="20"/>
          <w:szCs w:val="20"/>
          <w:lang w:val="pt-BR" w:eastAsia="zh-CN"/>
        </w:rPr>
        <w:t xml:space="preserve"> </w:t>
      </w:r>
      <w:r w:rsidRPr="0012185B">
        <w:rPr>
          <w:sz w:val="20"/>
          <w:szCs w:val="20"/>
          <w:lang w:val="pt-BR" w:eastAsia="zh-CN"/>
        </w:rPr>
        <w:t xml:space="preserve">para </w:t>
      </w:r>
      <w:r w:rsidR="006D2B4B">
        <w:rPr>
          <w:sz w:val="20"/>
          <w:szCs w:val="20"/>
          <w:lang w:eastAsia="zh-CN"/>
        </w:rPr>
        <w:t>sete espécies de aves de subosque na RPPN Brejo, Saloá</w:t>
      </w:r>
      <w:r w:rsidRPr="0012185B">
        <w:rPr>
          <w:sz w:val="20"/>
          <w:szCs w:val="20"/>
          <w:lang w:val="pt-BR" w:eastAsia="zh-CN"/>
        </w:rPr>
        <w:t>.</w:t>
      </w:r>
    </w:p>
    <w:p w14:paraId="14C9FD7A" w14:textId="77777777" w:rsidR="000D33BE" w:rsidRDefault="000D33BE" w:rsidP="000326D2">
      <w:pPr>
        <w:spacing w:line="240" w:lineRule="auto"/>
        <w:ind w:firstLine="567"/>
        <w:jc w:val="center"/>
        <w:rPr>
          <w:sz w:val="20"/>
          <w:szCs w:val="20"/>
          <w:lang w:val="pt-BR" w:eastAsia="zh-CN"/>
        </w:rPr>
      </w:pPr>
    </w:p>
    <w:p w14:paraId="1F2A7658" w14:textId="42A14383" w:rsidR="001A1431" w:rsidRDefault="000D33BE" w:rsidP="001A57F1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0D33BE">
        <w:rPr>
          <w:sz w:val="20"/>
          <w:szCs w:val="20"/>
          <w:lang w:val="pt-BR" w:eastAsia="zh-CN"/>
        </w:rPr>
        <w:t xml:space="preserve">A análise dos resultados revelou padrões distintos em relação à </w:t>
      </w:r>
      <w:r w:rsidR="006D2B4B">
        <w:rPr>
          <w:sz w:val="20"/>
          <w:szCs w:val="20"/>
          <w:lang w:eastAsia="zh-CN"/>
        </w:rPr>
        <w:t xml:space="preserve">variação da </w:t>
      </w:r>
      <w:r w:rsidRPr="000D33BE">
        <w:rPr>
          <w:sz w:val="20"/>
          <w:szCs w:val="20"/>
          <w:lang w:val="pt-BR" w:eastAsia="zh-CN"/>
        </w:rPr>
        <w:t>massa corporal</w:t>
      </w:r>
      <w:r w:rsidR="006D2B4B">
        <w:rPr>
          <w:sz w:val="20"/>
          <w:szCs w:val="20"/>
          <w:lang w:eastAsia="zh-CN"/>
        </w:rPr>
        <w:t xml:space="preserve"> das aves</w:t>
      </w:r>
      <w:r w:rsidRPr="000D33BE">
        <w:rPr>
          <w:sz w:val="20"/>
          <w:szCs w:val="20"/>
          <w:lang w:val="pt-BR" w:eastAsia="zh-CN"/>
        </w:rPr>
        <w:t xml:space="preserve"> nas diferentes condições de habitat. </w:t>
      </w:r>
      <w:r w:rsidR="001A57F1">
        <w:rPr>
          <w:sz w:val="20"/>
          <w:szCs w:val="20"/>
          <w:lang w:val="pt-BR" w:eastAsia="zh-CN"/>
        </w:rPr>
        <w:t>Em um primeiro cenário</w:t>
      </w:r>
      <w:r w:rsidRPr="000D33BE">
        <w:rPr>
          <w:sz w:val="20"/>
          <w:szCs w:val="20"/>
          <w:lang w:val="pt-BR" w:eastAsia="zh-CN"/>
        </w:rPr>
        <w:t>, podemos observar</w:t>
      </w:r>
      <w:r w:rsidR="00A44DAC">
        <w:rPr>
          <w:sz w:val="20"/>
          <w:szCs w:val="20"/>
          <w:lang w:eastAsia="zh-CN"/>
        </w:rPr>
        <w:t xml:space="preserve"> que a maioria d</w:t>
      </w:r>
      <w:r w:rsidRPr="000D33BE">
        <w:rPr>
          <w:sz w:val="20"/>
          <w:szCs w:val="20"/>
          <w:lang w:val="pt-BR" w:eastAsia="zh-CN"/>
        </w:rPr>
        <w:t xml:space="preserve">as espécies </w:t>
      </w:r>
      <w:r w:rsidR="00A44DAC">
        <w:rPr>
          <w:sz w:val="20"/>
          <w:szCs w:val="20"/>
          <w:lang w:eastAsia="zh-CN"/>
        </w:rPr>
        <w:t>apresentou</w:t>
      </w:r>
      <w:r w:rsidRPr="000D33BE">
        <w:rPr>
          <w:sz w:val="20"/>
          <w:szCs w:val="20"/>
          <w:lang w:val="pt-BR" w:eastAsia="zh-CN"/>
        </w:rPr>
        <w:t xml:space="preserve"> médias e variações de massa corporal semelhantes entre </w:t>
      </w:r>
      <w:r w:rsidR="00A44DAC">
        <w:rPr>
          <w:sz w:val="20"/>
          <w:szCs w:val="20"/>
          <w:lang w:eastAsia="zh-CN"/>
        </w:rPr>
        <w:t>florestas preservada e em recuperação</w:t>
      </w:r>
      <w:r w:rsidRPr="000D33BE">
        <w:rPr>
          <w:sz w:val="20"/>
          <w:szCs w:val="20"/>
          <w:lang w:val="pt-BR" w:eastAsia="zh-CN"/>
        </w:rPr>
        <w:t xml:space="preserve">. </w:t>
      </w:r>
      <w:r w:rsidR="00A44DAC">
        <w:rPr>
          <w:sz w:val="20"/>
          <w:szCs w:val="20"/>
          <w:lang w:eastAsia="zh-CN"/>
        </w:rPr>
        <w:t xml:space="preserve">É o caso das populações de </w:t>
      </w:r>
      <w:r w:rsidRPr="001A57F1">
        <w:rPr>
          <w:i/>
          <w:iCs/>
          <w:sz w:val="20"/>
          <w:szCs w:val="20"/>
          <w:lang w:val="pt-BR" w:eastAsia="zh-CN"/>
        </w:rPr>
        <w:t>M</w:t>
      </w:r>
      <w:r w:rsidR="00A44DAC">
        <w:rPr>
          <w:i/>
          <w:iCs/>
          <w:sz w:val="20"/>
          <w:szCs w:val="20"/>
          <w:lang w:eastAsia="zh-CN"/>
        </w:rPr>
        <w:t>.</w:t>
      </w:r>
      <w:r w:rsidRPr="001A57F1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1A57F1">
        <w:rPr>
          <w:i/>
          <w:iCs/>
          <w:sz w:val="20"/>
          <w:szCs w:val="20"/>
          <w:lang w:val="pt-BR" w:eastAsia="zh-CN"/>
        </w:rPr>
        <w:t>flaveola</w:t>
      </w:r>
      <w:proofErr w:type="spellEnd"/>
      <w:r w:rsidRPr="000D33BE">
        <w:rPr>
          <w:sz w:val="20"/>
          <w:szCs w:val="20"/>
          <w:lang w:val="pt-BR" w:eastAsia="zh-CN"/>
        </w:rPr>
        <w:t>,</w:t>
      </w:r>
      <w:r w:rsidR="00A44DAC">
        <w:rPr>
          <w:sz w:val="20"/>
          <w:szCs w:val="20"/>
          <w:lang w:eastAsia="zh-CN"/>
        </w:rPr>
        <w:t xml:space="preserve"> </w:t>
      </w:r>
      <w:r w:rsidR="00A44DAC" w:rsidRPr="00A44DAC">
        <w:rPr>
          <w:i/>
          <w:iCs/>
          <w:sz w:val="20"/>
          <w:szCs w:val="20"/>
          <w:lang w:eastAsia="zh-CN"/>
        </w:rPr>
        <w:t>N</w:t>
      </w:r>
      <w:r w:rsidR="00A44DAC">
        <w:rPr>
          <w:i/>
          <w:iCs/>
          <w:sz w:val="20"/>
          <w:szCs w:val="20"/>
          <w:lang w:eastAsia="zh-CN"/>
        </w:rPr>
        <w:t>.</w:t>
      </w:r>
      <w:r w:rsidR="00A44DAC" w:rsidRPr="00A44DAC">
        <w:rPr>
          <w:i/>
          <w:iCs/>
          <w:sz w:val="20"/>
          <w:szCs w:val="20"/>
          <w:lang w:eastAsia="zh-CN"/>
        </w:rPr>
        <w:t xml:space="preserve"> pallescens</w:t>
      </w:r>
      <w:r w:rsidR="00A44DAC">
        <w:rPr>
          <w:sz w:val="20"/>
          <w:szCs w:val="20"/>
          <w:lang w:eastAsia="zh-CN"/>
        </w:rPr>
        <w:t xml:space="preserve"> e </w:t>
      </w:r>
      <w:r w:rsidR="00A44DAC" w:rsidRPr="00A44DAC">
        <w:rPr>
          <w:i/>
          <w:iCs/>
          <w:sz w:val="20"/>
          <w:szCs w:val="20"/>
          <w:lang w:eastAsia="zh-CN"/>
        </w:rPr>
        <w:t>C. cearae</w:t>
      </w:r>
      <w:r w:rsidR="00A44DAC">
        <w:rPr>
          <w:sz w:val="20"/>
          <w:szCs w:val="20"/>
          <w:lang w:eastAsia="zh-CN"/>
        </w:rPr>
        <w:t>. Em o</w:t>
      </w:r>
      <w:proofErr w:type="spellStart"/>
      <w:r w:rsidR="00A44DAC">
        <w:rPr>
          <w:sz w:val="20"/>
          <w:szCs w:val="20"/>
          <w:lang w:val="pt-BR" w:eastAsia="zh-CN"/>
        </w:rPr>
        <w:t>utro</w:t>
      </w:r>
      <w:proofErr w:type="spellEnd"/>
      <w:r w:rsidR="00A44DAC">
        <w:rPr>
          <w:sz w:val="20"/>
          <w:szCs w:val="20"/>
          <w:lang w:val="pt-BR" w:eastAsia="zh-CN"/>
        </w:rPr>
        <w:t xml:space="preserve"> cenário</w:t>
      </w:r>
      <w:r w:rsidR="00A44DAC" w:rsidRPr="000D33BE">
        <w:rPr>
          <w:sz w:val="20"/>
          <w:szCs w:val="20"/>
          <w:lang w:val="pt-BR" w:eastAsia="zh-CN"/>
        </w:rPr>
        <w:t xml:space="preserve"> </w:t>
      </w:r>
      <w:r w:rsidR="00A44DAC">
        <w:rPr>
          <w:sz w:val="20"/>
          <w:szCs w:val="20"/>
          <w:lang w:eastAsia="zh-CN"/>
        </w:rPr>
        <w:t xml:space="preserve">foram </w:t>
      </w:r>
      <w:proofErr w:type="spellStart"/>
      <w:r w:rsidR="00A44DAC">
        <w:rPr>
          <w:sz w:val="20"/>
          <w:szCs w:val="20"/>
          <w:lang w:val="pt-BR" w:eastAsia="zh-CN"/>
        </w:rPr>
        <w:t>observad</w:t>
      </w:r>
      <w:proofErr w:type="spellEnd"/>
      <w:r w:rsidR="00A44DAC">
        <w:rPr>
          <w:sz w:val="20"/>
          <w:szCs w:val="20"/>
          <w:lang w:eastAsia="zh-CN"/>
        </w:rPr>
        <w:t>as</w:t>
      </w:r>
      <w:r w:rsidR="00A44DAC">
        <w:rPr>
          <w:sz w:val="20"/>
          <w:szCs w:val="20"/>
          <w:lang w:val="pt-BR" w:eastAsia="zh-CN"/>
        </w:rPr>
        <w:t xml:space="preserve"> </w:t>
      </w:r>
      <w:r w:rsidR="00A44DAC">
        <w:rPr>
          <w:sz w:val="20"/>
          <w:szCs w:val="20"/>
          <w:lang w:eastAsia="zh-CN"/>
        </w:rPr>
        <w:t>di</w:t>
      </w:r>
      <w:proofErr w:type="spellStart"/>
      <w:r w:rsidR="00A44DAC" w:rsidRPr="000D33BE">
        <w:rPr>
          <w:sz w:val="20"/>
          <w:szCs w:val="20"/>
          <w:lang w:val="pt-BR" w:eastAsia="zh-CN"/>
        </w:rPr>
        <w:t>ferenças</w:t>
      </w:r>
      <w:proofErr w:type="spellEnd"/>
      <w:r w:rsidR="00A44DAC" w:rsidRPr="000D33BE">
        <w:rPr>
          <w:sz w:val="20"/>
          <w:szCs w:val="20"/>
          <w:lang w:val="pt-BR" w:eastAsia="zh-CN"/>
        </w:rPr>
        <w:t xml:space="preserve"> significativas </w:t>
      </w:r>
      <w:r w:rsidR="00A44DAC">
        <w:rPr>
          <w:sz w:val="20"/>
          <w:szCs w:val="20"/>
          <w:lang w:eastAsia="zh-CN"/>
        </w:rPr>
        <w:t xml:space="preserve">entre </w:t>
      </w:r>
      <w:r w:rsidR="00A44DAC" w:rsidRPr="000D33BE">
        <w:rPr>
          <w:sz w:val="20"/>
          <w:szCs w:val="20"/>
          <w:lang w:val="pt-BR" w:eastAsia="zh-CN"/>
        </w:rPr>
        <w:t xml:space="preserve">as médias de massa corporal </w:t>
      </w:r>
      <w:r w:rsidR="00EE65F7">
        <w:rPr>
          <w:sz w:val="20"/>
          <w:szCs w:val="20"/>
          <w:lang w:eastAsia="zh-CN"/>
        </w:rPr>
        <w:t xml:space="preserve">dos indivíduos que ocupam </w:t>
      </w:r>
      <w:r w:rsidR="00A44DAC" w:rsidRPr="000D33BE">
        <w:rPr>
          <w:sz w:val="20"/>
          <w:szCs w:val="20"/>
          <w:lang w:val="pt-BR" w:eastAsia="zh-CN"/>
        </w:rPr>
        <w:t>habitats</w:t>
      </w:r>
      <w:r w:rsidR="00EE65F7">
        <w:rPr>
          <w:sz w:val="20"/>
          <w:szCs w:val="20"/>
          <w:lang w:eastAsia="zh-CN"/>
        </w:rPr>
        <w:t xml:space="preserve"> distintos, a exemplo de </w:t>
      </w:r>
      <w:proofErr w:type="spellStart"/>
      <w:r w:rsidR="00A44DAC" w:rsidRPr="001A57F1">
        <w:rPr>
          <w:i/>
          <w:iCs/>
          <w:sz w:val="20"/>
          <w:szCs w:val="20"/>
          <w:lang w:val="pt-BR" w:eastAsia="zh-CN"/>
        </w:rPr>
        <w:t>Basileuterus</w:t>
      </w:r>
      <w:proofErr w:type="spellEnd"/>
      <w:r w:rsidR="00A44DAC" w:rsidRPr="001A57F1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A44DAC" w:rsidRPr="001A57F1">
        <w:rPr>
          <w:i/>
          <w:iCs/>
          <w:sz w:val="20"/>
          <w:szCs w:val="20"/>
          <w:lang w:val="pt-BR" w:eastAsia="zh-CN"/>
        </w:rPr>
        <w:t>culicivorus</w:t>
      </w:r>
      <w:proofErr w:type="spellEnd"/>
      <w:r w:rsidR="00A44DAC" w:rsidRPr="001A57F1">
        <w:rPr>
          <w:sz w:val="20"/>
          <w:szCs w:val="20"/>
          <w:lang w:val="pt-BR" w:eastAsia="zh-CN"/>
        </w:rPr>
        <w:t xml:space="preserve"> e </w:t>
      </w:r>
      <w:proofErr w:type="spellStart"/>
      <w:r w:rsidR="00A44DAC" w:rsidRPr="001A57F1">
        <w:rPr>
          <w:i/>
          <w:iCs/>
          <w:sz w:val="20"/>
          <w:szCs w:val="20"/>
          <w:lang w:val="pt-BR" w:eastAsia="zh-CN"/>
        </w:rPr>
        <w:t>Arremon</w:t>
      </w:r>
      <w:proofErr w:type="spellEnd"/>
      <w:r w:rsidR="00A44DAC" w:rsidRPr="001A57F1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A44DAC" w:rsidRPr="001A57F1">
        <w:rPr>
          <w:i/>
          <w:iCs/>
          <w:sz w:val="20"/>
          <w:szCs w:val="20"/>
          <w:lang w:val="pt-BR" w:eastAsia="zh-CN"/>
        </w:rPr>
        <w:t>taciturnus</w:t>
      </w:r>
      <w:proofErr w:type="spellEnd"/>
      <w:r w:rsidR="00A44DAC" w:rsidRPr="001A57F1">
        <w:rPr>
          <w:sz w:val="20"/>
          <w:szCs w:val="20"/>
          <w:lang w:val="pt-BR" w:eastAsia="zh-CN"/>
        </w:rPr>
        <w:t>. O</w:t>
      </w:r>
      <w:r w:rsidR="00EE65F7">
        <w:rPr>
          <w:sz w:val="20"/>
          <w:szCs w:val="20"/>
          <w:lang w:eastAsia="zh-CN"/>
        </w:rPr>
        <w:t xml:space="preserve">s indivíduos de </w:t>
      </w:r>
      <w:r w:rsidR="00EE65F7" w:rsidRPr="00EE65F7">
        <w:rPr>
          <w:i/>
          <w:iCs/>
          <w:sz w:val="20"/>
          <w:szCs w:val="20"/>
          <w:lang w:eastAsia="zh-CN"/>
        </w:rPr>
        <w:t>B. culicivorus</w:t>
      </w:r>
      <w:r w:rsidR="00A44DAC" w:rsidRPr="001A57F1">
        <w:rPr>
          <w:sz w:val="20"/>
          <w:szCs w:val="20"/>
          <w:lang w:val="pt-BR" w:eastAsia="zh-CN"/>
        </w:rPr>
        <w:t xml:space="preserve"> </w:t>
      </w:r>
      <w:r w:rsidR="00EE65F7">
        <w:rPr>
          <w:sz w:val="20"/>
          <w:szCs w:val="20"/>
          <w:lang w:eastAsia="zh-CN"/>
        </w:rPr>
        <w:t>capturados na floresta em recuperação foram mais pesados que aqueles da floresta preservada</w:t>
      </w:r>
      <w:r w:rsidR="00A44DAC" w:rsidRPr="001A57F1">
        <w:rPr>
          <w:sz w:val="20"/>
          <w:szCs w:val="20"/>
          <w:lang w:val="pt-BR" w:eastAsia="zh-CN"/>
        </w:rPr>
        <w:t xml:space="preserve">, </w:t>
      </w:r>
      <w:r w:rsidR="00EE65F7">
        <w:rPr>
          <w:sz w:val="20"/>
          <w:szCs w:val="20"/>
          <w:lang w:eastAsia="zh-CN"/>
        </w:rPr>
        <w:t xml:space="preserve">o que pode indicar uma maior oferta de presas invertebradas na primeira comparada à segunda, considerando que a espécie é estritamente insetívora. </w:t>
      </w:r>
      <w:r w:rsidR="00A44DAC" w:rsidRPr="001A57F1">
        <w:rPr>
          <w:sz w:val="20"/>
          <w:szCs w:val="20"/>
          <w:lang w:val="pt-BR" w:eastAsia="zh-CN"/>
        </w:rPr>
        <w:t xml:space="preserve">Já </w:t>
      </w:r>
      <w:r w:rsidR="00EE65F7">
        <w:rPr>
          <w:sz w:val="20"/>
          <w:szCs w:val="20"/>
          <w:lang w:eastAsia="zh-CN"/>
        </w:rPr>
        <w:t xml:space="preserve">os indivíduos de </w:t>
      </w:r>
      <w:r w:rsidR="00A44DAC" w:rsidRPr="001A57F1">
        <w:rPr>
          <w:i/>
          <w:iCs/>
          <w:sz w:val="20"/>
          <w:szCs w:val="20"/>
          <w:lang w:val="pt-BR" w:eastAsia="zh-CN"/>
        </w:rPr>
        <w:t>A</w:t>
      </w:r>
      <w:r w:rsidR="00EE65F7">
        <w:rPr>
          <w:i/>
          <w:iCs/>
          <w:sz w:val="20"/>
          <w:szCs w:val="20"/>
          <w:lang w:eastAsia="zh-CN"/>
        </w:rPr>
        <w:t>.</w:t>
      </w:r>
      <w:r w:rsidR="00A44DAC" w:rsidRPr="001A57F1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A44DAC" w:rsidRPr="001A57F1">
        <w:rPr>
          <w:i/>
          <w:iCs/>
          <w:sz w:val="20"/>
          <w:szCs w:val="20"/>
          <w:lang w:val="pt-BR" w:eastAsia="zh-CN"/>
        </w:rPr>
        <w:t>taciturnus</w:t>
      </w:r>
      <w:proofErr w:type="spellEnd"/>
      <w:r w:rsidR="00EE65F7">
        <w:rPr>
          <w:sz w:val="20"/>
          <w:szCs w:val="20"/>
          <w:lang w:eastAsia="zh-CN"/>
        </w:rPr>
        <w:t>, a única espécie onívora monitorada, que foram capturados na floresta preservada foram mais pesados que os da floresta em recuperação</w:t>
      </w:r>
      <w:r w:rsidR="00A44DAC">
        <w:rPr>
          <w:sz w:val="20"/>
          <w:szCs w:val="20"/>
          <w:lang w:val="pt-BR" w:eastAsia="zh-CN"/>
        </w:rPr>
        <w:t>.</w:t>
      </w:r>
    </w:p>
    <w:p w14:paraId="0CBEB95E" w14:textId="77777777" w:rsidR="001A57F1" w:rsidRPr="001A57F1" w:rsidRDefault="001A57F1" w:rsidP="001A57F1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5F237617" w14:textId="77777777" w:rsidR="00B555C8" w:rsidRPr="00F17928" w:rsidRDefault="004D7B89" w:rsidP="006A550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17928">
        <w:rPr>
          <w:rFonts w:eastAsia="Times New Roman"/>
          <w:b/>
          <w:sz w:val="20"/>
          <w:szCs w:val="20"/>
          <w:lang w:val="pt-BR"/>
        </w:rPr>
        <w:t>CONCLUSÕES</w:t>
      </w:r>
    </w:p>
    <w:p w14:paraId="1E367C69" w14:textId="7A78A5FD" w:rsidR="00737C78" w:rsidRPr="0093060E" w:rsidRDefault="002D0764" w:rsidP="002D0764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>C</w:t>
      </w:r>
      <w:r w:rsidRPr="00DB6571">
        <w:rPr>
          <w:rFonts w:eastAsia="Times New Roman"/>
          <w:sz w:val="20"/>
          <w:szCs w:val="20"/>
          <w:lang w:val="pt-BR"/>
        </w:rPr>
        <w:t>om base nos resultados obtidos até o momento, não foi encontrada diferença significativa na média de pesos individuais para a maioria das espécies estudadas entre os dois habitats analisados.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DB6571">
        <w:rPr>
          <w:rFonts w:eastAsia="Times New Roman"/>
          <w:sz w:val="20"/>
          <w:szCs w:val="20"/>
          <w:lang w:val="pt-BR"/>
        </w:rPr>
        <w:t xml:space="preserve">No entanto, </w:t>
      </w:r>
      <w:r w:rsidR="00654FE6">
        <w:rPr>
          <w:rFonts w:eastAsia="Times New Roman"/>
          <w:sz w:val="20"/>
          <w:szCs w:val="20"/>
          <w:lang/>
        </w:rPr>
        <w:t xml:space="preserve">não podemos ignorar que </w:t>
      </w:r>
      <w:r w:rsidRPr="00DB6571">
        <w:rPr>
          <w:rFonts w:eastAsia="Times New Roman"/>
          <w:sz w:val="20"/>
          <w:szCs w:val="20"/>
          <w:lang w:val="pt-BR"/>
        </w:rPr>
        <w:t>algumas espécies apresentaram variações notáveis na amplitude de suas massas corporais entre os habitats</w:t>
      </w:r>
      <w:r w:rsidR="00654FE6">
        <w:rPr>
          <w:rFonts w:eastAsia="Times New Roman"/>
          <w:sz w:val="20"/>
          <w:szCs w:val="20"/>
          <w:lang/>
        </w:rPr>
        <w:t xml:space="preserve">, independentemente do quão distintas </w:t>
      </w:r>
      <w:r w:rsidR="003F45DA">
        <w:rPr>
          <w:rFonts w:eastAsia="Times New Roman"/>
          <w:sz w:val="20"/>
          <w:szCs w:val="20"/>
          <w:lang/>
        </w:rPr>
        <w:t xml:space="preserve">tenham sido </w:t>
      </w:r>
      <w:r w:rsidR="00654FE6">
        <w:rPr>
          <w:rFonts w:eastAsia="Times New Roman"/>
          <w:sz w:val="20"/>
          <w:szCs w:val="20"/>
          <w:lang/>
        </w:rPr>
        <w:t xml:space="preserve">quanto às suas médias de massa. </w:t>
      </w:r>
      <w:r w:rsidR="003F45DA">
        <w:rPr>
          <w:rFonts w:eastAsia="Times New Roman"/>
          <w:sz w:val="20"/>
          <w:szCs w:val="20"/>
          <w:lang/>
        </w:rPr>
        <w:t>Por exemplo, além das médias distintas entre habitats no pula-pula (</w:t>
      </w:r>
      <w:r w:rsidRPr="00DB6571">
        <w:rPr>
          <w:rFonts w:eastAsia="Times New Roman"/>
          <w:i/>
          <w:iCs/>
          <w:sz w:val="20"/>
          <w:szCs w:val="20"/>
          <w:lang w:val="pt-BR"/>
        </w:rPr>
        <w:t>B</w:t>
      </w:r>
      <w:r w:rsidR="003F45DA">
        <w:rPr>
          <w:rFonts w:eastAsia="Times New Roman"/>
          <w:i/>
          <w:iCs/>
          <w:sz w:val="20"/>
          <w:szCs w:val="20"/>
          <w:lang/>
        </w:rPr>
        <w:t>.</w:t>
      </w:r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culicivorus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</w:t>
      </w:r>
      <w:r w:rsidR="003F45DA">
        <w:rPr>
          <w:rFonts w:eastAsia="Times New Roman"/>
          <w:sz w:val="20"/>
          <w:szCs w:val="20"/>
          <w:lang/>
        </w:rPr>
        <w:t xml:space="preserve"> e marginalmente distintas n</w:t>
      </w:r>
      <w:r w:rsidRPr="00DB6571">
        <w:rPr>
          <w:rFonts w:eastAsia="Times New Roman"/>
          <w:sz w:val="20"/>
          <w:szCs w:val="20"/>
          <w:lang w:val="pt-BR"/>
        </w:rPr>
        <w:t>o sabiá-barranco (</w:t>
      </w:r>
      <w:r w:rsidRPr="00DB6571">
        <w:rPr>
          <w:rFonts w:eastAsia="Times New Roman"/>
          <w:i/>
          <w:iCs/>
          <w:sz w:val="20"/>
          <w:szCs w:val="20"/>
          <w:lang w:val="pt-BR"/>
        </w:rPr>
        <w:t>T</w:t>
      </w:r>
      <w:r w:rsidR="003F45DA">
        <w:rPr>
          <w:rFonts w:eastAsia="Times New Roman"/>
          <w:i/>
          <w:iCs/>
          <w:sz w:val="20"/>
          <w:szCs w:val="20"/>
          <w:lang/>
        </w:rPr>
        <w:t>.</w:t>
      </w:r>
      <w:r w:rsidRPr="00DB6571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leucomelas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</w:t>
      </w:r>
      <w:r w:rsidR="003F45DA">
        <w:rPr>
          <w:rFonts w:eastAsia="Times New Roman"/>
          <w:sz w:val="20"/>
          <w:szCs w:val="20"/>
          <w:lang/>
        </w:rPr>
        <w:t>,</w:t>
      </w:r>
      <w:r w:rsidRPr="00DB6571">
        <w:rPr>
          <w:rFonts w:eastAsia="Times New Roman"/>
          <w:sz w:val="20"/>
          <w:szCs w:val="20"/>
          <w:lang w:val="pt-BR"/>
        </w:rPr>
        <w:t xml:space="preserve"> </w:t>
      </w:r>
      <w:r w:rsidR="003F45DA">
        <w:rPr>
          <w:rFonts w:eastAsia="Times New Roman"/>
          <w:sz w:val="20"/>
          <w:szCs w:val="20"/>
          <w:lang/>
        </w:rPr>
        <w:t xml:space="preserve">foi observado também uma </w:t>
      </w:r>
      <w:r w:rsidRPr="00DB6571">
        <w:rPr>
          <w:rFonts w:eastAsia="Times New Roman"/>
          <w:sz w:val="20"/>
          <w:szCs w:val="20"/>
          <w:lang w:val="pt-BR"/>
        </w:rPr>
        <w:t xml:space="preserve">maior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vari</w:t>
      </w:r>
      <w:proofErr w:type="spellEnd"/>
      <w:r w:rsidR="003F45DA">
        <w:rPr>
          <w:rFonts w:eastAsia="Times New Roman"/>
          <w:sz w:val="20"/>
          <w:szCs w:val="20"/>
          <w:lang/>
        </w:rPr>
        <w:t>ância</w:t>
      </w:r>
      <w:r w:rsidRPr="00DB6571">
        <w:rPr>
          <w:rFonts w:eastAsia="Times New Roman"/>
          <w:sz w:val="20"/>
          <w:szCs w:val="20"/>
          <w:lang w:val="pt-BR"/>
        </w:rPr>
        <w:t xml:space="preserve"> de massa corporal </w:t>
      </w:r>
      <w:r w:rsidR="003F45DA">
        <w:rPr>
          <w:rFonts w:eastAsia="Times New Roman"/>
          <w:sz w:val="20"/>
          <w:szCs w:val="20"/>
          <w:lang/>
        </w:rPr>
        <w:t xml:space="preserve">destas espécies </w:t>
      </w:r>
      <w:r w:rsidRPr="00DB6571">
        <w:rPr>
          <w:rFonts w:eastAsia="Times New Roman"/>
          <w:sz w:val="20"/>
          <w:szCs w:val="20"/>
          <w:lang w:val="pt-BR"/>
        </w:rPr>
        <w:t xml:space="preserve">na </w:t>
      </w:r>
      <w:r w:rsidR="003F45DA">
        <w:rPr>
          <w:rFonts w:eastAsia="Times New Roman"/>
          <w:sz w:val="20"/>
          <w:szCs w:val="20"/>
          <w:lang/>
        </w:rPr>
        <w:t>floresta em recuperação</w:t>
      </w:r>
      <w:r w:rsidRPr="00DB6571">
        <w:rPr>
          <w:rFonts w:eastAsia="Times New Roman"/>
          <w:sz w:val="20"/>
          <w:szCs w:val="20"/>
          <w:lang w:val="pt-BR"/>
        </w:rPr>
        <w:t xml:space="preserve"> em </w:t>
      </w:r>
      <w:r w:rsidRPr="00DB6571">
        <w:rPr>
          <w:rFonts w:eastAsia="Times New Roman"/>
          <w:sz w:val="20"/>
          <w:szCs w:val="20"/>
          <w:lang w:val="pt-BR"/>
        </w:rPr>
        <w:lastRenderedPageBreak/>
        <w:t xml:space="preserve">comparação com a </w:t>
      </w:r>
      <w:r w:rsidR="003F45DA">
        <w:rPr>
          <w:rFonts w:eastAsia="Times New Roman"/>
          <w:sz w:val="20"/>
          <w:szCs w:val="20"/>
          <w:lang/>
        </w:rPr>
        <w:t>estimada na floresta preservada</w:t>
      </w:r>
      <w:r w:rsidRPr="00DB6571">
        <w:rPr>
          <w:rFonts w:eastAsia="Times New Roman"/>
          <w:sz w:val="20"/>
          <w:szCs w:val="20"/>
          <w:lang w:val="pt-BR"/>
        </w:rPr>
        <w:t>. Por outro lado, o tico-tico-do-bico-preto (</w:t>
      </w:r>
      <w:r w:rsidRPr="00DB6571">
        <w:rPr>
          <w:rFonts w:eastAsia="Times New Roman"/>
          <w:i/>
          <w:iCs/>
          <w:sz w:val="20"/>
          <w:szCs w:val="20"/>
          <w:lang w:val="pt-BR"/>
        </w:rPr>
        <w:t>A</w:t>
      </w:r>
      <w:r w:rsidR="003F45DA">
        <w:rPr>
          <w:rFonts w:eastAsia="Times New Roman"/>
          <w:i/>
          <w:iCs/>
          <w:sz w:val="20"/>
          <w:szCs w:val="20"/>
          <w:lang/>
        </w:rPr>
        <w:t xml:space="preserve">. </w:t>
      </w:r>
      <w:proofErr w:type="spellStart"/>
      <w:r w:rsidRPr="00DB6571">
        <w:rPr>
          <w:rFonts w:eastAsia="Times New Roman"/>
          <w:i/>
          <w:iCs/>
          <w:sz w:val="20"/>
          <w:szCs w:val="20"/>
          <w:lang w:val="pt-BR"/>
        </w:rPr>
        <w:t>taciturnus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)</w:t>
      </w:r>
      <w:r w:rsidR="003F45DA">
        <w:rPr>
          <w:rFonts w:eastAsia="Times New Roman"/>
          <w:sz w:val="20"/>
          <w:szCs w:val="20"/>
          <w:lang/>
        </w:rPr>
        <w:t xml:space="preserve"> exibiu </w:t>
      </w:r>
      <w:r w:rsidRPr="00DB6571">
        <w:rPr>
          <w:rFonts w:eastAsia="Times New Roman"/>
          <w:sz w:val="20"/>
          <w:szCs w:val="20"/>
          <w:lang w:val="pt-BR"/>
        </w:rPr>
        <w:t xml:space="preserve">maior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vari</w:t>
      </w:r>
      <w:proofErr w:type="spellEnd"/>
      <w:r w:rsidR="003F45DA">
        <w:rPr>
          <w:rFonts w:eastAsia="Times New Roman"/>
          <w:sz w:val="20"/>
          <w:szCs w:val="20"/>
          <w:lang/>
        </w:rPr>
        <w:t>ância</w:t>
      </w:r>
      <w:r w:rsidRPr="00DB6571">
        <w:rPr>
          <w:rFonts w:eastAsia="Times New Roman"/>
          <w:sz w:val="20"/>
          <w:szCs w:val="20"/>
          <w:lang w:val="pt-BR"/>
        </w:rPr>
        <w:t xml:space="preserve"> de peso na </w:t>
      </w:r>
      <w:r w:rsidR="003F45DA">
        <w:rPr>
          <w:rFonts w:eastAsia="Times New Roman"/>
          <w:sz w:val="20"/>
          <w:szCs w:val="20"/>
          <w:lang/>
        </w:rPr>
        <w:t>floresta p</w:t>
      </w:r>
      <w:r w:rsidRPr="00DB6571">
        <w:rPr>
          <w:rFonts w:eastAsia="Times New Roman"/>
          <w:sz w:val="20"/>
          <w:szCs w:val="20"/>
          <w:lang w:val="pt-BR"/>
        </w:rPr>
        <w:t xml:space="preserve">reservada em relação à </w:t>
      </w:r>
      <w:r w:rsidR="003F45DA">
        <w:rPr>
          <w:rFonts w:eastAsia="Times New Roman"/>
          <w:sz w:val="20"/>
          <w:szCs w:val="20"/>
          <w:lang/>
        </w:rPr>
        <w:t>em recuperação</w:t>
      </w:r>
      <w:r w:rsidRPr="00DB6571">
        <w:rPr>
          <w:rFonts w:eastAsia="Times New Roman"/>
          <w:sz w:val="20"/>
          <w:szCs w:val="20"/>
          <w:lang w:val="pt-BR"/>
        </w:rPr>
        <w:t xml:space="preserve">. Essas variações podem estar associadas à disponibilidade diferenciada de alimento entre os habitats, especialmente </w:t>
      </w:r>
      <w:r w:rsidR="00EE6FEC" w:rsidRPr="00F17928">
        <w:rPr>
          <w:rFonts w:eastAsia="Times New Roman"/>
          <w:sz w:val="20"/>
          <w:szCs w:val="20"/>
          <w:lang w:val="pt-BR"/>
        </w:rPr>
        <w:t xml:space="preserve">a de </w:t>
      </w:r>
      <w:r w:rsidR="0093060E">
        <w:rPr>
          <w:rFonts w:eastAsia="Times New Roman"/>
          <w:sz w:val="20"/>
          <w:szCs w:val="20"/>
          <w:lang/>
        </w:rPr>
        <w:t xml:space="preserve">vários grupos de </w:t>
      </w:r>
      <w:r w:rsidRPr="00DB6571">
        <w:rPr>
          <w:rFonts w:eastAsia="Times New Roman"/>
          <w:sz w:val="20"/>
          <w:szCs w:val="20"/>
          <w:lang w:val="pt-BR"/>
        </w:rPr>
        <w:t>in</w:t>
      </w:r>
      <w:r w:rsidR="00EE6FEC" w:rsidRPr="00F17928">
        <w:rPr>
          <w:rFonts w:eastAsia="Times New Roman"/>
          <w:sz w:val="20"/>
          <w:szCs w:val="20"/>
          <w:lang w:val="pt-BR"/>
        </w:rPr>
        <w:t>vertebrados,</w:t>
      </w:r>
      <w:r w:rsidRPr="00DB6571">
        <w:rPr>
          <w:rFonts w:eastAsia="Times New Roman"/>
          <w:sz w:val="20"/>
          <w:szCs w:val="20"/>
          <w:lang w:val="pt-BR"/>
        </w:rPr>
        <w:t xml:space="preserve"> que compõem uma parcela significativa da dieta d</w:t>
      </w:r>
      <w:r w:rsidR="0093060E">
        <w:rPr>
          <w:rFonts w:eastAsia="Times New Roman"/>
          <w:sz w:val="20"/>
          <w:szCs w:val="20"/>
          <w:lang/>
        </w:rPr>
        <w:t>e todas elas</w:t>
      </w:r>
      <w:r w:rsidRPr="00DB6571">
        <w:rPr>
          <w:rFonts w:eastAsia="Times New Roman"/>
          <w:sz w:val="20"/>
          <w:szCs w:val="20"/>
          <w:lang w:val="pt-BR"/>
        </w:rPr>
        <w:t>.</w:t>
      </w:r>
      <w:r w:rsidRPr="00DB6571">
        <w:rPr>
          <w:rFonts w:hint="eastAsia"/>
          <w:sz w:val="20"/>
          <w:szCs w:val="20"/>
          <w:lang w:val="pt-BR" w:eastAsia="zh-CN"/>
        </w:rPr>
        <w:t xml:space="preserve"> </w:t>
      </w:r>
      <w:r w:rsidRPr="00DB6571">
        <w:rPr>
          <w:rFonts w:eastAsia="Times New Roman"/>
          <w:sz w:val="20"/>
          <w:szCs w:val="20"/>
          <w:lang w:val="pt-BR"/>
        </w:rPr>
        <w:t xml:space="preserve">É relevante destacar que as variações observadas podem também estar relacionadas a especificidades nas dietas das espécies e às características da vegetação de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subosque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de cada habitat, influenciando a distribuição espacial d</w:t>
      </w:r>
      <w:r w:rsidR="0093060E">
        <w:rPr>
          <w:rFonts w:eastAsia="Times New Roman"/>
          <w:sz w:val="20"/>
          <w:szCs w:val="20"/>
          <w:lang/>
        </w:rPr>
        <w:t>e seu alimento</w:t>
      </w:r>
      <w:r w:rsidRPr="00DB6571">
        <w:rPr>
          <w:rFonts w:eastAsia="Times New Roman"/>
          <w:sz w:val="20"/>
          <w:szCs w:val="20"/>
          <w:lang w:val="pt-BR"/>
        </w:rPr>
        <w:t xml:space="preserve">. Contudo, </w:t>
      </w:r>
      <w:r w:rsidR="0093060E">
        <w:rPr>
          <w:rFonts w:eastAsia="Times New Roman"/>
          <w:sz w:val="20"/>
          <w:szCs w:val="20"/>
          <w:lang/>
        </w:rPr>
        <w:t>reconhecemos</w:t>
      </w:r>
      <w:r w:rsidRPr="00DB6571">
        <w:rPr>
          <w:rFonts w:eastAsia="Times New Roman"/>
          <w:sz w:val="20"/>
          <w:szCs w:val="20"/>
          <w:lang w:val="pt-BR"/>
        </w:rPr>
        <w:t xml:space="preserve"> que o número</w:t>
      </w:r>
      <w:r w:rsidR="0093060E">
        <w:rPr>
          <w:rFonts w:eastAsia="Times New Roman"/>
          <w:sz w:val="20"/>
          <w:szCs w:val="20"/>
          <w:lang/>
        </w:rPr>
        <w:t xml:space="preserve"> de réplicas</w:t>
      </w:r>
      <w:r w:rsidRPr="00DB6571">
        <w:rPr>
          <w:rFonts w:eastAsia="Times New Roman"/>
          <w:sz w:val="20"/>
          <w:szCs w:val="20"/>
          <w:lang w:val="pt-BR"/>
        </w:rPr>
        <w:t xml:space="preserve"> analisadas até o momento </w:t>
      </w:r>
      <w:r w:rsidR="0093060E">
        <w:rPr>
          <w:rFonts w:eastAsia="Times New Roman"/>
          <w:sz w:val="20"/>
          <w:szCs w:val="20"/>
          <w:lang/>
        </w:rPr>
        <w:t>ainda é limitado e, portanto, nossos resultados são preliminares</w:t>
      </w:r>
      <w:r w:rsidRPr="00DB6571">
        <w:rPr>
          <w:rFonts w:eastAsia="Times New Roman"/>
          <w:sz w:val="20"/>
          <w:szCs w:val="20"/>
          <w:lang w:val="pt-BR"/>
        </w:rPr>
        <w:t xml:space="preserve">. </w:t>
      </w:r>
      <w:r w:rsidR="0093060E">
        <w:rPr>
          <w:rFonts w:eastAsia="Times New Roman"/>
          <w:sz w:val="20"/>
          <w:szCs w:val="20"/>
          <w:lang/>
        </w:rPr>
        <w:t xml:space="preserve">Além disso, as poucas réplicas disponíveis ainda não nos permitiram testar o efeito da sazonalidade climática característica da região sobre a massa corporal destas espécies. Dessa forma, </w:t>
      </w:r>
      <w:r w:rsidR="007B41AB">
        <w:rPr>
          <w:rFonts w:eastAsia="Times New Roman"/>
          <w:sz w:val="20"/>
          <w:szCs w:val="20"/>
          <w:lang/>
        </w:rPr>
        <w:t xml:space="preserve">com a continuidade das coletas e a análise de dados mais robustos, </w:t>
      </w:r>
      <w:r w:rsidR="0093060E">
        <w:rPr>
          <w:rFonts w:eastAsia="Times New Roman"/>
          <w:sz w:val="20"/>
          <w:szCs w:val="20"/>
          <w:lang/>
        </w:rPr>
        <w:t>pretendemos</w:t>
      </w:r>
      <w:r w:rsidR="007B41AB">
        <w:rPr>
          <w:rFonts w:eastAsia="Times New Roman"/>
          <w:sz w:val="20"/>
          <w:szCs w:val="20"/>
          <w:lang/>
        </w:rPr>
        <w:t xml:space="preserve"> </w:t>
      </w:r>
      <w:r w:rsidR="0093060E">
        <w:rPr>
          <w:rFonts w:eastAsia="Times New Roman"/>
          <w:sz w:val="20"/>
          <w:szCs w:val="20"/>
          <w:lang/>
        </w:rPr>
        <w:t xml:space="preserve">contribuir </w:t>
      </w:r>
      <w:r w:rsidR="007B41AB">
        <w:rPr>
          <w:rFonts w:eastAsia="Times New Roman"/>
          <w:sz w:val="20"/>
          <w:szCs w:val="20"/>
          <w:lang/>
        </w:rPr>
        <w:t xml:space="preserve">mais adiante </w:t>
      </w:r>
      <w:r w:rsidR="0093060E">
        <w:rPr>
          <w:rFonts w:eastAsia="Times New Roman"/>
          <w:sz w:val="20"/>
          <w:szCs w:val="20"/>
          <w:lang/>
        </w:rPr>
        <w:t xml:space="preserve">com </w:t>
      </w:r>
      <w:r w:rsidR="007B41AB">
        <w:rPr>
          <w:rFonts w:eastAsia="Times New Roman"/>
          <w:sz w:val="20"/>
          <w:szCs w:val="20"/>
          <w:lang/>
        </w:rPr>
        <w:t xml:space="preserve">estas e outras </w:t>
      </w:r>
      <w:r w:rsidR="0093060E">
        <w:rPr>
          <w:rFonts w:eastAsia="Times New Roman"/>
          <w:sz w:val="20"/>
          <w:szCs w:val="20"/>
          <w:lang/>
        </w:rPr>
        <w:t>informações acerca da ecologia d</w:t>
      </w:r>
      <w:r w:rsidR="007B41AB">
        <w:rPr>
          <w:rFonts w:eastAsia="Times New Roman"/>
          <w:sz w:val="20"/>
          <w:szCs w:val="20"/>
          <w:lang/>
        </w:rPr>
        <w:t xml:space="preserve">as aves de florestas montanas do Nordeste do Brasil. </w:t>
      </w:r>
    </w:p>
    <w:p w14:paraId="77C0E61B" w14:textId="50F6C64A" w:rsidR="00B555C8" w:rsidRPr="00DB6571" w:rsidRDefault="00354F5C" w:rsidP="00811A23">
      <w:pPr>
        <w:spacing w:line="240" w:lineRule="auto"/>
        <w:ind w:firstLine="567"/>
        <w:jc w:val="both"/>
        <w:rPr>
          <w:b/>
          <w:sz w:val="20"/>
          <w:szCs w:val="20"/>
          <w:lang w:val="pt-BR" w:eastAsia="zh-CN"/>
        </w:rPr>
      </w:pPr>
      <w:r w:rsidRPr="00DB6571">
        <w:rPr>
          <w:sz w:val="20"/>
          <w:szCs w:val="20"/>
          <w:lang w:val="pt-BR" w:eastAsia="zh-CN"/>
        </w:rPr>
        <w:br/>
      </w:r>
      <w:r w:rsidRPr="00DB6571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1C0D1F4D" w14:textId="77777777" w:rsidR="002D0764" w:rsidRPr="00DB6571" w:rsidRDefault="002D0764" w:rsidP="00811A23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639AB6CA" w14:textId="54A90427" w:rsidR="002D0764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Alho, C.J.R. Importância da biodiversidade para a saúde humana: uma perspectiva ecológica. v. 26, n. 74, p. 151–166, 2012. </w:t>
      </w:r>
    </w:p>
    <w:p w14:paraId="6D786156" w14:textId="7EC0BD6E" w:rsidR="002D0764" w:rsidRPr="00DB6571" w:rsidRDefault="001A1431" w:rsidP="001A1431">
      <w:pPr>
        <w:spacing w:line="240" w:lineRule="auto"/>
        <w:rPr>
          <w:sz w:val="20"/>
          <w:szCs w:val="20"/>
          <w:lang w:val="en-US" w:eastAsia="zh-CN"/>
        </w:rPr>
      </w:pPr>
      <w:proofErr w:type="spellStart"/>
      <w:r w:rsidRPr="00DB6571">
        <w:rPr>
          <w:rFonts w:eastAsia="Times New Roman"/>
          <w:sz w:val="20"/>
          <w:szCs w:val="20"/>
          <w:lang w:val="pt-BR"/>
        </w:rPr>
        <w:t>Araujo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, H. F. P., &amp; Silva, J. M. C. 2017. </w:t>
      </w:r>
      <w:r w:rsidRPr="00DB6571">
        <w:rPr>
          <w:rFonts w:eastAsia="Times New Roman"/>
          <w:sz w:val="20"/>
          <w:szCs w:val="20"/>
          <w:lang w:val="en-US"/>
        </w:rPr>
        <w:t xml:space="preserve">The Avifauna of the Caatinga: biogeography, ecology, and conservation. In: Silva, J. M. C, Leal, I. R. &amp; </w:t>
      </w:r>
      <w:proofErr w:type="spellStart"/>
      <w:r w:rsidRPr="00DB6571">
        <w:rPr>
          <w:rFonts w:eastAsia="Times New Roman"/>
          <w:sz w:val="20"/>
          <w:szCs w:val="20"/>
          <w:lang w:val="en-US"/>
        </w:rPr>
        <w:t>Tabarelli</w:t>
      </w:r>
      <w:proofErr w:type="spellEnd"/>
      <w:r w:rsidRPr="00DB6571">
        <w:rPr>
          <w:rFonts w:eastAsia="Times New Roman"/>
          <w:sz w:val="20"/>
          <w:szCs w:val="20"/>
          <w:lang w:val="en-US"/>
        </w:rPr>
        <w:t>, M. (Eds.), Caatinga: The Largest Tropical Dry Forest Region in South America. pp. 181–210.</w:t>
      </w:r>
    </w:p>
    <w:p w14:paraId="7C671205" w14:textId="7311391C" w:rsidR="002D0764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proofErr w:type="gramStart"/>
      <w:r w:rsidRPr="00DB6571">
        <w:rPr>
          <w:rFonts w:eastAsia="Times New Roman"/>
          <w:sz w:val="20"/>
          <w:szCs w:val="20"/>
          <w:lang w:val="pt-BR"/>
        </w:rPr>
        <w:t>Brito ,</w:t>
      </w:r>
      <w:proofErr w:type="gramEnd"/>
      <w:r w:rsidRPr="00DB6571">
        <w:rPr>
          <w:rFonts w:eastAsia="Times New Roman"/>
          <w:sz w:val="20"/>
          <w:szCs w:val="20"/>
          <w:lang w:val="pt-BR"/>
        </w:rPr>
        <w:t xml:space="preserve"> S. S. H. D. Flutuação temporal na abundância de aves oportunistas em um ambiente semiárido: a dinâmica das chuvas molda os padrões de abundância?</w:t>
      </w:r>
    </w:p>
    <w:p w14:paraId="1491385C" w14:textId="77777777" w:rsidR="001A1431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en-US"/>
        </w:rPr>
        <w:t xml:space="preserve">Clark, G. A. Body Weights of Birds: A Review. </w:t>
      </w:r>
      <w:r w:rsidRPr="00DB6571">
        <w:rPr>
          <w:rFonts w:eastAsia="Times New Roman"/>
          <w:sz w:val="20"/>
          <w:szCs w:val="20"/>
          <w:lang w:val="pt-BR"/>
        </w:rPr>
        <w:t>The Condor, 1979.</w:t>
      </w:r>
    </w:p>
    <w:p w14:paraId="0A4AC26C" w14:textId="77777777" w:rsidR="001A1431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>Da Silva, J. M. Pesos de aves de duas localidades na Amazonia Oriental. Ararajuba. Revista Brasileira de Ornitologia. Janeiro, 1988.</w:t>
      </w:r>
    </w:p>
    <w:p w14:paraId="4499C735" w14:textId="77777777" w:rsidR="001A1431" w:rsidRPr="00DB6571" w:rsidRDefault="001A1431" w:rsidP="001A1431">
      <w:pPr>
        <w:spacing w:line="240" w:lineRule="auto"/>
        <w:rPr>
          <w:rFonts w:eastAsia="Times New Roman"/>
          <w:sz w:val="20"/>
          <w:szCs w:val="20"/>
          <w:lang w:val="pt-BR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Eduardo,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Edilane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Maria de Lima. Efeito da precipitação e produtividade primária na massa corporal de passeriformes em uma área de restinga no Nordeste do Brasil. 2022. 45f. Dissertação (Mestrado em Ecologia) - Centro de Biociências, Universidade Federal do Rio Grande do Norte, Natal, 2022.</w:t>
      </w:r>
    </w:p>
    <w:p w14:paraId="0C8481C3" w14:textId="77777777" w:rsidR="001A1431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proofErr w:type="spellStart"/>
      <w:r w:rsidRPr="00DB6571">
        <w:rPr>
          <w:rFonts w:eastAsia="Times New Roman"/>
          <w:sz w:val="20"/>
          <w:szCs w:val="20"/>
          <w:lang w:val="pt-BR"/>
        </w:rPr>
        <w:t>Favretto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, M. Aves Do Brasil. Clube de Autores, 2021.</w:t>
      </w:r>
    </w:p>
    <w:p w14:paraId="07CC8407" w14:textId="41845382" w:rsidR="001A1431" w:rsidRPr="00DB6571" w:rsidRDefault="001A1431" w:rsidP="001A1431">
      <w:pPr>
        <w:spacing w:line="240" w:lineRule="auto"/>
        <w:rPr>
          <w:sz w:val="20"/>
          <w:szCs w:val="20"/>
          <w:lang w:val="en-US" w:eastAsia="zh-CN"/>
        </w:rPr>
      </w:pPr>
      <w:r w:rsidRPr="00EE5A93">
        <w:rPr>
          <w:rFonts w:eastAsia="Times New Roman"/>
          <w:sz w:val="20"/>
          <w:szCs w:val="20"/>
          <w:lang w:val="en-US"/>
        </w:rPr>
        <w:t xml:space="preserve">Hammer, Øyvind. </w:t>
      </w:r>
      <w:r w:rsidRPr="00DB6571">
        <w:rPr>
          <w:rFonts w:eastAsia="Times New Roman"/>
          <w:sz w:val="20"/>
          <w:szCs w:val="20"/>
          <w:lang w:val="en-US"/>
        </w:rPr>
        <w:t xml:space="preserve">PAST – </w:t>
      </w:r>
      <w:proofErr w:type="spellStart"/>
      <w:r w:rsidRPr="00DB6571">
        <w:rPr>
          <w:rFonts w:eastAsia="Times New Roman"/>
          <w:sz w:val="20"/>
          <w:szCs w:val="20"/>
          <w:lang w:val="en-US"/>
        </w:rPr>
        <w:t>PAleontological</w:t>
      </w:r>
      <w:proofErr w:type="spellEnd"/>
      <w:r w:rsidRPr="00DB6571">
        <w:rPr>
          <w:rFonts w:eastAsia="Times New Roman"/>
          <w:sz w:val="20"/>
          <w:szCs w:val="20"/>
          <w:lang w:val="en-US"/>
        </w:rPr>
        <w:t xml:space="preserve"> Statistics. Version 3.20. 2018.</w:t>
      </w:r>
    </w:p>
    <w:p w14:paraId="11E77D40" w14:textId="77777777" w:rsidR="001A1431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en-US"/>
        </w:rPr>
        <w:t xml:space="preserve">Kazo, L; Lovejoy, T; Luther, D. Effects of forest fragmentation on the weight of understory birds at the Biological Dynamics of Forest Fragments Project in Amazonia.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Biotropica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, v. 54, n. 4, p. 852–859, 2022.</w:t>
      </w:r>
    </w:p>
    <w:p w14:paraId="7CC5DB87" w14:textId="77777777" w:rsidR="001A1431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Lima,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Priscylla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 Cristina Alves </w:t>
      </w:r>
      <w:proofErr w:type="gramStart"/>
      <w:r w:rsidRPr="00DB6571">
        <w:rPr>
          <w:rFonts w:eastAsia="Times New Roman"/>
          <w:sz w:val="20"/>
          <w:szCs w:val="20"/>
          <w:lang w:val="pt-BR"/>
        </w:rPr>
        <w:t>de ;</w:t>
      </w:r>
      <w:proofErr w:type="gramEnd"/>
      <w:r w:rsidRPr="00DB6571">
        <w:rPr>
          <w:rFonts w:eastAsia="Times New Roman"/>
          <w:sz w:val="20"/>
          <w:szCs w:val="20"/>
          <w:lang w:val="pt-BR"/>
        </w:rPr>
        <w:t xml:space="preserve"> Franco, José Luiz de Andrade. As RPPNs Como Estratégia Para a Conservação da Biodiversidade: O caso da Chapada dos Veadeiros. Sociedade &amp; Natureza, v. 26, n. 1, p. 113–125, 2014.</w:t>
      </w:r>
    </w:p>
    <w:p w14:paraId="1B586ADF" w14:textId="57A54604" w:rsidR="002D0764" w:rsidRPr="00DB6571" w:rsidRDefault="001A1431" w:rsidP="001A1431">
      <w:pPr>
        <w:spacing w:line="240" w:lineRule="auto"/>
        <w:rPr>
          <w:sz w:val="20"/>
          <w:szCs w:val="20"/>
          <w:lang w:val="pt-BR" w:eastAsia="zh-CN"/>
        </w:rPr>
      </w:pPr>
      <w:r w:rsidRPr="00DB6571">
        <w:rPr>
          <w:rFonts w:eastAsia="Times New Roman"/>
          <w:sz w:val="20"/>
          <w:szCs w:val="20"/>
          <w:lang w:val="pt-BR"/>
        </w:rPr>
        <w:t xml:space="preserve">Olmos, F.; Silva, W.A.G; Albano, C.G. Aves em oito áreas de Caatinga no Sul do Ceará e Oeste de Pernambuco, nordeste do Brasil: composição, riqueza e similaridade. v. 45, n. 14, p. 179–199, 2005. </w:t>
      </w:r>
    </w:p>
    <w:p w14:paraId="516B5F52" w14:textId="6723E74F" w:rsidR="001A1431" w:rsidRPr="00F17928" w:rsidRDefault="001A1431" w:rsidP="001A1431">
      <w:pPr>
        <w:spacing w:line="240" w:lineRule="auto"/>
        <w:rPr>
          <w:rFonts w:eastAsia="Times New Roman"/>
          <w:sz w:val="20"/>
          <w:szCs w:val="20"/>
          <w:lang w:val="pt-BR"/>
        </w:rPr>
      </w:pPr>
      <w:r w:rsidRPr="00DB6571">
        <w:rPr>
          <w:rFonts w:eastAsia="Times New Roman"/>
          <w:sz w:val="20"/>
          <w:szCs w:val="20"/>
          <w:lang w:val="en-US"/>
        </w:rPr>
        <w:t xml:space="preserve">Rising, James </w:t>
      </w:r>
      <w:proofErr w:type="gramStart"/>
      <w:r w:rsidRPr="00DB6571">
        <w:rPr>
          <w:rFonts w:eastAsia="Times New Roman"/>
          <w:sz w:val="20"/>
          <w:szCs w:val="20"/>
          <w:lang w:val="en-US"/>
        </w:rPr>
        <w:t>D ;</w:t>
      </w:r>
      <w:proofErr w:type="gramEnd"/>
      <w:r w:rsidRPr="00DB6571">
        <w:rPr>
          <w:rFonts w:eastAsia="Times New Roman"/>
          <w:sz w:val="20"/>
          <w:szCs w:val="20"/>
          <w:lang w:val="en-US"/>
        </w:rPr>
        <w:t xml:space="preserve"> Somers, Keith M. The Measurement of Overall Body Size in Birds. </w:t>
      </w:r>
      <w:r w:rsidRPr="00DB6571">
        <w:rPr>
          <w:rFonts w:eastAsia="Times New Roman"/>
          <w:sz w:val="20"/>
          <w:szCs w:val="20"/>
          <w:lang w:val="pt-BR"/>
        </w:rPr>
        <w:t xml:space="preserve">The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Auk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>, v. 106, n. 4, p. 666–674, 1989. Disponível em: https://academic.oup.com/auk/article/106/4/666/5190991.</w:t>
      </w:r>
    </w:p>
    <w:p w14:paraId="421A1DF6" w14:textId="77777777" w:rsidR="001A1431" w:rsidRPr="00DB6571" w:rsidRDefault="001A1431" w:rsidP="001A1431">
      <w:pPr>
        <w:spacing w:line="240" w:lineRule="auto"/>
        <w:rPr>
          <w:sz w:val="20"/>
          <w:szCs w:val="20"/>
          <w:lang w:val="en-US" w:eastAsia="zh-CN"/>
        </w:rPr>
      </w:pPr>
      <w:proofErr w:type="spellStart"/>
      <w:r w:rsidRPr="00DB6571">
        <w:rPr>
          <w:rFonts w:eastAsia="Times New Roman"/>
          <w:sz w:val="20"/>
          <w:szCs w:val="20"/>
          <w:lang w:val="pt-BR"/>
        </w:rPr>
        <w:t>Rudzewicz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, L., &amp;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Lanzer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, R. M. (2007). Práticas de ecoturismo nas Reservas Particulares de Patrimônio Natural. </w:t>
      </w:r>
      <w:proofErr w:type="spellStart"/>
      <w:r w:rsidRPr="00DB6571">
        <w:rPr>
          <w:rFonts w:eastAsia="Times New Roman"/>
          <w:sz w:val="20"/>
          <w:szCs w:val="20"/>
          <w:lang w:val="en-US"/>
        </w:rPr>
        <w:t>Revista</w:t>
      </w:r>
      <w:proofErr w:type="spellEnd"/>
      <w:r w:rsidRPr="00DB6571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DB6571">
        <w:rPr>
          <w:rFonts w:eastAsia="Times New Roman"/>
          <w:sz w:val="20"/>
          <w:szCs w:val="20"/>
          <w:lang w:val="en-US"/>
        </w:rPr>
        <w:t>Hospitalidade</w:t>
      </w:r>
      <w:proofErr w:type="spellEnd"/>
      <w:r w:rsidRPr="00DB6571">
        <w:rPr>
          <w:rFonts w:eastAsia="Times New Roman"/>
          <w:sz w:val="20"/>
          <w:szCs w:val="20"/>
          <w:lang w:val="en-US"/>
        </w:rPr>
        <w:t>, 5(1), 81–96.</w:t>
      </w:r>
    </w:p>
    <w:p w14:paraId="76A96C7C" w14:textId="5272E005" w:rsidR="001A1431" w:rsidRPr="00DB6571" w:rsidRDefault="001A1431" w:rsidP="001A1431">
      <w:pPr>
        <w:spacing w:line="240" w:lineRule="auto"/>
        <w:rPr>
          <w:sz w:val="20"/>
          <w:szCs w:val="20"/>
          <w:lang w:val="en-US" w:eastAsia="zh-CN"/>
        </w:rPr>
      </w:pPr>
      <w:proofErr w:type="spellStart"/>
      <w:r w:rsidRPr="00DB6571">
        <w:rPr>
          <w:rFonts w:eastAsia="Times New Roman"/>
          <w:sz w:val="20"/>
          <w:szCs w:val="20"/>
          <w:lang w:val="en-US"/>
        </w:rPr>
        <w:t>Sekercioglu</w:t>
      </w:r>
      <w:proofErr w:type="spellEnd"/>
      <w:r w:rsidRPr="00DB6571">
        <w:rPr>
          <w:rFonts w:eastAsia="Times New Roman"/>
          <w:sz w:val="20"/>
          <w:szCs w:val="20"/>
          <w:lang w:val="en-US"/>
        </w:rPr>
        <w:t xml:space="preserve">, C.H. Bird functional diversity and ecosystem services in tropical forests, </w:t>
      </w:r>
      <w:proofErr w:type="gramStart"/>
      <w:r w:rsidRPr="00DB6571">
        <w:rPr>
          <w:rFonts w:eastAsia="Times New Roman"/>
          <w:sz w:val="20"/>
          <w:szCs w:val="20"/>
          <w:lang w:val="en-US"/>
        </w:rPr>
        <w:t>agroforests</w:t>
      </w:r>
      <w:proofErr w:type="gramEnd"/>
      <w:r w:rsidRPr="00DB6571">
        <w:rPr>
          <w:rFonts w:eastAsia="Times New Roman"/>
          <w:sz w:val="20"/>
          <w:szCs w:val="20"/>
          <w:lang w:val="en-US"/>
        </w:rPr>
        <w:t xml:space="preserve"> and agricultural areas. Journal of Ornithology.</w:t>
      </w:r>
    </w:p>
    <w:p w14:paraId="33546C1C" w14:textId="676DAEDE" w:rsidR="00B555C8" w:rsidRPr="00DB6571" w:rsidRDefault="001A1431" w:rsidP="001A1431">
      <w:pPr>
        <w:spacing w:line="240" w:lineRule="auto"/>
        <w:rPr>
          <w:sz w:val="20"/>
          <w:szCs w:val="20"/>
          <w:lang w:val="pt-BR"/>
        </w:rPr>
      </w:pPr>
      <w:r w:rsidRPr="00F17928">
        <w:rPr>
          <w:rFonts w:eastAsia="Times New Roman"/>
          <w:sz w:val="20"/>
          <w:szCs w:val="20"/>
          <w:lang w:val="en-US"/>
        </w:rPr>
        <w:t xml:space="preserve">Silva-Júnior, Antonio P. da. et al. </w:t>
      </w:r>
      <w:r w:rsidRPr="00DB6571">
        <w:rPr>
          <w:rFonts w:eastAsia="Times New Roman"/>
          <w:sz w:val="20"/>
          <w:szCs w:val="20"/>
          <w:lang w:val="pt-BR"/>
        </w:rPr>
        <w:t xml:space="preserve">Plano de Manejo da RPPN – Reserva Natural Brejo. </w:t>
      </w:r>
      <w:proofErr w:type="spellStart"/>
      <w:r w:rsidRPr="00DB6571">
        <w:rPr>
          <w:rFonts w:eastAsia="Times New Roman"/>
          <w:sz w:val="20"/>
          <w:szCs w:val="20"/>
          <w:lang w:val="pt-BR"/>
        </w:rPr>
        <w:t>Saloá</w:t>
      </w:r>
      <w:proofErr w:type="spellEnd"/>
      <w:r w:rsidRPr="00DB6571">
        <w:rPr>
          <w:rFonts w:eastAsia="Times New Roman"/>
          <w:sz w:val="20"/>
          <w:szCs w:val="20"/>
          <w:lang w:val="pt-BR"/>
        </w:rPr>
        <w:t xml:space="preserve">, 2012. </w:t>
      </w:r>
    </w:p>
    <w:sectPr w:rsidR="00B555C8" w:rsidRPr="00DB6571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4205" w14:textId="77777777" w:rsidR="00761A72" w:rsidRDefault="00761A72">
      <w:pPr>
        <w:spacing w:line="240" w:lineRule="auto"/>
      </w:pPr>
      <w:r>
        <w:separator/>
      </w:r>
    </w:p>
  </w:endnote>
  <w:endnote w:type="continuationSeparator" w:id="0">
    <w:p w14:paraId="60337987" w14:textId="77777777" w:rsidR="00761A72" w:rsidRDefault="00761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DA17" w14:textId="77777777" w:rsidR="00761A72" w:rsidRDefault="00761A72">
      <w:r>
        <w:separator/>
      </w:r>
    </w:p>
  </w:footnote>
  <w:footnote w:type="continuationSeparator" w:id="0">
    <w:p w14:paraId="7CADE92D" w14:textId="77777777" w:rsidR="00761A72" w:rsidRDefault="0076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4D7B8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326D2"/>
    <w:rsid w:val="000660EE"/>
    <w:rsid w:val="000D33BE"/>
    <w:rsid w:val="000E126F"/>
    <w:rsid w:val="000E6B8B"/>
    <w:rsid w:val="0012185B"/>
    <w:rsid w:val="001A1431"/>
    <w:rsid w:val="001A57F1"/>
    <w:rsid w:val="001D2800"/>
    <w:rsid w:val="00203DFA"/>
    <w:rsid w:val="00214956"/>
    <w:rsid w:val="002A2BF7"/>
    <w:rsid w:val="002D0764"/>
    <w:rsid w:val="003429F8"/>
    <w:rsid w:val="00354F5C"/>
    <w:rsid w:val="0037328B"/>
    <w:rsid w:val="003F45DA"/>
    <w:rsid w:val="00400995"/>
    <w:rsid w:val="004B4D64"/>
    <w:rsid w:val="004D7B89"/>
    <w:rsid w:val="0056245F"/>
    <w:rsid w:val="00586592"/>
    <w:rsid w:val="005C270D"/>
    <w:rsid w:val="005E4B10"/>
    <w:rsid w:val="005F5DCB"/>
    <w:rsid w:val="00620209"/>
    <w:rsid w:val="00627FFE"/>
    <w:rsid w:val="00654FE6"/>
    <w:rsid w:val="0066629F"/>
    <w:rsid w:val="006A5508"/>
    <w:rsid w:val="006D2B4B"/>
    <w:rsid w:val="006D4CEE"/>
    <w:rsid w:val="006D7D5C"/>
    <w:rsid w:val="006E2FEE"/>
    <w:rsid w:val="00704067"/>
    <w:rsid w:val="0070409D"/>
    <w:rsid w:val="007067DC"/>
    <w:rsid w:val="007377F5"/>
    <w:rsid w:val="00737C78"/>
    <w:rsid w:val="00761A72"/>
    <w:rsid w:val="00761A78"/>
    <w:rsid w:val="00783C28"/>
    <w:rsid w:val="007B41AB"/>
    <w:rsid w:val="007B4997"/>
    <w:rsid w:val="007C234E"/>
    <w:rsid w:val="00811A23"/>
    <w:rsid w:val="0081416D"/>
    <w:rsid w:val="00820B0C"/>
    <w:rsid w:val="00870E2E"/>
    <w:rsid w:val="00897856"/>
    <w:rsid w:val="008C0734"/>
    <w:rsid w:val="008D37C8"/>
    <w:rsid w:val="0093060E"/>
    <w:rsid w:val="00943C45"/>
    <w:rsid w:val="00963557"/>
    <w:rsid w:val="0097222E"/>
    <w:rsid w:val="009741C9"/>
    <w:rsid w:val="00A11342"/>
    <w:rsid w:val="00A1411C"/>
    <w:rsid w:val="00A17E2D"/>
    <w:rsid w:val="00A44DAC"/>
    <w:rsid w:val="00A5458F"/>
    <w:rsid w:val="00A920FC"/>
    <w:rsid w:val="00AE6395"/>
    <w:rsid w:val="00AF0EF1"/>
    <w:rsid w:val="00B555C8"/>
    <w:rsid w:val="00B73085"/>
    <w:rsid w:val="00B8796B"/>
    <w:rsid w:val="00BE23FD"/>
    <w:rsid w:val="00C043F1"/>
    <w:rsid w:val="00C321CD"/>
    <w:rsid w:val="00C336F0"/>
    <w:rsid w:val="00CD5DC4"/>
    <w:rsid w:val="00D47F07"/>
    <w:rsid w:val="00D8771A"/>
    <w:rsid w:val="00DB6571"/>
    <w:rsid w:val="00DD2DFA"/>
    <w:rsid w:val="00E1011C"/>
    <w:rsid w:val="00EE5A93"/>
    <w:rsid w:val="00EE65F7"/>
    <w:rsid w:val="00EE6FEC"/>
    <w:rsid w:val="00F002AE"/>
    <w:rsid w:val="00F0106B"/>
    <w:rsid w:val="00F17658"/>
    <w:rsid w:val="00F17928"/>
    <w:rsid w:val="00F70593"/>
    <w:rsid w:val="00F723D1"/>
    <w:rsid w:val="00F933FB"/>
    <w:rsid w:val="00FA0030"/>
    <w:rsid w:val="00FC5299"/>
    <w:rsid w:val="00FC6916"/>
    <w:rsid w:val="00FE4751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2D07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07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4B4D6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4D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B4D64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B4D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B4D64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496B41ED65143AFAA083B4CA1C501" ma:contentTypeVersion="3" ma:contentTypeDescription="Create a new document." ma:contentTypeScope="" ma:versionID="0152a07920fae3139ff2f2dfc2ed1420">
  <xsd:schema xmlns:xsd="http://www.w3.org/2001/XMLSchema" xmlns:xs="http://www.w3.org/2001/XMLSchema" xmlns:p="http://schemas.microsoft.com/office/2006/metadata/properties" xmlns:ns3="ed40f814-45f7-4daf-a5f2-c3a2118bf2a4" targetNamespace="http://schemas.microsoft.com/office/2006/metadata/properties" ma:root="true" ma:fieldsID="f6ca31cecf1692e52fb24b71a4ace47a" ns3:_="">
    <xsd:import namespace="ed40f814-45f7-4daf-a5f2-c3a2118bf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f814-45f7-4daf-a5f2-c3a2118b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967F4-2AF8-4EF4-A28C-8DEDE81FC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f814-45f7-4daf-a5f2-c3a2118bf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FC399-65E9-49A3-8405-5B1FA1AFD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DFCAD-FACE-4AEC-B92D-C13A2DFC5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Rafaelly Santos</cp:lastModifiedBy>
  <cp:revision>2</cp:revision>
  <dcterms:created xsi:type="dcterms:W3CDTF">2023-08-22T23:44:00Z</dcterms:created>
  <dcterms:modified xsi:type="dcterms:W3CDTF">2023-08-22T23:44:00Z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  <property fmtid="{D5CDD505-2E9C-101B-9397-08002B2CF9AE}" pid="5" name="ContentTypeId">
    <vt:lpwstr>0x010100E9A496B41ED65143AFAA083B4CA1C501</vt:lpwstr>
  </property>
</Properties>
</file>