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96F8" w14:textId="6E383D46" w:rsidR="006B5C2F" w:rsidRDefault="00436594">
      <w:pPr>
        <w:pStyle w:val="Corpodetexto"/>
        <w:spacing w:before="2"/>
        <w:ind w:left="112"/>
      </w:pPr>
      <w:r w:rsidRPr="00436594">
        <w:rPr>
          <w:b/>
          <w:bCs/>
          <w:sz w:val="28"/>
          <w:szCs w:val="28"/>
        </w:rPr>
        <w:t>Impact of Demand Response in the Brazilian Energy</w:t>
      </w:r>
      <w:r>
        <w:rPr>
          <w:b/>
          <w:bCs/>
          <w:sz w:val="28"/>
          <w:szCs w:val="28"/>
        </w:rPr>
        <w:t xml:space="preserve"> </w:t>
      </w:r>
      <w:r w:rsidRPr="00436594">
        <w:rPr>
          <w:b/>
          <w:bCs/>
          <w:sz w:val="28"/>
          <w:szCs w:val="28"/>
        </w:rPr>
        <w:t>System using LEAP Model</w:t>
      </w:r>
      <w:r w:rsidRPr="00436594">
        <w:rPr>
          <w:b/>
          <w:bCs/>
          <w:sz w:val="28"/>
          <w:szCs w:val="28"/>
        </w:rPr>
        <w:t xml:space="preserve"> </w:t>
      </w:r>
    </w:p>
    <w:p w14:paraId="5EF67A37" w14:textId="77777777" w:rsidR="006B5C2F" w:rsidRDefault="00000000">
      <w:pPr>
        <w:pStyle w:val="Corpodetexto"/>
        <w:rPr>
          <w:sz w:val="24"/>
        </w:rPr>
      </w:pPr>
      <w:r>
        <w:br w:type="column"/>
      </w:r>
    </w:p>
    <w:p w14:paraId="30BB6CD1" w14:textId="77777777" w:rsidR="006B5C2F" w:rsidRDefault="006B5C2F">
      <w:pPr>
        <w:pStyle w:val="Corpodetexto"/>
        <w:rPr>
          <w:sz w:val="24"/>
        </w:rPr>
      </w:pPr>
    </w:p>
    <w:p w14:paraId="214A69CA" w14:textId="77777777" w:rsidR="006B5C2F" w:rsidRDefault="006B5C2F">
      <w:pPr>
        <w:pStyle w:val="Corpodetexto"/>
        <w:spacing w:before="10"/>
        <w:rPr>
          <w:sz w:val="23"/>
        </w:rPr>
      </w:pPr>
    </w:p>
    <w:p w14:paraId="7E336BA3" w14:textId="1648C3DA" w:rsidR="00436594" w:rsidRPr="00436594" w:rsidRDefault="00436594">
      <w:pPr>
        <w:pStyle w:val="Corpodetexto"/>
        <w:spacing w:before="1"/>
        <w:ind w:left="112" w:right="103" w:firstLine="64"/>
        <w:jc w:val="right"/>
        <w:rPr>
          <w:lang w:val="pt-BR"/>
        </w:rPr>
      </w:pPr>
      <w:r w:rsidRPr="00436594">
        <w:rPr>
          <w:lang w:val="pt-BR"/>
        </w:rPr>
        <w:t>Glaysson de Mello Muller, Empresa</w:t>
      </w:r>
      <w:r>
        <w:rPr>
          <w:lang w:val="pt-BR"/>
        </w:rPr>
        <w:t xml:space="preserve"> de Pesquisa Energética, +</w:t>
      </w:r>
      <w:proofErr w:type="gramStart"/>
      <w:r>
        <w:rPr>
          <w:lang w:val="pt-BR"/>
        </w:rPr>
        <w:t>5521995310805,Glaysson.muller@epe.gov.br</w:t>
      </w:r>
      <w:proofErr w:type="gramEnd"/>
    </w:p>
    <w:p w14:paraId="4884E4D0" w14:textId="77777777" w:rsidR="006B5C2F" w:rsidRDefault="006B5C2F">
      <w:pPr>
        <w:jc w:val="right"/>
        <w:sectPr w:rsidR="006B5C2F" w:rsidSect="00195CE3">
          <w:type w:val="continuous"/>
          <w:pgSz w:w="12240" w:h="15840"/>
          <w:pgMar w:top="1240" w:right="620" w:bottom="280" w:left="600" w:header="720" w:footer="720" w:gutter="0"/>
          <w:cols w:num="2" w:space="720" w:equalWidth="0">
            <w:col w:w="6778" w:space="49"/>
            <w:col w:w="4193"/>
          </w:cols>
        </w:sectPr>
      </w:pPr>
    </w:p>
    <w:p w14:paraId="2B4998AE" w14:textId="77777777" w:rsidR="006B5C2F" w:rsidRDefault="006B5C2F">
      <w:pPr>
        <w:pStyle w:val="Corpodetexto"/>
      </w:pPr>
    </w:p>
    <w:p w14:paraId="6DB7B348" w14:textId="77777777" w:rsidR="006B5C2F" w:rsidRDefault="006B5C2F">
      <w:pPr>
        <w:pStyle w:val="Corpodetexto"/>
        <w:spacing w:before="4"/>
        <w:rPr>
          <w:sz w:val="22"/>
        </w:rPr>
      </w:pPr>
    </w:p>
    <w:p w14:paraId="3B65C273" w14:textId="5CBB9625" w:rsidR="006B5C2F" w:rsidRDefault="00000000">
      <w:pPr>
        <w:pStyle w:val="Ttulo1"/>
      </w:pPr>
      <w:r>
        <w:t>Overview</w:t>
      </w:r>
    </w:p>
    <w:p w14:paraId="358032D1" w14:textId="48C8C105" w:rsidR="00436594" w:rsidRDefault="00436594" w:rsidP="00B445B1">
      <w:pPr>
        <w:pStyle w:val="Ttulo1"/>
        <w:jc w:val="both"/>
        <w:rPr>
          <w:rFonts w:ascii="Times New Roman" w:hAnsi="Times New Roman" w:cs="Times New Roman"/>
          <w:b w:val="0"/>
          <w:bCs w:val="0"/>
          <w:sz w:val="20"/>
          <w:szCs w:val="20"/>
        </w:rPr>
      </w:pPr>
      <w:r w:rsidRPr="00436594">
        <w:rPr>
          <w:rFonts w:ascii="Times New Roman" w:hAnsi="Times New Roman" w:cs="Times New Roman"/>
          <w:b w:val="0"/>
          <w:bCs w:val="0"/>
          <w:sz w:val="20"/>
          <w:szCs w:val="20"/>
        </w:rPr>
        <w:t>Demand response is defined as the change in</w:t>
      </w:r>
      <w:r>
        <w:rPr>
          <w:rFonts w:ascii="Times New Roman" w:hAnsi="Times New Roman" w:cs="Times New Roman"/>
          <w:b w:val="0"/>
          <w:bCs w:val="0"/>
          <w:sz w:val="20"/>
          <w:szCs w:val="20"/>
        </w:rPr>
        <w:t xml:space="preserve"> </w:t>
      </w:r>
      <w:r w:rsidRPr="00436594">
        <w:rPr>
          <w:rFonts w:ascii="Times New Roman" w:hAnsi="Times New Roman" w:cs="Times New Roman"/>
          <w:b w:val="0"/>
          <w:bCs w:val="0"/>
          <w:sz w:val="20"/>
          <w:szCs w:val="20"/>
        </w:rPr>
        <w:t>electricity use by consumers from the normal consumption</w:t>
      </w:r>
      <w:r>
        <w:rPr>
          <w:rFonts w:ascii="Times New Roman" w:hAnsi="Times New Roman" w:cs="Times New Roman"/>
          <w:b w:val="0"/>
          <w:bCs w:val="0"/>
          <w:sz w:val="20"/>
          <w:szCs w:val="20"/>
        </w:rPr>
        <w:t xml:space="preserve"> </w:t>
      </w:r>
      <w:r w:rsidRPr="00436594">
        <w:rPr>
          <w:rFonts w:ascii="Times New Roman" w:hAnsi="Times New Roman" w:cs="Times New Roman"/>
          <w:b w:val="0"/>
          <w:bCs w:val="0"/>
          <w:sz w:val="20"/>
          <w:szCs w:val="20"/>
        </w:rPr>
        <w:t>pattern in response to changes in energy price or the receipt of</w:t>
      </w:r>
      <w:r>
        <w:rPr>
          <w:rFonts w:ascii="Times New Roman" w:hAnsi="Times New Roman" w:cs="Times New Roman"/>
          <w:b w:val="0"/>
          <w:bCs w:val="0"/>
          <w:sz w:val="20"/>
          <w:szCs w:val="20"/>
        </w:rPr>
        <w:t xml:space="preserve"> </w:t>
      </w:r>
      <w:r w:rsidRPr="00436594">
        <w:rPr>
          <w:rFonts w:ascii="Times New Roman" w:hAnsi="Times New Roman" w:cs="Times New Roman"/>
          <w:b w:val="0"/>
          <w:bCs w:val="0"/>
          <w:sz w:val="20"/>
          <w:szCs w:val="20"/>
        </w:rPr>
        <w:t>incentives to induce lower energy at higher price points or</w:t>
      </w:r>
      <w:r>
        <w:rPr>
          <w:rFonts w:ascii="Times New Roman" w:hAnsi="Times New Roman" w:cs="Times New Roman"/>
          <w:b w:val="0"/>
          <w:bCs w:val="0"/>
          <w:sz w:val="20"/>
          <w:szCs w:val="20"/>
        </w:rPr>
        <w:t xml:space="preserve"> </w:t>
      </w:r>
      <w:r w:rsidRPr="00436594">
        <w:rPr>
          <w:rFonts w:ascii="Times New Roman" w:hAnsi="Times New Roman" w:cs="Times New Roman"/>
          <w:b w:val="0"/>
          <w:bCs w:val="0"/>
          <w:sz w:val="20"/>
          <w:szCs w:val="20"/>
        </w:rPr>
        <w:t>when reliability of the system is impaired. Demand response</w:t>
      </w:r>
      <w:r>
        <w:rPr>
          <w:rFonts w:ascii="Times New Roman" w:hAnsi="Times New Roman" w:cs="Times New Roman"/>
          <w:b w:val="0"/>
          <w:bCs w:val="0"/>
          <w:sz w:val="20"/>
          <w:szCs w:val="20"/>
        </w:rPr>
        <w:t xml:space="preserve"> </w:t>
      </w:r>
      <w:r w:rsidRPr="00436594">
        <w:rPr>
          <w:rFonts w:ascii="Times New Roman" w:hAnsi="Times New Roman" w:cs="Times New Roman"/>
          <w:b w:val="0"/>
          <w:bCs w:val="0"/>
          <w:sz w:val="20"/>
          <w:szCs w:val="20"/>
        </w:rPr>
        <w:t>can improve system adequacy and substantially reduce the</w:t>
      </w:r>
      <w:r>
        <w:rPr>
          <w:rFonts w:ascii="Times New Roman" w:hAnsi="Times New Roman" w:cs="Times New Roman"/>
          <w:b w:val="0"/>
          <w:bCs w:val="0"/>
          <w:sz w:val="20"/>
          <w:szCs w:val="20"/>
        </w:rPr>
        <w:t xml:space="preserve"> </w:t>
      </w:r>
      <w:r w:rsidRPr="00436594">
        <w:rPr>
          <w:rFonts w:ascii="Times New Roman" w:hAnsi="Times New Roman" w:cs="Times New Roman"/>
          <w:b w:val="0"/>
          <w:bCs w:val="0"/>
          <w:sz w:val="20"/>
          <w:szCs w:val="20"/>
        </w:rPr>
        <w:t>investment need to meet peak demand, shifting consumption to</w:t>
      </w:r>
      <w:r>
        <w:rPr>
          <w:rFonts w:ascii="Times New Roman" w:hAnsi="Times New Roman" w:cs="Times New Roman"/>
          <w:b w:val="0"/>
          <w:bCs w:val="0"/>
          <w:sz w:val="20"/>
          <w:szCs w:val="20"/>
        </w:rPr>
        <w:t xml:space="preserve"> </w:t>
      </w:r>
      <w:r w:rsidRPr="00436594">
        <w:rPr>
          <w:rFonts w:ascii="Times New Roman" w:hAnsi="Times New Roman" w:cs="Times New Roman"/>
          <w:b w:val="0"/>
          <w:bCs w:val="0"/>
          <w:sz w:val="20"/>
          <w:szCs w:val="20"/>
        </w:rPr>
        <w:t>times of low demand and adding stability to the system.</w:t>
      </w:r>
    </w:p>
    <w:p w14:paraId="3FC2F58D" w14:textId="6DDCC62B" w:rsidR="00B445B1" w:rsidRPr="00B445B1" w:rsidRDefault="00B445B1" w:rsidP="00B445B1">
      <w:pPr>
        <w:pStyle w:val="Ttulo1"/>
        <w:jc w:val="both"/>
        <w:rPr>
          <w:rFonts w:ascii="Times New Roman" w:hAnsi="Times New Roman" w:cs="Times New Roman"/>
          <w:b w:val="0"/>
          <w:bCs w:val="0"/>
          <w:sz w:val="20"/>
          <w:szCs w:val="20"/>
        </w:rPr>
      </w:pPr>
      <w:r w:rsidRPr="00B445B1">
        <w:rPr>
          <w:rFonts w:ascii="Times New Roman" w:hAnsi="Times New Roman" w:cs="Times New Roman"/>
          <w:b w:val="0"/>
          <w:bCs w:val="0"/>
          <w:sz w:val="20"/>
          <w:szCs w:val="20"/>
        </w:rPr>
        <w:t xml:space="preserve">This article will present a methodology for modeling demand response in the LEAP model - </w:t>
      </w:r>
      <w:r>
        <w:rPr>
          <w:rFonts w:ascii="Times New Roman" w:hAnsi="Times New Roman" w:cs="Times New Roman"/>
          <w:b w:val="0"/>
          <w:bCs w:val="0"/>
          <w:sz w:val="20"/>
          <w:szCs w:val="20"/>
        </w:rPr>
        <w:t>t</w:t>
      </w:r>
      <w:r w:rsidRPr="00B445B1">
        <w:rPr>
          <w:rFonts w:ascii="Times New Roman" w:hAnsi="Times New Roman" w:cs="Times New Roman"/>
          <w:b w:val="0"/>
          <w:bCs w:val="0"/>
          <w:sz w:val="20"/>
          <w:szCs w:val="20"/>
        </w:rPr>
        <w:t xml:space="preserve">he Low Emissions Analysis Platform, is a </w:t>
      </w:r>
      <w:proofErr w:type="gramStart"/>
      <w:r w:rsidRPr="00B445B1">
        <w:rPr>
          <w:rFonts w:ascii="Times New Roman" w:hAnsi="Times New Roman" w:cs="Times New Roman"/>
          <w:b w:val="0"/>
          <w:bCs w:val="0"/>
          <w:sz w:val="20"/>
          <w:szCs w:val="20"/>
        </w:rPr>
        <w:t>widely-used</w:t>
      </w:r>
      <w:proofErr w:type="gramEnd"/>
      <w:r w:rsidRPr="00B445B1">
        <w:rPr>
          <w:rFonts w:ascii="Times New Roman" w:hAnsi="Times New Roman" w:cs="Times New Roman"/>
          <w:b w:val="0"/>
          <w:bCs w:val="0"/>
          <w:sz w:val="20"/>
          <w:szCs w:val="20"/>
        </w:rPr>
        <w:t xml:space="preserve"> software tool for energy policy analysis and climate change mitigation- until the year 2050 in Brazil. Furthermore, the impact of demand response on generation expansion will be presented, informing which energy sources </w:t>
      </w:r>
      <w:r w:rsidR="009E5AAA" w:rsidRPr="009E5AAA">
        <w:rPr>
          <w:rFonts w:ascii="Times New Roman" w:hAnsi="Times New Roman" w:cs="Times New Roman"/>
          <w:b w:val="0"/>
          <w:bCs w:val="0"/>
          <w:sz w:val="20"/>
          <w:szCs w:val="20"/>
        </w:rPr>
        <w:t xml:space="preserve">will be most impacted </w:t>
      </w:r>
      <w:r w:rsidRPr="00B445B1">
        <w:rPr>
          <w:rFonts w:ascii="Times New Roman" w:hAnsi="Times New Roman" w:cs="Times New Roman"/>
          <w:b w:val="0"/>
          <w:bCs w:val="0"/>
          <w:sz w:val="20"/>
          <w:szCs w:val="20"/>
        </w:rPr>
        <w:t>with the introduction of this mechanism.</w:t>
      </w:r>
    </w:p>
    <w:p w14:paraId="7EF18C42" w14:textId="4CCA95E8" w:rsidR="00B445B1" w:rsidRPr="00436594" w:rsidRDefault="00B445B1" w:rsidP="00B445B1">
      <w:pPr>
        <w:pStyle w:val="Ttulo1"/>
        <w:jc w:val="both"/>
        <w:rPr>
          <w:rFonts w:ascii="Times New Roman" w:hAnsi="Times New Roman" w:cs="Times New Roman"/>
          <w:b w:val="0"/>
          <w:bCs w:val="0"/>
          <w:sz w:val="20"/>
          <w:szCs w:val="20"/>
        </w:rPr>
      </w:pPr>
      <w:r w:rsidRPr="00B445B1">
        <w:rPr>
          <w:rFonts w:ascii="Times New Roman" w:hAnsi="Times New Roman" w:cs="Times New Roman"/>
          <w:b w:val="0"/>
          <w:bCs w:val="0"/>
          <w:sz w:val="20"/>
          <w:szCs w:val="20"/>
        </w:rPr>
        <w:t xml:space="preserve">Environmental externalities will also be modeled, and in this </w:t>
      </w:r>
      <w:proofErr w:type="gramStart"/>
      <w:r w:rsidRPr="00B445B1">
        <w:rPr>
          <w:rFonts w:ascii="Times New Roman" w:hAnsi="Times New Roman" w:cs="Times New Roman"/>
          <w:b w:val="0"/>
          <w:bCs w:val="0"/>
          <w:sz w:val="20"/>
          <w:szCs w:val="20"/>
        </w:rPr>
        <w:t>way</w:t>
      </w:r>
      <w:proofErr w:type="gramEnd"/>
      <w:r w:rsidRPr="00B445B1">
        <w:rPr>
          <w:rFonts w:ascii="Times New Roman" w:hAnsi="Times New Roman" w:cs="Times New Roman"/>
          <w:b w:val="0"/>
          <w:bCs w:val="0"/>
          <w:sz w:val="20"/>
          <w:szCs w:val="20"/>
        </w:rPr>
        <w:t xml:space="preserve"> it will be shown which energy source will be most impacted in this new scenario with demand response.</w:t>
      </w:r>
    </w:p>
    <w:p w14:paraId="49E181D4" w14:textId="77777777" w:rsidR="006B5C2F" w:rsidRDefault="006B5C2F">
      <w:pPr>
        <w:pStyle w:val="Corpodetexto"/>
        <w:rPr>
          <w:rFonts w:ascii="Arial"/>
          <w:b/>
        </w:rPr>
      </w:pPr>
    </w:p>
    <w:p w14:paraId="6828D473" w14:textId="77777777" w:rsidR="006B5C2F" w:rsidRDefault="006B5C2F">
      <w:pPr>
        <w:pStyle w:val="Corpodetexto"/>
        <w:rPr>
          <w:rFonts w:ascii="Arial"/>
          <w:b/>
          <w:sz w:val="23"/>
        </w:rPr>
      </w:pPr>
    </w:p>
    <w:p w14:paraId="016B34AB" w14:textId="24490DCF" w:rsidR="006B5C2F" w:rsidRDefault="00000000">
      <w:pPr>
        <w:ind w:left="840"/>
        <w:rPr>
          <w:rFonts w:ascii="Arial"/>
          <w:b/>
          <w:sz w:val="24"/>
        </w:rPr>
      </w:pPr>
      <w:r>
        <w:rPr>
          <w:rFonts w:ascii="Arial"/>
          <w:b/>
          <w:sz w:val="24"/>
        </w:rPr>
        <w:t>Methods</w:t>
      </w:r>
    </w:p>
    <w:p w14:paraId="395F72AC" w14:textId="7EC8376F" w:rsidR="00B445B1" w:rsidRDefault="00B445B1" w:rsidP="00B445B1">
      <w:pPr>
        <w:pStyle w:val="Ttulo1"/>
        <w:jc w:val="both"/>
        <w:rPr>
          <w:rFonts w:ascii="Times New Roman" w:hAnsi="Times New Roman" w:cs="Times New Roman"/>
          <w:b w:val="0"/>
          <w:bCs w:val="0"/>
          <w:sz w:val="20"/>
          <w:szCs w:val="20"/>
        </w:rPr>
      </w:pPr>
      <w:r w:rsidRPr="00B445B1">
        <w:rPr>
          <w:rFonts w:ascii="Times New Roman" w:hAnsi="Times New Roman" w:cs="Times New Roman"/>
          <w:b w:val="0"/>
          <w:bCs w:val="0"/>
          <w:sz w:val="20"/>
          <w:szCs w:val="20"/>
        </w:rPr>
        <w:t xml:space="preserve">In this article the LEAP model will be used. LEAP has been adopted by thousands of organizations in more than 190 countries worldwide. LEAP is an integrated, scenario-based modeling tool that can be used to track energy consumption, </w:t>
      </w:r>
      <w:proofErr w:type="gramStart"/>
      <w:r w:rsidRPr="00B445B1">
        <w:rPr>
          <w:rFonts w:ascii="Times New Roman" w:hAnsi="Times New Roman" w:cs="Times New Roman"/>
          <w:b w:val="0"/>
          <w:bCs w:val="0"/>
          <w:sz w:val="20"/>
          <w:szCs w:val="20"/>
        </w:rPr>
        <w:t>production</w:t>
      </w:r>
      <w:proofErr w:type="gramEnd"/>
      <w:r w:rsidRPr="00B445B1">
        <w:rPr>
          <w:rFonts w:ascii="Times New Roman" w:hAnsi="Times New Roman" w:cs="Times New Roman"/>
          <w:b w:val="0"/>
          <w:bCs w:val="0"/>
          <w:sz w:val="20"/>
          <w:szCs w:val="20"/>
        </w:rPr>
        <w:t xml:space="preserve"> and resource extraction in all sectors of an economy. </w:t>
      </w:r>
    </w:p>
    <w:p w14:paraId="40E168A7" w14:textId="7E41FB30" w:rsidR="00B445B1" w:rsidRDefault="00567610" w:rsidP="00B445B1">
      <w:pPr>
        <w:pStyle w:val="Ttulo1"/>
        <w:jc w:val="both"/>
        <w:rPr>
          <w:rFonts w:ascii="Times New Roman" w:hAnsi="Times New Roman" w:cs="Times New Roman"/>
          <w:b w:val="0"/>
          <w:bCs w:val="0"/>
          <w:sz w:val="20"/>
          <w:szCs w:val="20"/>
        </w:rPr>
      </w:pPr>
      <w:r w:rsidRPr="00567610">
        <w:rPr>
          <w:rFonts w:ascii="Times New Roman" w:hAnsi="Times New Roman" w:cs="Times New Roman"/>
          <w:b w:val="0"/>
          <w:bCs w:val="0"/>
          <w:sz w:val="20"/>
          <w:szCs w:val="20"/>
        </w:rPr>
        <w:t xml:space="preserve">To insert data into the model, the main sources of research in Brazil in the energy </w:t>
      </w:r>
      <w:r w:rsidR="009E5AAA">
        <w:rPr>
          <w:rFonts w:ascii="Times New Roman" w:hAnsi="Times New Roman" w:cs="Times New Roman"/>
          <w:b w:val="0"/>
          <w:bCs w:val="0"/>
          <w:sz w:val="20"/>
          <w:szCs w:val="20"/>
        </w:rPr>
        <w:t xml:space="preserve">and economic </w:t>
      </w:r>
      <w:r w:rsidRPr="00567610">
        <w:rPr>
          <w:rFonts w:ascii="Times New Roman" w:hAnsi="Times New Roman" w:cs="Times New Roman"/>
          <w:b w:val="0"/>
          <w:bCs w:val="0"/>
          <w:sz w:val="20"/>
          <w:szCs w:val="20"/>
        </w:rPr>
        <w:t>area</w:t>
      </w:r>
      <w:r w:rsidR="009E5AAA">
        <w:rPr>
          <w:rFonts w:ascii="Times New Roman" w:hAnsi="Times New Roman" w:cs="Times New Roman"/>
          <w:b w:val="0"/>
          <w:bCs w:val="0"/>
          <w:sz w:val="20"/>
          <w:szCs w:val="20"/>
        </w:rPr>
        <w:t>s</w:t>
      </w:r>
      <w:r w:rsidRPr="00567610">
        <w:rPr>
          <w:rFonts w:ascii="Times New Roman" w:hAnsi="Times New Roman" w:cs="Times New Roman"/>
          <w:b w:val="0"/>
          <w:bCs w:val="0"/>
          <w:sz w:val="20"/>
          <w:szCs w:val="20"/>
        </w:rPr>
        <w:t xml:space="preserve"> were used, such as PDE, BEN and PNE, prepared by the Energy Research Company </w:t>
      </w:r>
      <w:r>
        <w:rPr>
          <w:rFonts w:ascii="Times New Roman" w:hAnsi="Times New Roman" w:cs="Times New Roman"/>
          <w:b w:val="0"/>
          <w:bCs w:val="0"/>
          <w:sz w:val="20"/>
          <w:szCs w:val="20"/>
        </w:rPr>
        <w:t>–</w:t>
      </w:r>
      <w:r w:rsidRPr="00567610">
        <w:rPr>
          <w:rFonts w:ascii="Times New Roman" w:hAnsi="Times New Roman" w:cs="Times New Roman"/>
          <w:b w:val="0"/>
          <w:bCs w:val="0"/>
          <w:sz w:val="20"/>
          <w:szCs w:val="20"/>
        </w:rPr>
        <w:t xml:space="preserve"> EPE</w:t>
      </w:r>
      <w:r>
        <w:rPr>
          <w:rFonts w:ascii="Times New Roman" w:hAnsi="Times New Roman" w:cs="Times New Roman"/>
          <w:b w:val="0"/>
          <w:bCs w:val="0"/>
          <w:sz w:val="20"/>
          <w:szCs w:val="20"/>
        </w:rPr>
        <w:t>.</w:t>
      </w:r>
    </w:p>
    <w:p w14:paraId="789193A4" w14:textId="0DFCE082" w:rsidR="00567610" w:rsidRDefault="00567610" w:rsidP="00B445B1">
      <w:pPr>
        <w:pStyle w:val="Ttulo1"/>
        <w:jc w:val="both"/>
        <w:rPr>
          <w:rFonts w:ascii="Times New Roman" w:hAnsi="Times New Roman" w:cs="Times New Roman"/>
          <w:b w:val="0"/>
          <w:bCs w:val="0"/>
          <w:sz w:val="20"/>
          <w:szCs w:val="20"/>
        </w:rPr>
      </w:pPr>
      <w:r w:rsidRPr="00567610">
        <w:rPr>
          <w:rFonts w:ascii="Times New Roman" w:hAnsi="Times New Roman" w:cs="Times New Roman"/>
          <w:b w:val="0"/>
          <w:bCs w:val="0"/>
          <w:sz w:val="20"/>
          <w:szCs w:val="20"/>
        </w:rPr>
        <w:t>Five scenarios were developed, which are listed below:</w:t>
      </w:r>
    </w:p>
    <w:p w14:paraId="0FFA214B" w14:textId="5EF8BD9E" w:rsidR="00567610" w:rsidRPr="00567610" w:rsidRDefault="00567610" w:rsidP="00567610">
      <w:pPr>
        <w:pStyle w:val="Ttulo1"/>
        <w:jc w:val="both"/>
        <w:rPr>
          <w:rFonts w:ascii="Times New Roman" w:hAnsi="Times New Roman" w:cs="Times New Roman"/>
          <w:b w:val="0"/>
          <w:bCs w:val="0"/>
          <w:sz w:val="20"/>
          <w:szCs w:val="20"/>
        </w:rPr>
      </w:pPr>
      <w:r w:rsidRPr="00567610">
        <w:rPr>
          <w:rFonts w:ascii="Times New Roman" w:hAnsi="Times New Roman" w:cs="Times New Roman"/>
          <w:b w:val="0"/>
          <w:bCs w:val="0"/>
          <w:sz w:val="20"/>
          <w:szCs w:val="20"/>
        </w:rPr>
        <w:t xml:space="preserve">Scenario </w:t>
      </w:r>
      <w:proofErr w:type="gramStart"/>
      <w:r w:rsidRPr="00567610">
        <w:rPr>
          <w:rFonts w:ascii="Times New Roman" w:hAnsi="Times New Roman" w:cs="Times New Roman"/>
          <w:b w:val="0"/>
          <w:bCs w:val="0"/>
          <w:sz w:val="20"/>
          <w:szCs w:val="20"/>
        </w:rPr>
        <w:t>1  -</w:t>
      </w:r>
      <w:proofErr w:type="gramEnd"/>
      <w:r w:rsidRPr="00567610">
        <w:rPr>
          <w:rFonts w:ascii="Times New Roman" w:hAnsi="Times New Roman" w:cs="Times New Roman"/>
          <w:b w:val="0"/>
          <w:bCs w:val="0"/>
          <w:sz w:val="20"/>
          <w:szCs w:val="20"/>
        </w:rPr>
        <w:t xml:space="preserve"> Baseline </w:t>
      </w:r>
    </w:p>
    <w:p w14:paraId="09DBFA2A" w14:textId="77777777" w:rsidR="00567610" w:rsidRPr="00567610" w:rsidRDefault="00567610" w:rsidP="00567610">
      <w:pPr>
        <w:pStyle w:val="Ttulo1"/>
        <w:jc w:val="both"/>
        <w:rPr>
          <w:rFonts w:ascii="Times New Roman" w:hAnsi="Times New Roman" w:cs="Times New Roman"/>
          <w:b w:val="0"/>
          <w:bCs w:val="0"/>
          <w:sz w:val="20"/>
          <w:szCs w:val="20"/>
        </w:rPr>
      </w:pPr>
      <w:r w:rsidRPr="00567610">
        <w:rPr>
          <w:rFonts w:ascii="Times New Roman" w:hAnsi="Times New Roman" w:cs="Times New Roman"/>
          <w:b w:val="0"/>
          <w:bCs w:val="0"/>
          <w:sz w:val="20"/>
          <w:szCs w:val="20"/>
        </w:rPr>
        <w:t>Scenario 2 – DR - Baseline + Demand Response</w:t>
      </w:r>
    </w:p>
    <w:p w14:paraId="182869E0" w14:textId="77777777" w:rsidR="00567610" w:rsidRPr="00567610" w:rsidRDefault="00567610" w:rsidP="00567610">
      <w:pPr>
        <w:pStyle w:val="Ttulo1"/>
        <w:jc w:val="both"/>
        <w:rPr>
          <w:rFonts w:ascii="Times New Roman" w:hAnsi="Times New Roman" w:cs="Times New Roman"/>
          <w:b w:val="0"/>
          <w:bCs w:val="0"/>
          <w:sz w:val="20"/>
          <w:szCs w:val="20"/>
        </w:rPr>
      </w:pPr>
      <w:r w:rsidRPr="00567610">
        <w:rPr>
          <w:rFonts w:ascii="Times New Roman" w:hAnsi="Times New Roman" w:cs="Times New Roman"/>
          <w:b w:val="0"/>
          <w:bCs w:val="0"/>
          <w:sz w:val="20"/>
          <w:szCs w:val="20"/>
        </w:rPr>
        <w:t>Scenario 3 – “Lighthouse” – Baseline + Demand growth of: 6% in Household, 5% in Industry, 5% in Commercial and 4% in Others</w:t>
      </w:r>
    </w:p>
    <w:p w14:paraId="6C91FCBB" w14:textId="2008AE7C" w:rsidR="00567610" w:rsidRPr="00567610" w:rsidRDefault="00567610" w:rsidP="00567610">
      <w:pPr>
        <w:pStyle w:val="Ttulo1"/>
        <w:jc w:val="both"/>
        <w:rPr>
          <w:rFonts w:ascii="Times New Roman" w:hAnsi="Times New Roman" w:cs="Times New Roman"/>
          <w:b w:val="0"/>
          <w:bCs w:val="0"/>
          <w:sz w:val="20"/>
          <w:szCs w:val="20"/>
        </w:rPr>
      </w:pPr>
      <w:r w:rsidRPr="00567610">
        <w:rPr>
          <w:rFonts w:ascii="Times New Roman" w:hAnsi="Times New Roman" w:cs="Times New Roman"/>
          <w:b w:val="0"/>
          <w:bCs w:val="0"/>
          <w:sz w:val="20"/>
          <w:szCs w:val="20"/>
        </w:rPr>
        <w:t>Scenario 4 - “</w:t>
      </w:r>
      <w:proofErr w:type="spellStart"/>
      <w:r w:rsidRPr="00567610">
        <w:rPr>
          <w:rFonts w:ascii="Times New Roman" w:hAnsi="Times New Roman" w:cs="Times New Roman"/>
          <w:b w:val="0"/>
          <w:bCs w:val="0"/>
          <w:sz w:val="20"/>
          <w:szCs w:val="20"/>
        </w:rPr>
        <w:t>DR_</w:t>
      </w:r>
      <w:r w:rsidRPr="00567610">
        <w:rPr>
          <w:rFonts w:ascii="Times New Roman" w:hAnsi="Times New Roman" w:cs="Times New Roman"/>
          <w:b w:val="0"/>
          <w:bCs w:val="0"/>
          <w:sz w:val="20"/>
          <w:szCs w:val="20"/>
        </w:rPr>
        <w:t>Lighthouse</w:t>
      </w:r>
      <w:proofErr w:type="spellEnd"/>
      <w:r w:rsidRPr="00567610">
        <w:rPr>
          <w:rFonts w:ascii="Times New Roman" w:hAnsi="Times New Roman" w:cs="Times New Roman"/>
          <w:b w:val="0"/>
          <w:bCs w:val="0"/>
          <w:sz w:val="20"/>
          <w:szCs w:val="20"/>
        </w:rPr>
        <w:t>” -</w:t>
      </w:r>
      <w:r w:rsidRPr="00567610">
        <w:rPr>
          <w:rFonts w:ascii="Times New Roman" w:hAnsi="Times New Roman" w:cs="Times New Roman"/>
          <w:b w:val="0"/>
          <w:bCs w:val="0"/>
          <w:sz w:val="20"/>
          <w:szCs w:val="20"/>
        </w:rPr>
        <w:t xml:space="preserve"> “</w:t>
      </w:r>
      <w:proofErr w:type="gramStart"/>
      <w:r w:rsidRPr="00567610">
        <w:rPr>
          <w:rFonts w:ascii="Times New Roman" w:hAnsi="Times New Roman" w:cs="Times New Roman"/>
          <w:b w:val="0"/>
          <w:bCs w:val="0"/>
          <w:sz w:val="20"/>
          <w:szCs w:val="20"/>
        </w:rPr>
        <w:t>Lighthouse”  +</w:t>
      </w:r>
      <w:proofErr w:type="gramEnd"/>
      <w:r w:rsidRPr="00567610">
        <w:rPr>
          <w:rFonts w:ascii="Times New Roman" w:hAnsi="Times New Roman" w:cs="Times New Roman"/>
          <w:b w:val="0"/>
          <w:bCs w:val="0"/>
          <w:sz w:val="20"/>
          <w:szCs w:val="20"/>
        </w:rPr>
        <w:t xml:space="preserve"> Demand Response</w:t>
      </w:r>
    </w:p>
    <w:p w14:paraId="0795D837" w14:textId="05F6A681" w:rsidR="00567610" w:rsidRDefault="00567610" w:rsidP="00567610">
      <w:pPr>
        <w:pStyle w:val="Ttulo1"/>
        <w:jc w:val="both"/>
        <w:rPr>
          <w:rFonts w:ascii="Times New Roman" w:hAnsi="Times New Roman" w:cs="Times New Roman"/>
          <w:b w:val="0"/>
          <w:bCs w:val="0"/>
          <w:sz w:val="20"/>
          <w:szCs w:val="20"/>
        </w:rPr>
      </w:pPr>
      <w:r w:rsidRPr="00567610">
        <w:rPr>
          <w:rFonts w:ascii="Times New Roman" w:hAnsi="Times New Roman" w:cs="Times New Roman"/>
          <w:b w:val="0"/>
          <w:bCs w:val="0"/>
          <w:sz w:val="20"/>
          <w:szCs w:val="20"/>
        </w:rPr>
        <w:t>Scenario 5 – “Impact_CO</w:t>
      </w:r>
      <w:r w:rsidRPr="00567610">
        <w:rPr>
          <w:rFonts w:ascii="Times New Roman" w:hAnsi="Times New Roman" w:cs="Times New Roman"/>
          <w:b w:val="0"/>
          <w:bCs w:val="0"/>
          <w:sz w:val="20"/>
          <w:szCs w:val="20"/>
          <w:vertAlign w:val="subscript"/>
        </w:rPr>
        <w:t>2</w:t>
      </w:r>
      <w:r w:rsidRPr="00567610">
        <w:rPr>
          <w:rFonts w:ascii="Times New Roman" w:hAnsi="Times New Roman" w:cs="Times New Roman"/>
          <w:b w:val="0"/>
          <w:bCs w:val="0"/>
          <w:sz w:val="20"/>
          <w:szCs w:val="20"/>
        </w:rPr>
        <w:t>” - “</w:t>
      </w:r>
      <w:proofErr w:type="spellStart"/>
      <w:r w:rsidRPr="00567610">
        <w:rPr>
          <w:rFonts w:ascii="Times New Roman" w:hAnsi="Times New Roman" w:cs="Times New Roman"/>
          <w:b w:val="0"/>
          <w:bCs w:val="0"/>
          <w:sz w:val="20"/>
          <w:szCs w:val="20"/>
        </w:rPr>
        <w:t>DR_Lighthouse</w:t>
      </w:r>
      <w:proofErr w:type="spellEnd"/>
      <w:r w:rsidRPr="00567610">
        <w:rPr>
          <w:rFonts w:ascii="Times New Roman" w:hAnsi="Times New Roman" w:cs="Times New Roman"/>
          <w:b w:val="0"/>
          <w:bCs w:val="0"/>
          <w:sz w:val="20"/>
          <w:szCs w:val="20"/>
        </w:rPr>
        <w:t>” + Environmental Externalities</w:t>
      </w:r>
    </w:p>
    <w:p w14:paraId="68FE4C76" w14:textId="77777777" w:rsidR="00B445B1" w:rsidRDefault="00B445B1" w:rsidP="00B445B1">
      <w:pPr>
        <w:pStyle w:val="Ttulo1"/>
        <w:jc w:val="both"/>
        <w:rPr>
          <w:rFonts w:ascii="Times New Roman" w:hAnsi="Times New Roman" w:cs="Times New Roman"/>
          <w:b w:val="0"/>
          <w:bCs w:val="0"/>
          <w:sz w:val="20"/>
          <w:szCs w:val="20"/>
        </w:rPr>
      </w:pPr>
    </w:p>
    <w:p w14:paraId="7B85EB92" w14:textId="77777777" w:rsidR="00567610" w:rsidRPr="00B445B1" w:rsidRDefault="00567610" w:rsidP="00B445B1">
      <w:pPr>
        <w:pStyle w:val="Ttulo1"/>
        <w:jc w:val="both"/>
        <w:rPr>
          <w:rFonts w:ascii="Times New Roman" w:hAnsi="Times New Roman" w:cs="Times New Roman"/>
          <w:b w:val="0"/>
          <w:bCs w:val="0"/>
          <w:sz w:val="20"/>
          <w:szCs w:val="20"/>
        </w:rPr>
      </w:pPr>
    </w:p>
    <w:p w14:paraId="1324FBA9" w14:textId="5790E7FB" w:rsidR="006B5C2F" w:rsidRDefault="00000000">
      <w:pPr>
        <w:pStyle w:val="Ttulo1"/>
      </w:pPr>
      <w:r>
        <w:t>Results</w:t>
      </w:r>
    </w:p>
    <w:p w14:paraId="0CB072FC" w14:textId="77777777" w:rsidR="009E5AAA" w:rsidRDefault="009E5AAA" w:rsidP="009E5AAA">
      <w:pPr>
        <w:pStyle w:val="Ttulo1"/>
        <w:jc w:val="both"/>
        <w:rPr>
          <w:rFonts w:ascii="Times New Roman" w:hAnsi="Times New Roman" w:cs="Times New Roman"/>
          <w:b w:val="0"/>
          <w:bCs w:val="0"/>
          <w:sz w:val="20"/>
          <w:szCs w:val="20"/>
        </w:rPr>
      </w:pPr>
      <w:r w:rsidRPr="009E5AAA">
        <w:rPr>
          <w:rFonts w:ascii="Times New Roman" w:hAnsi="Times New Roman" w:cs="Times New Roman"/>
          <w:b w:val="0"/>
          <w:bCs w:val="0"/>
          <w:sz w:val="20"/>
          <w:szCs w:val="20"/>
        </w:rPr>
        <w:t xml:space="preserve">The main results related to the expansion of generation for Brazil until the year 2050 will be presented in the five scenarios analyzed. The </w:t>
      </w:r>
      <w:proofErr w:type="gramStart"/>
      <w:r w:rsidRPr="009E5AAA">
        <w:rPr>
          <w:rFonts w:ascii="Times New Roman" w:hAnsi="Times New Roman" w:cs="Times New Roman"/>
          <w:b w:val="0"/>
          <w:bCs w:val="0"/>
          <w:sz w:val="20"/>
          <w:szCs w:val="20"/>
        </w:rPr>
        <w:t>main focus</w:t>
      </w:r>
      <w:proofErr w:type="gramEnd"/>
      <w:r w:rsidRPr="009E5AAA">
        <w:rPr>
          <w:rFonts w:ascii="Times New Roman" w:hAnsi="Times New Roman" w:cs="Times New Roman"/>
          <w:b w:val="0"/>
          <w:bCs w:val="0"/>
          <w:sz w:val="20"/>
          <w:szCs w:val="20"/>
        </w:rPr>
        <w:t xml:space="preserve"> of the article - and subject of analysis in each of the scenarios analyzed - is to analyze the change in Brazil's generation park with the introduction of demand response, comparing it with the reference scenario. </w:t>
      </w:r>
    </w:p>
    <w:p w14:paraId="40A12D4B" w14:textId="77777777" w:rsidR="009E5AAA" w:rsidRDefault="009E5AAA" w:rsidP="009E5AAA">
      <w:pPr>
        <w:pStyle w:val="Ttulo1"/>
        <w:jc w:val="both"/>
        <w:rPr>
          <w:rFonts w:ascii="Times New Roman" w:hAnsi="Times New Roman" w:cs="Times New Roman"/>
          <w:b w:val="0"/>
          <w:bCs w:val="0"/>
          <w:sz w:val="20"/>
          <w:szCs w:val="20"/>
        </w:rPr>
      </w:pPr>
      <w:r w:rsidRPr="009E5AAA">
        <w:rPr>
          <w:rFonts w:ascii="Times New Roman" w:hAnsi="Times New Roman" w:cs="Times New Roman"/>
          <w:b w:val="0"/>
          <w:bCs w:val="0"/>
          <w:sz w:val="20"/>
          <w:szCs w:val="20"/>
        </w:rPr>
        <w:t xml:space="preserve">In general, a sudden decrease in the expansion of thermal generation was observed over the study horizon, which is an important result for the study area. A decrease in nuclear source expansion was also observed over the study horizon. </w:t>
      </w:r>
    </w:p>
    <w:p w14:paraId="35D32DDA" w14:textId="6837D2DC" w:rsidR="006B5C2F" w:rsidRPr="009E5AAA" w:rsidRDefault="009E5AAA" w:rsidP="009E5AAA">
      <w:pPr>
        <w:pStyle w:val="Ttulo1"/>
        <w:jc w:val="both"/>
        <w:rPr>
          <w:rFonts w:ascii="Times New Roman" w:hAnsi="Times New Roman" w:cs="Times New Roman"/>
          <w:b w:val="0"/>
          <w:bCs w:val="0"/>
          <w:sz w:val="20"/>
          <w:szCs w:val="20"/>
        </w:rPr>
      </w:pPr>
      <w:r w:rsidRPr="009E5AAA">
        <w:rPr>
          <w:rFonts w:ascii="Times New Roman" w:hAnsi="Times New Roman" w:cs="Times New Roman"/>
          <w:b w:val="0"/>
          <w:bCs w:val="0"/>
          <w:sz w:val="20"/>
          <w:szCs w:val="20"/>
        </w:rPr>
        <w:t>This result reinforces the importance of demand response to meet the peak demand of the energy system, simultaneously contributing to the reduction of greenhouse gas emissions. In the scenario with greater energy demand for the study horizon, the impact of the demand response is even greater, reinforcing the importance of the mechanism if the country has greater economic development over the study horizon.</w:t>
      </w:r>
    </w:p>
    <w:p w14:paraId="0192C7A3" w14:textId="77777777" w:rsidR="006B5C2F" w:rsidRDefault="006B5C2F">
      <w:pPr>
        <w:pStyle w:val="Corpodetexto"/>
        <w:rPr>
          <w:rFonts w:ascii="Arial"/>
          <w:b/>
        </w:rPr>
      </w:pPr>
    </w:p>
    <w:p w14:paraId="7701579B" w14:textId="77777777" w:rsidR="006B5C2F" w:rsidRDefault="006B5C2F">
      <w:pPr>
        <w:pStyle w:val="Corpodetexto"/>
        <w:rPr>
          <w:rFonts w:ascii="Arial"/>
          <w:b/>
          <w:sz w:val="23"/>
        </w:rPr>
      </w:pPr>
    </w:p>
    <w:p w14:paraId="098AD9A3" w14:textId="7F57C395" w:rsidR="006B5C2F" w:rsidRDefault="00000000">
      <w:pPr>
        <w:ind w:left="840"/>
        <w:rPr>
          <w:rFonts w:ascii="Arial"/>
          <w:b/>
          <w:sz w:val="24"/>
        </w:rPr>
      </w:pPr>
      <w:r>
        <w:rPr>
          <w:rFonts w:ascii="Arial"/>
          <w:b/>
          <w:sz w:val="24"/>
        </w:rPr>
        <w:t>Conclusions</w:t>
      </w:r>
    </w:p>
    <w:p w14:paraId="2ECBF8B0" w14:textId="6C23CD89" w:rsidR="006B5C2F" w:rsidRDefault="00C330A7" w:rsidP="00C330A7">
      <w:pPr>
        <w:pStyle w:val="Ttulo1"/>
        <w:jc w:val="both"/>
        <w:rPr>
          <w:rFonts w:ascii="Times New Roman" w:hAnsi="Times New Roman" w:cs="Times New Roman"/>
          <w:b w:val="0"/>
          <w:bCs w:val="0"/>
          <w:sz w:val="20"/>
          <w:szCs w:val="20"/>
        </w:rPr>
      </w:pPr>
      <w:r w:rsidRPr="00C330A7">
        <w:rPr>
          <w:rFonts w:ascii="Times New Roman" w:hAnsi="Times New Roman" w:cs="Times New Roman"/>
          <w:b w:val="0"/>
          <w:bCs w:val="0"/>
          <w:sz w:val="20"/>
          <w:szCs w:val="20"/>
        </w:rPr>
        <w:t>The results found in this methodology are extremely important for the energy sector in Brazil, showing that demand response is a robust mechanism, with good development in energy markets around the world and which can have an important impact on the sector in Brazil. Some points can be highlighted in relation to the study:</w:t>
      </w:r>
    </w:p>
    <w:p w14:paraId="2ED89305" w14:textId="77777777" w:rsidR="00C330A7" w:rsidRPr="00C330A7" w:rsidRDefault="00C330A7" w:rsidP="00C330A7">
      <w:pPr>
        <w:pStyle w:val="Ttulo1"/>
        <w:jc w:val="both"/>
        <w:rPr>
          <w:rFonts w:ascii="Times New Roman" w:hAnsi="Times New Roman" w:cs="Times New Roman"/>
          <w:b w:val="0"/>
          <w:bCs w:val="0"/>
          <w:sz w:val="20"/>
          <w:szCs w:val="20"/>
        </w:rPr>
      </w:pPr>
    </w:p>
    <w:p w14:paraId="3460DA4C" w14:textId="77777777" w:rsidR="009E5AAA" w:rsidRPr="009E5AAA" w:rsidRDefault="009E5AAA" w:rsidP="00C330A7">
      <w:pPr>
        <w:pStyle w:val="Ttulo1"/>
        <w:numPr>
          <w:ilvl w:val="0"/>
          <w:numId w:val="2"/>
        </w:numPr>
        <w:jc w:val="both"/>
        <w:rPr>
          <w:rFonts w:ascii="Times New Roman" w:hAnsi="Times New Roman" w:cs="Times New Roman"/>
          <w:b w:val="0"/>
          <w:bCs w:val="0"/>
          <w:sz w:val="20"/>
          <w:szCs w:val="20"/>
        </w:rPr>
      </w:pPr>
      <w:r w:rsidRPr="009E5AAA">
        <w:rPr>
          <w:rFonts w:ascii="Times New Roman" w:hAnsi="Times New Roman" w:cs="Times New Roman"/>
          <w:b w:val="0"/>
          <w:bCs w:val="0"/>
          <w:sz w:val="20"/>
          <w:szCs w:val="20"/>
        </w:rPr>
        <w:t xml:space="preserve">Demand response - modeled in LEAP - changed the generation expansion and operation in Brazil until </w:t>
      </w:r>
      <w:proofErr w:type="gramStart"/>
      <w:r w:rsidRPr="009E5AAA">
        <w:rPr>
          <w:rFonts w:ascii="Times New Roman" w:hAnsi="Times New Roman" w:cs="Times New Roman"/>
          <w:b w:val="0"/>
          <w:bCs w:val="0"/>
          <w:sz w:val="20"/>
          <w:szCs w:val="20"/>
        </w:rPr>
        <w:t>2050;</w:t>
      </w:r>
      <w:proofErr w:type="gramEnd"/>
    </w:p>
    <w:p w14:paraId="02A36F74" w14:textId="77777777" w:rsidR="009E5AAA" w:rsidRPr="009E5AAA" w:rsidRDefault="009E5AAA" w:rsidP="00C330A7">
      <w:pPr>
        <w:pStyle w:val="Ttulo1"/>
        <w:numPr>
          <w:ilvl w:val="0"/>
          <w:numId w:val="2"/>
        </w:numPr>
        <w:jc w:val="both"/>
        <w:rPr>
          <w:rFonts w:ascii="Times New Roman" w:hAnsi="Times New Roman" w:cs="Times New Roman"/>
          <w:b w:val="0"/>
          <w:bCs w:val="0"/>
          <w:sz w:val="20"/>
          <w:szCs w:val="20"/>
        </w:rPr>
      </w:pPr>
      <w:r w:rsidRPr="009E5AAA">
        <w:rPr>
          <w:rFonts w:ascii="Times New Roman" w:hAnsi="Times New Roman" w:cs="Times New Roman"/>
          <w:b w:val="0"/>
          <w:bCs w:val="0"/>
          <w:sz w:val="20"/>
          <w:szCs w:val="20"/>
        </w:rPr>
        <w:t xml:space="preserve">Thermal generation was the type with the greatest impact, mainly natural gas and </w:t>
      </w:r>
      <w:proofErr w:type="gramStart"/>
      <w:r w:rsidRPr="009E5AAA">
        <w:rPr>
          <w:rFonts w:ascii="Times New Roman" w:hAnsi="Times New Roman" w:cs="Times New Roman"/>
          <w:b w:val="0"/>
          <w:bCs w:val="0"/>
          <w:sz w:val="20"/>
          <w:szCs w:val="20"/>
        </w:rPr>
        <w:t>nuclear;</w:t>
      </w:r>
      <w:proofErr w:type="gramEnd"/>
    </w:p>
    <w:p w14:paraId="52F76073" w14:textId="77777777" w:rsidR="009E5AAA" w:rsidRPr="009E5AAA" w:rsidRDefault="009E5AAA" w:rsidP="00C330A7">
      <w:pPr>
        <w:pStyle w:val="Ttulo1"/>
        <w:numPr>
          <w:ilvl w:val="0"/>
          <w:numId w:val="2"/>
        </w:numPr>
        <w:jc w:val="both"/>
        <w:rPr>
          <w:rFonts w:ascii="Times New Roman" w:hAnsi="Times New Roman" w:cs="Times New Roman"/>
          <w:b w:val="0"/>
          <w:bCs w:val="0"/>
          <w:sz w:val="20"/>
          <w:szCs w:val="20"/>
        </w:rPr>
      </w:pPr>
      <w:r w:rsidRPr="009E5AAA">
        <w:rPr>
          <w:rFonts w:ascii="Times New Roman" w:hAnsi="Times New Roman" w:cs="Times New Roman"/>
          <w:b w:val="0"/>
          <w:bCs w:val="0"/>
          <w:sz w:val="20"/>
          <w:szCs w:val="20"/>
        </w:rPr>
        <w:t xml:space="preserve">The greater the energy demand, the greater the impact of demand response on generation </w:t>
      </w:r>
      <w:proofErr w:type="gramStart"/>
      <w:r w:rsidRPr="009E5AAA">
        <w:rPr>
          <w:rFonts w:ascii="Times New Roman" w:hAnsi="Times New Roman" w:cs="Times New Roman"/>
          <w:b w:val="0"/>
          <w:bCs w:val="0"/>
          <w:sz w:val="20"/>
          <w:szCs w:val="20"/>
        </w:rPr>
        <w:t>expansion;</w:t>
      </w:r>
      <w:proofErr w:type="gramEnd"/>
    </w:p>
    <w:p w14:paraId="773BF52B" w14:textId="77777777" w:rsidR="009E5AAA" w:rsidRPr="009E5AAA" w:rsidRDefault="009E5AAA" w:rsidP="00C330A7">
      <w:pPr>
        <w:pStyle w:val="Ttulo1"/>
        <w:numPr>
          <w:ilvl w:val="0"/>
          <w:numId w:val="2"/>
        </w:numPr>
        <w:jc w:val="both"/>
        <w:rPr>
          <w:rFonts w:ascii="Times New Roman" w:hAnsi="Times New Roman" w:cs="Times New Roman"/>
          <w:b w:val="0"/>
          <w:bCs w:val="0"/>
          <w:sz w:val="20"/>
          <w:szCs w:val="20"/>
        </w:rPr>
      </w:pPr>
      <w:r w:rsidRPr="009E5AAA">
        <w:rPr>
          <w:rFonts w:ascii="Times New Roman" w:hAnsi="Times New Roman" w:cs="Times New Roman"/>
          <w:b w:val="0"/>
          <w:bCs w:val="0"/>
          <w:sz w:val="20"/>
          <w:szCs w:val="20"/>
        </w:rPr>
        <w:t xml:space="preserve">Emissions modeling has had a strong impact on the operation and expansion of energy </w:t>
      </w:r>
      <w:proofErr w:type="gramStart"/>
      <w:r w:rsidRPr="009E5AAA">
        <w:rPr>
          <w:rFonts w:ascii="Times New Roman" w:hAnsi="Times New Roman" w:cs="Times New Roman"/>
          <w:b w:val="0"/>
          <w:bCs w:val="0"/>
          <w:sz w:val="20"/>
          <w:szCs w:val="20"/>
        </w:rPr>
        <w:t>sources;</w:t>
      </w:r>
      <w:proofErr w:type="gramEnd"/>
    </w:p>
    <w:p w14:paraId="621053CC" w14:textId="77777777" w:rsidR="006B5C2F" w:rsidRDefault="006B5C2F">
      <w:pPr>
        <w:pStyle w:val="Corpodetexto"/>
        <w:rPr>
          <w:rFonts w:ascii="Arial"/>
          <w:b/>
        </w:rPr>
      </w:pPr>
    </w:p>
    <w:p w14:paraId="276BAD7A" w14:textId="77777777" w:rsidR="006B5C2F" w:rsidRDefault="006B5C2F">
      <w:pPr>
        <w:pStyle w:val="Corpodetexto"/>
        <w:rPr>
          <w:rFonts w:ascii="Arial"/>
          <w:b/>
        </w:rPr>
      </w:pPr>
    </w:p>
    <w:p w14:paraId="68EAD82A" w14:textId="77777777" w:rsidR="006B5C2F" w:rsidRDefault="006B5C2F">
      <w:pPr>
        <w:pStyle w:val="Corpodetexto"/>
        <w:rPr>
          <w:rFonts w:ascii="Arial"/>
          <w:b/>
          <w:sz w:val="23"/>
        </w:rPr>
      </w:pPr>
    </w:p>
    <w:p w14:paraId="1473C1F7" w14:textId="722B3445" w:rsidR="006B5C2F" w:rsidRDefault="00000000">
      <w:pPr>
        <w:pStyle w:val="Ttulo1"/>
      </w:pPr>
      <w:r>
        <w:lastRenderedPageBreak/>
        <w:t>References</w:t>
      </w:r>
    </w:p>
    <w:p w14:paraId="1BAA88A8" w14:textId="77777777" w:rsidR="006B5C2F" w:rsidRDefault="006B5C2F">
      <w:pPr>
        <w:pStyle w:val="Corpodetexto"/>
        <w:rPr>
          <w:rFonts w:ascii="Arial"/>
          <w:b/>
        </w:rPr>
      </w:pPr>
    </w:p>
    <w:p w14:paraId="278FB53C" w14:textId="77777777" w:rsidR="00C330A7" w:rsidRPr="00C330A7" w:rsidRDefault="00C330A7" w:rsidP="00C330A7">
      <w:pPr>
        <w:pStyle w:val="Ttulo1"/>
        <w:jc w:val="both"/>
        <w:rPr>
          <w:rFonts w:ascii="Times New Roman" w:hAnsi="Times New Roman" w:cs="Times New Roman"/>
          <w:b w:val="0"/>
          <w:bCs w:val="0"/>
          <w:sz w:val="20"/>
          <w:szCs w:val="20"/>
        </w:rPr>
      </w:pPr>
      <w:r w:rsidRPr="00C330A7">
        <w:rPr>
          <w:rFonts w:ascii="Times New Roman" w:hAnsi="Times New Roman" w:cs="Times New Roman"/>
          <w:b w:val="0"/>
          <w:bCs w:val="0"/>
          <w:sz w:val="20"/>
          <w:szCs w:val="20"/>
        </w:rPr>
        <w:t xml:space="preserve">G. Muller, "Impact of Demand Response on Generation Expansion Planning in the Brazilian Interconnected Power System," 2020 IEEE PES Transmission &amp; Distribution Conference and Exhibition - Latin America (T&amp;D LA), 2020, pp. 1-6, </w:t>
      </w:r>
      <w:proofErr w:type="spellStart"/>
      <w:r w:rsidRPr="00C330A7">
        <w:rPr>
          <w:rFonts w:ascii="Times New Roman" w:hAnsi="Times New Roman" w:cs="Times New Roman"/>
          <w:b w:val="0"/>
          <w:bCs w:val="0"/>
          <w:sz w:val="20"/>
          <w:szCs w:val="20"/>
        </w:rPr>
        <w:t>doi</w:t>
      </w:r>
      <w:proofErr w:type="spellEnd"/>
      <w:r w:rsidRPr="00C330A7">
        <w:rPr>
          <w:rFonts w:ascii="Times New Roman" w:hAnsi="Times New Roman" w:cs="Times New Roman"/>
          <w:b w:val="0"/>
          <w:bCs w:val="0"/>
          <w:sz w:val="20"/>
          <w:szCs w:val="20"/>
        </w:rPr>
        <w:t>: 10.1109/TDLA47668.2020.9326129.</w:t>
      </w:r>
    </w:p>
    <w:p w14:paraId="7849571D" w14:textId="77777777" w:rsidR="006B5C2F" w:rsidRDefault="006B5C2F">
      <w:pPr>
        <w:pStyle w:val="Corpodetexto"/>
        <w:rPr>
          <w:rFonts w:ascii="Arial"/>
          <w:b/>
        </w:rPr>
      </w:pPr>
    </w:p>
    <w:p w14:paraId="311F7B91" w14:textId="450C854F" w:rsidR="00C330A7" w:rsidRDefault="00C330A7" w:rsidP="00C330A7">
      <w:pPr>
        <w:pStyle w:val="Ttulo1"/>
        <w:jc w:val="both"/>
        <w:rPr>
          <w:rFonts w:ascii="Times New Roman" w:hAnsi="Times New Roman" w:cs="Times New Roman"/>
          <w:b w:val="0"/>
          <w:bCs w:val="0"/>
          <w:sz w:val="20"/>
          <w:szCs w:val="20"/>
        </w:rPr>
      </w:pPr>
      <w:r>
        <w:rPr>
          <w:rFonts w:ascii="Times New Roman" w:hAnsi="Times New Roman" w:cs="Times New Roman"/>
          <w:b w:val="0"/>
          <w:bCs w:val="0"/>
          <w:sz w:val="20"/>
          <w:szCs w:val="20"/>
        </w:rPr>
        <w:t>EPE, “</w:t>
      </w:r>
      <w:r w:rsidRPr="00C330A7">
        <w:rPr>
          <w:rFonts w:ascii="Times New Roman" w:hAnsi="Times New Roman" w:cs="Times New Roman"/>
          <w:b w:val="0"/>
          <w:bCs w:val="0"/>
          <w:sz w:val="20"/>
          <w:szCs w:val="20"/>
        </w:rPr>
        <w:t xml:space="preserve">Demand response: Concepts, regulatory aspects and energy planning </w:t>
      </w:r>
      <w:proofErr w:type="gramStart"/>
      <w:r>
        <w:rPr>
          <w:rFonts w:ascii="Times New Roman" w:hAnsi="Times New Roman" w:cs="Times New Roman"/>
          <w:b w:val="0"/>
          <w:bCs w:val="0"/>
          <w:sz w:val="20"/>
          <w:szCs w:val="20"/>
        </w:rPr>
        <w:t>“ -</w:t>
      </w:r>
      <w:proofErr w:type="gramEnd"/>
      <w:r>
        <w:rPr>
          <w:rFonts w:ascii="Times New Roman" w:hAnsi="Times New Roman" w:cs="Times New Roman"/>
          <w:b w:val="0"/>
          <w:bCs w:val="0"/>
          <w:sz w:val="20"/>
          <w:szCs w:val="20"/>
        </w:rPr>
        <w:t xml:space="preserve"> </w:t>
      </w:r>
      <w:r w:rsidRPr="00C330A7">
        <w:rPr>
          <w:rFonts w:ascii="Times New Roman" w:hAnsi="Times New Roman" w:cs="Times New Roman"/>
          <w:b w:val="0"/>
          <w:bCs w:val="0"/>
          <w:sz w:val="20"/>
          <w:szCs w:val="20"/>
        </w:rPr>
        <w:t>Executive summary.</w:t>
      </w:r>
      <w:r>
        <w:rPr>
          <w:rFonts w:ascii="Times New Roman" w:hAnsi="Times New Roman" w:cs="Times New Roman"/>
          <w:b w:val="0"/>
          <w:bCs w:val="0"/>
          <w:sz w:val="20"/>
          <w:szCs w:val="20"/>
        </w:rPr>
        <w:t xml:space="preserve"> 2019. Brazil.</w:t>
      </w:r>
    </w:p>
    <w:p w14:paraId="40151A49" w14:textId="77777777" w:rsidR="00C330A7" w:rsidRDefault="00C330A7" w:rsidP="00C330A7">
      <w:pPr>
        <w:pStyle w:val="Ttulo1"/>
        <w:jc w:val="both"/>
        <w:rPr>
          <w:rFonts w:ascii="Times New Roman" w:hAnsi="Times New Roman" w:cs="Times New Roman"/>
          <w:b w:val="0"/>
          <w:bCs w:val="0"/>
          <w:sz w:val="20"/>
          <w:szCs w:val="20"/>
        </w:rPr>
      </w:pPr>
    </w:p>
    <w:p w14:paraId="42428C57" w14:textId="089564FB" w:rsidR="00C330A7" w:rsidRDefault="00C330A7" w:rsidP="00C330A7">
      <w:pPr>
        <w:pStyle w:val="Ttulo1"/>
        <w:jc w:val="both"/>
        <w:rPr>
          <w:rFonts w:ascii="Times New Roman" w:hAnsi="Times New Roman" w:cs="Times New Roman"/>
          <w:b w:val="0"/>
          <w:bCs w:val="0"/>
          <w:sz w:val="20"/>
          <w:szCs w:val="20"/>
        </w:rPr>
      </w:pPr>
      <w:r>
        <w:rPr>
          <w:rFonts w:ascii="Times New Roman" w:hAnsi="Times New Roman" w:cs="Times New Roman"/>
          <w:b w:val="0"/>
          <w:bCs w:val="0"/>
          <w:sz w:val="20"/>
          <w:szCs w:val="20"/>
        </w:rPr>
        <w:t>EPE, “T</w:t>
      </w:r>
      <w:r w:rsidRPr="00C330A7">
        <w:rPr>
          <w:rFonts w:ascii="Times New Roman" w:hAnsi="Times New Roman" w:cs="Times New Roman"/>
          <w:b w:val="0"/>
          <w:bCs w:val="0"/>
          <w:sz w:val="20"/>
          <w:szCs w:val="20"/>
        </w:rPr>
        <w:t>he Ten-Year Energy Expansion Plan</w:t>
      </w:r>
      <w:r>
        <w:rPr>
          <w:rFonts w:ascii="Times New Roman" w:hAnsi="Times New Roman" w:cs="Times New Roman"/>
          <w:b w:val="0"/>
          <w:bCs w:val="0"/>
          <w:sz w:val="20"/>
          <w:szCs w:val="20"/>
        </w:rPr>
        <w:t>”. 2022. Brazil.</w:t>
      </w:r>
    </w:p>
    <w:p w14:paraId="163F1229" w14:textId="77777777" w:rsidR="00C330A7" w:rsidRDefault="00C330A7" w:rsidP="00C330A7">
      <w:pPr>
        <w:pStyle w:val="Ttulo1"/>
        <w:jc w:val="both"/>
        <w:rPr>
          <w:rFonts w:ascii="Times New Roman" w:hAnsi="Times New Roman" w:cs="Times New Roman"/>
          <w:b w:val="0"/>
          <w:bCs w:val="0"/>
          <w:sz w:val="20"/>
          <w:szCs w:val="20"/>
        </w:rPr>
      </w:pPr>
    </w:p>
    <w:p w14:paraId="6EF268BA" w14:textId="71B53BFE" w:rsidR="00C330A7" w:rsidRDefault="00C330A7" w:rsidP="00C330A7">
      <w:pPr>
        <w:pStyle w:val="Ttulo1"/>
        <w:jc w:val="both"/>
        <w:rPr>
          <w:rFonts w:ascii="Times New Roman" w:hAnsi="Times New Roman" w:cs="Times New Roman"/>
          <w:b w:val="0"/>
          <w:bCs w:val="0"/>
          <w:sz w:val="20"/>
          <w:szCs w:val="20"/>
        </w:rPr>
      </w:pPr>
      <w:r w:rsidRPr="00C330A7">
        <w:rPr>
          <w:rFonts w:ascii="Times New Roman" w:hAnsi="Times New Roman" w:cs="Times New Roman"/>
          <w:b w:val="0"/>
          <w:bCs w:val="0"/>
          <w:sz w:val="20"/>
          <w:szCs w:val="20"/>
        </w:rPr>
        <w:t xml:space="preserve">DOE. “Smart Grid </w:t>
      </w:r>
      <w:proofErr w:type="spellStart"/>
      <w:r w:rsidRPr="00C330A7">
        <w:rPr>
          <w:rFonts w:ascii="Times New Roman" w:hAnsi="Times New Roman" w:cs="Times New Roman"/>
          <w:b w:val="0"/>
          <w:bCs w:val="0"/>
          <w:sz w:val="20"/>
          <w:szCs w:val="20"/>
        </w:rPr>
        <w:t>Investiment</w:t>
      </w:r>
      <w:proofErr w:type="spellEnd"/>
      <w:r w:rsidRPr="00C330A7">
        <w:rPr>
          <w:rFonts w:ascii="Times New Roman" w:hAnsi="Times New Roman" w:cs="Times New Roman"/>
          <w:b w:val="0"/>
          <w:bCs w:val="0"/>
          <w:sz w:val="20"/>
          <w:szCs w:val="20"/>
        </w:rPr>
        <w:t xml:space="preserve"> Grant Program Final</w:t>
      </w:r>
      <w:r>
        <w:rPr>
          <w:rFonts w:ascii="Times New Roman" w:hAnsi="Times New Roman" w:cs="Times New Roman"/>
          <w:b w:val="0"/>
          <w:bCs w:val="0"/>
          <w:sz w:val="20"/>
          <w:szCs w:val="20"/>
        </w:rPr>
        <w:t xml:space="preserve"> </w:t>
      </w:r>
      <w:r w:rsidRPr="00C330A7">
        <w:rPr>
          <w:rFonts w:ascii="Times New Roman" w:hAnsi="Times New Roman" w:cs="Times New Roman"/>
          <w:b w:val="0"/>
          <w:bCs w:val="0"/>
          <w:sz w:val="20"/>
          <w:szCs w:val="20"/>
        </w:rPr>
        <w:t>Report”. Technical Report, Feb. 2006.</w:t>
      </w:r>
    </w:p>
    <w:p w14:paraId="6EB06FA5" w14:textId="77777777" w:rsidR="00C330A7" w:rsidRPr="00C330A7" w:rsidRDefault="00C330A7" w:rsidP="00C330A7">
      <w:pPr>
        <w:pStyle w:val="Ttulo1"/>
        <w:jc w:val="both"/>
        <w:rPr>
          <w:rFonts w:ascii="Times New Roman" w:hAnsi="Times New Roman" w:cs="Times New Roman"/>
          <w:b w:val="0"/>
          <w:bCs w:val="0"/>
          <w:sz w:val="20"/>
          <w:szCs w:val="20"/>
        </w:rPr>
      </w:pPr>
    </w:p>
    <w:p w14:paraId="04871DB4" w14:textId="64CDEFF2" w:rsidR="006B5C2F" w:rsidRPr="00C330A7" w:rsidRDefault="00C330A7" w:rsidP="00C330A7">
      <w:pPr>
        <w:pStyle w:val="Ttulo1"/>
        <w:jc w:val="both"/>
        <w:rPr>
          <w:rFonts w:ascii="Times New Roman" w:hAnsi="Times New Roman" w:cs="Times New Roman"/>
          <w:b w:val="0"/>
          <w:bCs w:val="0"/>
          <w:sz w:val="20"/>
          <w:szCs w:val="20"/>
        </w:rPr>
      </w:pPr>
      <w:r w:rsidRPr="00C330A7">
        <w:rPr>
          <w:rFonts w:ascii="Times New Roman" w:hAnsi="Times New Roman" w:cs="Times New Roman"/>
          <w:b w:val="0"/>
          <w:bCs w:val="0"/>
          <w:sz w:val="20"/>
          <w:szCs w:val="20"/>
        </w:rPr>
        <w:t>D. G. Choi, V. Thomas, “An electricity generation</w:t>
      </w:r>
      <w:r>
        <w:rPr>
          <w:rFonts w:ascii="Times New Roman" w:hAnsi="Times New Roman" w:cs="Times New Roman"/>
          <w:b w:val="0"/>
          <w:bCs w:val="0"/>
          <w:sz w:val="20"/>
          <w:szCs w:val="20"/>
        </w:rPr>
        <w:t xml:space="preserve"> </w:t>
      </w:r>
      <w:r w:rsidRPr="00C330A7">
        <w:rPr>
          <w:rFonts w:ascii="Times New Roman" w:hAnsi="Times New Roman" w:cs="Times New Roman"/>
          <w:b w:val="0"/>
          <w:bCs w:val="0"/>
          <w:sz w:val="20"/>
          <w:szCs w:val="20"/>
        </w:rPr>
        <w:t>planning model incorporating demand response”, Energy</w:t>
      </w:r>
      <w:r>
        <w:rPr>
          <w:rFonts w:ascii="Times New Roman" w:hAnsi="Times New Roman" w:cs="Times New Roman"/>
          <w:b w:val="0"/>
          <w:bCs w:val="0"/>
          <w:sz w:val="20"/>
          <w:szCs w:val="20"/>
        </w:rPr>
        <w:t xml:space="preserve"> </w:t>
      </w:r>
      <w:r w:rsidRPr="00C330A7">
        <w:rPr>
          <w:rFonts w:ascii="Times New Roman" w:hAnsi="Times New Roman" w:cs="Times New Roman"/>
          <w:b w:val="0"/>
          <w:bCs w:val="0"/>
          <w:sz w:val="20"/>
          <w:szCs w:val="20"/>
        </w:rPr>
        <w:t>Policy, vol. 42, pp. 429-441, Jan. 2012.</w:t>
      </w:r>
    </w:p>
    <w:p w14:paraId="4E8B2D8C" w14:textId="77777777" w:rsidR="006B5C2F" w:rsidRDefault="006B5C2F">
      <w:pPr>
        <w:pStyle w:val="Corpodetexto"/>
        <w:spacing w:before="9"/>
        <w:rPr>
          <w:rFonts w:ascii="Arial"/>
          <w:b/>
          <w:sz w:val="17"/>
        </w:rPr>
      </w:pPr>
    </w:p>
    <w:p w14:paraId="4403106B" w14:textId="5A2B9128" w:rsidR="00C166C0" w:rsidRDefault="00C166C0" w:rsidP="00C166C0">
      <w:pPr>
        <w:pStyle w:val="Ttulo1"/>
        <w:jc w:val="both"/>
        <w:rPr>
          <w:rFonts w:ascii="Times New Roman" w:hAnsi="Times New Roman" w:cs="Times New Roman"/>
          <w:b w:val="0"/>
          <w:bCs w:val="0"/>
          <w:sz w:val="20"/>
          <w:szCs w:val="20"/>
        </w:rPr>
      </w:pPr>
      <w:r w:rsidRPr="00C166C0">
        <w:rPr>
          <w:rFonts w:ascii="Times New Roman" w:hAnsi="Times New Roman" w:cs="Times New Roman"/>
          <w:b w:val="0"/>
          <w:bCs w:val="0"/>
          <w:sz w:val="20"/>
          <w:szCs w:val="20"/>
        </w:rPr>
        <w:t xml:space="preserve">Silva, C.; Faria, P.; Vale, Z. Demand Response Implementation: Overview of Europe and United States Status. Energies 2023, 16, 4043. </w:t>
      </w:r>
      <w:hyperlink r:id="rId5" w:history="1">
        <w:r w:rsidR="007B753D" w:rsidRPr="00C258E5">
          <w:rPr>
            <w:rStyle w:val="Hyperlink"/>
            <w:rFonts w:ascii="Times New Roman" w:hAnsi="Times New Roman" w:cs="Times New Roman"/>
            <w:b w:val="0"/>
            <w:bCs w:val="0"/>
            <w:sz w:val="20"/>
            <w:szCs w:val="20"/>
          </w:rPr>
          <w:t>https://doi.org/10.3390/en16104043</w:t>
        </w:r>
      </w:hyperlink>
    </w:p>
    <w:p w14:paraId="0857CC64" w14:textId="77777777" w:rsidR="007B753D" w:rsidRDefault="007B753D" w:rsidP="00C166C0">
      <w:pPr>
        <w:pStyle w:val="Ttulo1"/>
        <w:jc w:val="both"/>
        <w:rPr>
          <w:rFonts w:ascii="Times New Roman" w:hAnsi="Times New Roman" w:cs="Times New Roman"/>
          <w:b w:val="0"/>
          <w:bCs w:val="0"/>
          <w:sz w:val="20"/>
          <w:szCs w:val="20"/>
        </w:rPr>
      </w:pPr>
    </w:p>
    <w:p w14:paraId="498274E9" w14:textId="59D87E0B" w:rsidR="007B753D" w:rsidRPr="00C166C0" w:rsidRDefault="007B753D" w:rsidP="00C166C0">
      <w:pPr>
        <w:pStyle w:val="Ttulo1"/>
        <w:jc w:val="both"/>
        <w:rPr>
          <w:rFonts w:ascii="Times New Roman" w:hAnsi="Times New Roman" w:cs="Times New Roman"/>
          <w:b w:val="0"/>
          <w:bCs w:val="0"/>
          <w:sz w:val="20"/>
          <w:szCs w:val="20"/>
        </w:rPr>
      </w:pPr>
      <w:r>
        <w:rPr>
          <w:color w:val="333333"/>
          <w:sz w:val="20"/>
          <w:szCs w:val="20"/>
          <w:shd w:val="clear" w:color="auto" w:fill="FFFFFF"/>
        </w:rPr>
        <w:t>J</w:t>
      </w:r>
      <w:r w:rsidRPr="007B753D">
        <w:rPr>
          <w:rFonts w:ascii="Times New Roman" w:hAnsi="Times New Roman" w:cs="Times New Roman"/>
          <w:b w:val="0"/>
          <w:bCs w:val="0"/>
          <w:sz w:val="20"/>
          <w:szCs w:val="20"/>
        </w:rPr>
        <w:t xml:space="preserve">. Wu, G. Qian, Y. Sun, J. Qian, B. </w:t>
      </w:r>
      <w:proofErr w:type="gramStart"/>
      <w:r w:rsidRPr="007B753D">
        <w:rPr>
          <w:rFonts w:ascii="Times New Roman" w:hAnsi="Times New Roman" w:cs="Times New Roman"/>
          <w:b w:val="0"/>
          <w:bCs w:val="0"/>
          <w:sz w:val="20"/>
          <w:szCs w:val="20"/>
        </w:rPr>
        <w:t>Pan</w:t>
      </w:r>
      <w:proofErr w:type="gramEnd"/>
      <w:r w:rsidRPr="007B753D">
        <w:rPr>
          <w:rFonts w:ascii="Times New Roman" w:hAnsi="Times New Roman" w:cs="Times New Roman"/>
          <w:b w:val="0"/>
          <w:bCs w:val="0"/>
          <w:sz w:val="20"/>
          <w:szCs w:val="20"/>
        </w:rPr>
        <w:t xml:space="preserve"> and J. Yue, "Load Forecasting Combination Model Considering Demand Response Resources," </w:t>
      </w:r>
      <w:r w:rsidRPr="007B753D">
        <w:rPr>
          <w:rFonts w:ascii="Times New Roman" w:hAnsi="Times New Roman" w:cs="Times New Roman"/>
          <w:b w:val="0"/>
          <w:bCs w:val="0"/>
          <w:i/>
          <w:iCs/>
        </w:rPr>
        <w:t>2023 4th International Conference on Information Science, Parallel and Distributed Systems (ISPDS)</w:t>
      </w:r>
      <w:r w:rsidRPr="007B753D">
        <w:rPr>
          <w:rFonts w:ascii="Times New Roman" w:hAnsi="Times New Roman" w:cs="Times New Roman"/>
          <w:b w:val="0"/>
          <w:bCs w:val="0"/>
          <w:sz w:val="20"/>
          <w:szCs w:val="20"/>
        </w:rPr>
        <w:t xml:space="preserve">, Guangzhou, China, 2023, pp. 235-238, </w:t>
      </w:r>
      <w:proofErr w:type="spellStart"/>
      <w:r w:rsidRPr="007B753D">
        <w:rPr>
          <w:rFonts w:ascii="Times New Roman" w:hAnsi="Times New Roman" w:cs="Times New Roman"/>
          <w:b w:val="0"/>
          <w:bCs w:val="0"/>
          <w:sz w:val="20"/>
          <w:szCs w:val="20"/>
        </w:rPr>
        <w:t>doi</w:t>
      </w:r>
      <w:proofErr w:type="spellEnd"/>
      <w:r w:rsidRPr="007B753D">
        <w:rPr>
          <w:rFonts w:ascii="Times New Roman" w:hAnsi="Times New Roman" w:cs="Times New Roman"/>
          <w:b w:val="0"/>
          <w:bCs w:val="0"/>
          <w:sz w:val="20"/>
          <w:szCs w:val="20"/>
        </w:rPr>
        <w:t>: 10.1109/ISPDS58840.2023.10235588.</w:t>
      </w:r>
    </w:p>
    <w:sectPr w:rsidR="007B753D" w:rsidRPr="00C166C0">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6EB"/>
    <w:multiLevelType w:val="hybridMultilevel"/>
    <w:tmpl w:val="2AB6E3A6"/>
    <w:lvl w:ilvl="0" w:tplc="1B90CCEA">
      <w:start w:val="1"/>
      <w:numFmt w:val="bullet"/>
      <w:lvlText w:val=""/>
      <w:lvlJc w:val="left"/>
      <w:pPr>
        <w:tabs>
          <w:tab w:val="num" w:pos="720"/>
        </w:tabs>
        <w:ind w:left="720" w:hanging="360"/>
      </w:pPr>
      <w:rPr>
        <w:rFonts w:ascii="Wingdings" w:hAnsi="Wingdings" w:hint="default"/>
      </w:rPr>
    </w:lvl>
    <w:lvl w:ilvl="1" w:tplc="CC22DCB0" w:tentative="1">
      <w:start w:val="1"/>
      <w:numFmt w:val="bullet"/>
      <w:lvlText w:val=""/>
      <w:lvlJc w:val="left"/>
      <w:pPr>
        <w:tabs>
          <w:tab w:val="num" w:pos="1440"/>
        </w:tabs>
        <w:ind w:left="1440" w:hanging="360"/>
      </w:pPr>
      <w:rPr>
        <w:rFonts w:ascii="Wingdings" w:hAnsi="Wingdings" w:hint="default"/>
      </w:rPr>
    </w:lvl>
    <w:lvl w:ilvl="2" w:tplc="D76CC856" w:tentative="1">
      <w:start w:val="1"/>
      <w:numFmt w:val="bullet"/>
      <w:lvlText w:val=""/>
      <w:lvlJc w:val="left"/>
      <w:pPr>
        <w:tabs>
          <w:tab w:val="num" w:pos="2160"/>
        </w:tabs>
        <w:ind w:left="2160" w:hanging="360"/>
      </w:pPr>
      <w:rPr>
        <w:rFonts w:ascii="Wingdings" w:hAnsi="Wingdings" w:hint="default"/>
      </w:rPr>
    </w:lvl>
    <w:lvl w:ilvl="3" w:tplc="0B66B1E4" w:tentative="1">
      <w:start w:val="1"/>
      <w:numFmt w:val="bullet"/>
      <w:lvlText w:val=""/>
      <w:lvlJc w:val="left"/>
      <w:pPr>
        <w:tabs>
          <w:tab w:val="num" w:pos="2880"/>
        </w:tabs>
        <w:ind w:left="2880" w:hanging="360"/>
      </w:pPr>
      <w:rPr>
        <w:rFonts w:ascii="Wingdings" w:hAnsi="Wingdings" w:hint="default"/>
      </w:rPr>
    </w:lvl>
    <w:lvl w:ilvl="4" w:tplc="E6A6116A" w:tentative="1">
      <w:start w:val="1"/>
      <w:numFmt w:val="bullet"/>
      <w:lvlText w:val=""/>
      <w:lvlJc w:val="left"/>
      <w:pPr>
        <w:tabs>
          <w:tab w:val="num" w:pos="3600"/>
        </w:tabs>
        <w:ind w:left="3600" w:hanging="360"/>
      </w:pPr>
      <w:rPr>
        <w:rFonts w:ascii="Wingdings" w:hAnsi="Wingdings" w:hint="default"/>
      </w:rPr>
    </w:lvl>
    <w:lvl w:ilvl="5" w:tplc="53C64ABE" w:tentative="1">
      <w:start w:val="1"/>
      <w:numFmt w:val="bullet"/>
      <w:lvlText w:val=""/>
      <w:lvlJc w:val="left"/>
      <w:pPr>
        <w:tabs>
          <w:tab w:val="num" w:pos="4320"/>
        </w:tabs>
        <w:ind w:left="4320" w:hanging="360"/>
      </w:pPr>
      <w:rPr>
        <w:rFonts w:ascii="Wingdings" w:hAnsi="Wingdings" w:hint="default"/>
      </w:rPr>
    </w:lvl>
    <w:lvl w:ilvl="6" w:tplc="B0342616" w:tentative="1">
      <w:start w:val="1"/>
      <w:numFmt w:val="bullet"/>
      <w:lvlText w:val=""/>
      <w:lvlJc w:val="left"/>
      <w:pPr>
        <w:tabs>
          <w:tab w:val="num" w:pos="5040"/>
        </w:tabs>
        <w:ind w:left="5040" w:hanging="360"/>
      </w:pPr>
      <w:rPr>
        <w:rFonts w:ascii="Wingdings" w:hAnsi="Wingdings" w:hint="default"/>
      </w:rPr>
    </w:lvl>
    <w:lvl w:ilvl="7" w:tplc="82A6C26E" w:tentative="1">
      <w:start w:val="1"/>
      <w:numFmt w:val="bullet"/>
      <w:lvlText w:val=""/>
      <w:lvlJc w:val="left"/>
      <w:pPr>
        <w:tabs>
          <w:tab w:val="num" w:pos="5760"/>
        </w:tabs>
        <w:ind w:left="5760" w:hanging="360"/>
      </w:pPr>
      <w:rPr>
        <w:rFonts w:ascii="Wingdings" w:hAnsi="Wingdings" w:hint="default"/>
      </w:rPr>
    </w:lvl>
    <w:lvl w:ilvl="8" w:tplc="82E89E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CE6BC0"/>
    <w:multiLevelType w:val="hybridMultilevel"/>
    <w:tmpl w:val="F0105C8C"/>
    <w:lvl w:ilvl="0" w:tplc="04160001">
      <w:start w:val="1"/>
      <w:numFmt w:val="bullet"/>
      <w:lvlText w:val=""/>
      <w:lvlJc w:val="left"/>
      <w:pPr>
        <w:ind w:left="1560" w:hanging="360"/>
      </w:pPr>
      <w:rPr>
        <w:rFonts w:ascii="Symbol" w:hAnsi="Symbol"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num w:numId="1" w16cid:durableId="2012218809">
    <w:abstractNumId w:val="0"/>
  </w:num>
  <w:num w:numId="2" w16cid:durableId="202982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B5C2F"/>
    <w:rsid w:val="00195CE3"/>
    <w:rsid w:val="001A4B24"/>
    <w:rsid w:val="00397D66"/>
    <w:rsid w:val="00436594"/>
    <w:rsid w:val="00567610"/>
    <w:rsid w:val="006B5C2F"/>
    <w:rsid w:val="007B753D"/>
    <w:rsid w:val="009E5AAA"/>
    <w:rsid w:val="00A952C2"/>
    <w:rsid w:val="00B445B1"/>
    <w:rsid w:val="00C166C0"/>
    <w:rsid w:val="00C330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321D"/>
  <w15:docId w15:val="{95DE7F2C-6E44-403D-8665-4567D413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B445B1"/>
    <w:rPr>
      <w:rFonts w:ascii="Times New Roman" w:eastAsia="Times New Roman" w:hAnsi="Times New Roman" w:cs="Times New Roman"/>
      <w:sz w:val="20"/>
      <w:szCs w:val="20"/>
    </w:rPr>
  </w:style>
  <w:style w:type="character" w:customStyle="1" w:styleId="rynqvb">
    <w:name w:val="rynqvb"/>
    <w:basedOn w:val="Fontepargpadro"/>
    <w:rsid w:val="00B445B1"/>
  </w:style>
  <w:style w:type="character" w:customStyle="1" w:styleId="il">
    <w:name w:val="il"/>
    <w:basedOn w:val="Fontepargpadro"/>
    <w:rsid w:val="00C330A7"/>
  </w:style>
  <w:style w:type="character" w:styleId="nfase">
    <w:name w:val="Emphasis"/>
    <w:basedOn w:val="Fontepargpadro"/>
    <w:uiPriority w:val="20"/>
    <w:qFormat/>
    <w:rsid w:val="00C330A7"/>
    <w:rPr>
      <w:i/>
      <w:iCs/>
    </w:rPr>
  </w:style>
  <w:style w:type="character" w:styleId="Hyperlink">
    <w:name w:val="Hyperlink"/>
    <w:basedOn w:val="Fontepargpadro"/>
    <w:uiPriority w:val="99"/>
    <w:unhideWhenUsed/>
    <w:rsid w:val="007B753D"/>
    <w:rPr>
      <w:color w:val="0000FF" w:themeColor="hyperlink"/>
      <w:u w:val="single"/>
    </w:rPr>
  </w:style>
  <w:style w:type="character" w:styleId="MenoPendente">
    <w:name w:val="Unresolved Mention"/>
    <w:basedOn w:val="Fontepargpadro"/>
    <w:uiPriority w:val="99"/>
    <w:semiHidden/>
    <w:unhideWhenUsed/>
    <w:rsid w:val="007B7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0195">
      <w:bodyDiv w:val="1"/>
      <w:marLeft w:val="0"/>
      <w:marRight w:val="0"/>
      <w:marTop w:val="0"/>
      <w:marBottom w:val="0"/>
      <w:divBdr>
        <w:top w:val="none" w:sz="0" w:space="0" w:color="auto"/>
        <w:left w:val="none" w:sz="0" w:space="0" w:color="auto"/>
        <w:bottom w:val="none" w:sz="0" w:space="0" w:color="auto"/>
        <w:right w:val="none" w:sz="0" w:space="0" w:color="auto"/>
      </w:divBdr>
      <w:divsChild>
        <w:div w:id="772674700">
          <w:marLeft w:val="446"/>
          <w:marRight w:val="0"/>
          <w:marTop w:val="0"/>
          <w:marBottom w:val="120"/>
          <w:divBdr>
            <w:top w:val="none" w:sz="0" w:space="0" w:color="auto"/>
            <w:left w:val="none" w:sz="0" w:space="0" w:color="auto"/>
            <w:bottom w:val="none" w:sz="0" w:space="0" w:color="auto"/>
            <w:right w:val="none" w:sz="0" w:space="0" w:color="auto"/>
          </w:divBdr>
        </w:div>
        <w:div w:id="389964646">
          <w:marLeft w:val="446"/>
          <w:marRight w:val="0"/>
          <w:marTop w:val="0"/>
          <w:marBottom w:val="120"/>
          <w:divBdr>
            <w:top w:val="none" w:sz="0" w:space="0" w:color="auto"/>
            <w:left w:val="none" w:sz="0" w:space="0" w:color="auto"/>
            <w:bottom w:val="none" w:sz="0" w:space="0" w:color="auto"/>
            <w:right w:val="none" w:sz="0" w:space="0" w:color="auto"/>
          </w:divBdr>
        </w:div>
        <w:div w:id="1065757788">
          <w:marLeft w:val="446"/>
          <w:marRight w:val="0"/>
          <w:marTop w:val="0"/>
          <w:marBottom w:val="120"/>
          <w:divBdr>
            <w:top w:val="none" w:sz="0" w:space="0" w:color="auto"/>
            <w:left w:val="none" w:sz="0" w:space="0" w:color="auto"/>
            <w:bottom w:val="none" w:sz="0" w:space="0" w:color="auto"/>
            <w:right w:val="none" w:sz="0" w:space="0" w:color="auto"/>
          </w:divBdr>
        </w:div>
        <w:div w:id="329412816">
          <w:marLeft w:val="446"/>
          <w:marRight w:val="0"/>
          <w:marTop w:val="0"/>
          <w:marBottom w:val="120"/>
          <w:divBdr>
            <w:top w:val="none" w:sz="0" w:space="0" w:color="auto"/>
            <w:left w:val="none" w:sz="0" w:space="0" w:color="auto"/>
            <w:bottom w:val="none" w:sz="0" w:space="0" w:color="auto"/>
            <w:right w:val="none" w:sz="0" w:space="0" w:color="auto"/>
          </w:divBdr>
        </w:div>
      </w:divsChild>
    </w:div>
    <w:div w:id="143369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390/en161040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793</Words>
  <Characters>4287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Glaysson de Mello Muller</cp:lastModifiedBy>
  <cp:revision>6</cp:revision>
  <dcterms:created xsi:type="dcterms:W3CDTF">2024-01-16T13:16:00Z</dcterms:created>
  <dcterms:modified xsi:type="dcterms:W3CDTF">2024-03-10T21:48:00Z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