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1C" w:rsidRDefault="00B76245" w:rsidP="004C324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REAÇÃ</w:t>
      </w:r>
      <w:r w:rsidR="003A041C" w:rsidRPr="00F73269">
        <w:rPr>
          <w:rFonts w:ascii="Arial" w:hAnsi="Arial" w:cs="Arial"/>
          <w:b/>
          <w:bCs/>
          <w:sz w:val="24"/>
          <w:szCs w:val="24"/>
        </w:rPr>
        <w:t>O ALÉRGICA APÓS INGESTÃO DE CRUSTÁCEO</w:t>
      </w:r>
      <w:r w:rsidR="003A041C">
        <w:rPr>
          <w:rFonts w:ascii="Arial" w:hAnsi="Arial" w:cs="Arial"/>
          <w:b/>
          <w:bCs/>
          <w:sz w:val="24"/>
          <w:szCs w:val="24"/>
        </w:rPr>
        <w:t>: RELATO DE EXPERIÊ</w:t>
      </w:r>
      <w:r w:rsidR="003A041C" w:rsidRPr="00F73269">
        <w:rPr>
          <w:rFonts w:ascii="Arial" w:hAnsi="Arial" w:cs="Arial"/>
          <w:b/>
          <w:bCs/>
          <w:sz w:val="24"/>
          <w:szCs w:val="24"/>
        </w:rPr>
        <w:t>NCIA</w:t>
      </w:r>
      <w:r w:rsidR="003A041C">
        <w:rPr>
          <w:rFonts w:ascii="Arial" w:hAnsi="Arial" w:cs="Arial"/>
          <w:b/>
          <w:bCs/>
          <w:sz w:val="24"/>
          <w:szCs w:val="24"/>
        </w:rPr>
        <w:t>.</w:t>
      </w:r>
    </w:p>
    <w:p w:rsidR="003A041C" w:rsidRPr="00102FAF" w:rsidRDefault="003A041C" w:rsidP="00102FAF">
      <w:pPr>
        <w:spacing w:line="360" w:lineRule="auto"/>
        <w:ind w:left="360"/>
        <w:jc w:val="center"/>
        <w:rPr>
          <w:rFonts w:ascii="Arial" w:hAnsi="Arial" w:cs="Arial"/>
          <w:bCs/>
          <w:sz w:val="24"/>
          <w:szCs w:val="24"/>
        </w:rPr>
      </w:pPr>
      <w:r w:rsidRPr="00102FAF">
        <w:rPr>
          <w:rFonts w:ascii="Arial" w:hAnsi="Arial" w:cs="Arial"/>
          <w:b/>
          <w:bCs/>
          <w:sz w:val="24"/>
          <w:szCs w:val="24"/>
        </w:rPr>
        <w:t xml:space="preserve">Karinne Naziazena Da Silva Monteiro¹; </w:t>
      </w:r>
      <w:r w:rsidRPr="00102FAF">
        <w:rPr>
          <w:rFonts w:ascii="Arial" w:hAnsi="Arial" w:cs="Arial"/>
          <w:bCs/>
          <w:sz w:val="24"/>
          <w:szCs w:val="24"/>
        </w:rPr>
        <w:t>Juliana Eulália do Nascimento²; Guilherme Philip Teixeira Morato³; Hirla Vanessa Soares Araújo</w:t>
      </w:r>
      <w:r w:rsidR="00102FAF" w:rsidRPr="00102FAF">
        <w:rPr>
          <w:rFonts w:ascii="Arial" w:hAnsi="Arial" w:cs="Arial"/>
          <w:bCs/>
          <w:sz w:val="24"/>
          <w:szCs w:val="24"/>
          <w:vertAlign w:val="superscript"/>
        </w:rPr>
        <w:t>4</w:t>
      </w:r>
      <w:r w:rsidRPr="00102FAF">
        <w:rPr>
          <w:rFonts w:ascii="Arial" w:hAnsi="Arial" w:cs="Arial"/>
          <w:bCs/>
          <w:sz w:val="24"/>
          <w:szCs w:val="24"/>
        </w:rPr>
        <w:t>.</w:t>
      </w:r>
    </w:p>
    <w:p w:rsidR="003A041C" w:rsidRPr="00F73269" w:rsidRDefault="003A041C" w:rsidP="004C32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Introduçã</w:t>
      </w:r>
      <w:r w:rsidRPr="00F73269">
        <w:rPr>
          <w:rFonts w:ascii="Arial" w:hAnsi="Arial" w:cs="Arial"/>
          <w:b/>
          <w:bCs/>
          <w:sz w:val="24"/>
          <w:szCs w:val="24"/>
        </w:rPr>
        <w:t>o</w:t>
      </w:r>
      <w:r w:rsidRPr="00F73269">
        <w:rPr>
          <w:rFonts w:ascii="Arial" w:hAnsi="Arial" w:cs="Arial"/>
          <w:sz w:val="24"/>
          <w:szCs w:val="24"/>
        </w:rPr>
        <w:t>: O processo anafilático é caracterizado como uma reação sistêmica que pode ser aguda ou grave, acometendo vários órgãos e sistemas simultaneamente. É a forma mais grave de reação de hipersensibilidade (alergia) desencadeada por diversos agentes como drogas, alimentos e contrastes radiológicos. Os sinais e sintomas podem ter início após segundos de exposição ao agente. A avaliação e o tratamento imediatos são fundamentais por se tratar de uma reação alérgica potencialmente fatal. Dentre a sintomatologia, destaca-se sensação de desmaio, dificuldade de respiração, confusão mental,</w:t>
      </w:r>
      <w:r>
        <w:rPr>
          <w:rFonts w:ascii="Arial" w:hAnsi="Arial" w:cs="Arial"/>
          <w:sz w:val="24"/>
          <w:szCs w:val="24"/>
        </w:rPr>
        <w:t xml:space="preserve"> urticárias, angioedemas cutâneos,</w:t>
      </w:r>
      <w:r w:rsidRPr="00F73269">
        <w:rPr>
          <w:rFonts w:ascii="Arial" w:hAnsi="Arial" w:cs="Arial"/>
          <w:sz w:val="24"/>
          <w:szCs w:val="24"/>
        </w:rPr>
        <w:t xml:space="preserve"> inchaço nos lábios, língua ou garganta. </w:t>
      </w:r>
      <w:r w:rsidRPr="00F73269">
        <w:rPr>
          <w:rFonts w:ascii="Arial" w:hAnsi="Arial" w:cs="Arial"/>
          <w:b/>
          <w:bCs/>
          <w:sz w:val="24"/>
          <w:szCs w:val="24"/>
        </w:rPr>
        <w:t>Objetivo</w:t>
      </w:r>
      <w:r w:rsidRPr="00F7326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</w:t>
      </w:r>
      <w:r w:rsidRPr="00F73269">
        <w:rPr>
          <w:rFonts w:ascii="Arial" w:hAnsi="Arial" w:cs="Arial"/>
          <w:sz w:val="24"/>
          <w:szCs w:val="24"/>
        </w:rPr>
        <w:t>escrever a experiência da prática de atividades desenvolvidas e cuidados prestados por acad</w:t>
      </w:r>
      <w:r>
        <w:rPr>
          <w:rFonts w:ascii="Arial" w:hAnsi="Arial" w:cs="Arial"/>
          <w:sz w:val="24"/>
          <w:szCs w:val="24"/>
        </w:rPr>
        <w:t>êmicos do curso de enfermagem a um paciente com reação anafilática</w:t>
      </w:r>
      <w:r w:rsidRPr="00F73269">
        <w:rPr>
          <w:rFonts w:ascii="Arial" w:hAnsi="Arial" w:cs="Arial"/>
          <w:sz w:val="24"/>
          <w:szCs w:val="24"/>
        </w:rPr>
        <w:t xml:space="preserve">. </w:t>
      </w:r>
      <w:r w:rsidRPr="00F73269">
        <w:rPr>
          <w:rFonts w:ascii="Arial" w:hAnsi="Arial" w:cs="Arial"/>
          <w:b/>
          <w:bCs/>
          <w:sz w:val="24"/>
          <w:szCs w:val="24"/>
        </w:rPr>
        <w:t xml:space="preserve">Metodologia: </w:t>
      </w:r>
      <w:r w:rsidRPr="00F73269">
        <w:rPr>
          <w:rFonts w:ascii="Arial" w:hAnsi="Arial" w:cs="Arial"/>
          <w:sz w:val="24"/>
          <w:szCs w:val="24"/>
        </w:rPr>
        <w:t>Relato de experiência</w:t>
      </w:r>
      <w:r>
        <w:rPr>
          <w:rFonts w:ascii="Arial" w:hAnsi="Arial" w:cs="Arial"/>
          <w:sz w:val="24"/>
          <w:szCs w:val="24"/>
        </w:rPr>
        <w:t xml:space="preserve"> vivenciado por</w:t>
      </w:r>
      <w:r w:rsidRPr="00F732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discentes de enfermagem, </w:t>
      </w:r>
      <w:r w:rsidRPr="00F73269">
        <w:rPr>
          <w:rFonts w:ascii="Arial" w:hAnsi="Arial" w:cs="Arial"/>
          <w:sz w:val="24"/>
          <w:szCs w:val="24"/>
        </w:rPr>
        <w:t xml:space="preserve">durante estágio voluntário na emergência do hospital Osmário Omena de Oliveira em São José da Coroa grande, PE. </w:t>
      </w:r>
      <w:r w:rsidR="00B76245">
        <w:rPr>
          <w:rFonts w:ascii="Arial" w:hAnsi="Arial" w:cs="Arial"/>
          <w:b/>
          <w:bCs/>
          <w:sz w:val="24"/>
          <w:szCs w:val="24"/>
        </w:rPr>
        <w:t>Resultados</w:t>
      </w:r>
      <w:r w:rsidRPr="00F73269">
        <w:rPr>
          <w:rFonts w:ascii="Arial" w:hAnsi="Arial" w:cs="Arial"/>
          <w:b/>
          <w:bCs/>
          <w:sz w:val="24"/>
          <w:szCs w:val="24"/>
        </w:rPr>
        <w:t>:</w:t>
      </w:r>
      <w:r w:rsidR="00B76245" w:rsidRPr="00F7326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73269">
        <w:rPr>
          <w:rFonts w:ascii="Arial" w:hAnsi="Arial" w:cs="Arial"/>
          <w:sz w:val="24"/>
          <w:szCs w:val="24"/>
        </w:rPr>
        <w:t>Paciente</w:t>
      </w:r>
      <w:r w:rsidR="00B76245" w:rsidRPr="00F7326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3269">
        <w:rPr>
          <w:rFonts w:ascii="Arial" w:hAnsi="Arial" w:cs="Arial"/>
          <w:sz w:val="24"/>
          <w:szCs w:val="24"/>
        </w:rPr>
        <w:t>V.M.</w:t>
      </w:r>
      <w:proofErr w:type="gramEnd"/>
      <w:r w:rsidRPr="00F73269">
        <w:rPr>
          <w:rFonts w:ascii="Arial" w:hAnsi="Arial" w:cs="Arial"/>
          <w:sz w:val="24"/>
          <w:szCs w:val="24"/>
        </w:rPr>
        <w:t xml:space="preserve">P do sexo feminino, 37 anos, admitida na unidade de emergência apresentando quadro clínico de dispneia, urticária e </w:t>
      </w:r>
      <w:proofErr w:type="spellStart"/>
      <w:r w:rsidRPr="00F73269">
        <w:rPr>
          <w:rFonts w:ascii="Arial" w:hAnsi="Arial" w:cs="Arial"/>
          <w:sz w:val="24"/>
          <w:szCs w:val="24"/>
        </w:rPr>
        <w:t>angiodemas</w:t>
      </w:r>
      <w:proofErr w:type="spellEnd"/>
      <w:r w:rsidRPr="00F73269">
        <w:rPr>
          <w:rFonts w:ascii="Arial" w:hAnsi="Arial" w:cs="Arial"/>
          <w:sz w:val="24"/>
          <w:szCs w:val="24"/>
        </w:rPr>
        <w:t xml:space="preserve"> por todo o corpo. Os sinais e sintomas iniciaram alguns minutos após a ingestão de lagosta, crustáceo bastante apreciado na região. Ao exame físico, apresentava estado geral ruim; Sinais Vitais: PA: 100x60/ HGT: 75 / FC: 110 / FR: 35 </w:t>
      </w:r>
      <w:proofErr w:type="gramStart"/>
      <w:r w:rsidRPr="00F73269">
        <w:rPr>
          <w:rFonts w:ascii="Arial" w:hAnsi="Arial" w:cs="Arial"/>
          <w:sz w:val="24"/>
          <w:szCs w:val="24"/>
        </w:rPr>
        <w:t>rpm</w:t>
      </w:r>
      <w:proofErr w:type="gramEnd"/>
      <w:r w:rsidRPr="00F73269">
        <w:rPr>
          <w:rFonts w:ascii="Arial" w:hAnsi="Arial" w:cs="Arial"/>
          <w:sz w:val="24"/>
          <w:szCs w:val="24"/>
        </w:rPr>
        <w:t xml:space="preserve"> / SPO2: 92%.  Após avaliação médica, juntamente com o auxílio da equipe de saúde presente, a paciente foi diagnosticada com edema de glote, reação conhecida cientificamente como edema de laringe. Sendo caracterizada como um dos sintomas que podem surgir em casos de reações alérgicas graves</w:t>
      </w:r>
      <w:r>
        <w:rPr>
          <w:rFonts w:ascii="Arial" w:hAnsi="Arial" w:cs="Arial"/>
          <w:sz w:val="24"/>
          <w:szCs w:val="24"/>
        </w:rPr>
        <w:t>.</w:t>
      </w:r>
      <w:r w:rsidRPr="00F73269">
        <w:rPr>
          <w:rFonts w:ascii="Arial" w:hAnsi="Arial" w:cs="Arial"/>
          <w:sz w:val="24"/>
          <w:szCs w:val="24"/>
        </w:rPr>
        <w:t xml:space="preserve"> As medidas tomadas de imediato foram: oferta de oxigênio em máscara de Venturi a 50%, punção de acesso venoso periférico com solução fisiológica a 0,9% e administração de uma ampola de prometazina e dexametasona via intramuscular no dorso glúteo, além de disso a administração de adrenalina por via subcutânea e hidrocortisona por via endovenosa.  Após a administração das medicações IM os sintomas foram atenuados e a paciente decidiu </w:t>
      </w:r>
      <w:r w:rsidRPr="00F73269">
        <w:rPr>
          <w:rFonts w:ascii="Arial" w:hAnsi="Arial" w:cs="Arial"/>
          <w:sz w:val="24"/>
          <w:szCs w:val="24"/>
        </w:rPr>
        <w:lastRenderedPageBreak/>
        <w:t xml:space="preserve">interromper o tratamento e retornar para sua residência. Apesar de ser alertada sobre o perigo da interrupção do tratamento a mesma não quis permanecer na unidade, assinando um termo de responsabilidade. Menos de 4 horas depois, a paciente retorna com o mesmo quadro clínico, porém mais agravado. </w:t>
      </w:r>
      <w:r>
        <w:rPr>
          <w:rFonts w:ascii="Arial" w:hAnsi="Arial" w:cs="Arial"/>
          <w:sz w:val="24"/>
          <w:szCs w:val="24"/>
        </w:rPr>
        <w:t>Todas as medicações foram repetidas e a mesma ficou em observação por quase 8horas.</w:t>
      </w:r>
      <w:r w:rsidR="00102FAF">
        <w:rPr>
          <w:rFonts w:ascii="Arial" w:hAnsi="Arial" w:cs="Arial"/>
          <w:sz w:val="24"/>
          <w:szCs w:val="24"/>
        </w:rPr>
        <w:t xml:space="preserve"> </w:t>
      </w:r>
      <w:r w:rsidRPr="00F73269">
        <w:rPr>
          <w:rFonts w:ascii="Arial" w:hAnsi="Arial" w:cs="Arial"/>
          <w:b/>
          <w:bCs/>
          <w:sz w:val="24"/>
          <w:szCs w:val="24"/>
        </w:rPr>
        <w:t xml:space="preserve">Conclusão: </w:t>
      </w:r>
      <w:r w:rsidRPr="00F73269">
        <w:rPr>
          <w:rFonts w:ascii="Arial" w:hAnsi="Arial" w:cs="Arial"/>
          <w:sz w:val="24"/>
          <w:szCs w:val="24"/>
        </w:rPr>
        <w:t>Sabe-se que o tratamento da anafilaxia consiste principalmente em preservar a permeabilidade das vias aéreas. Além disso, a reversão do quadro anafilático consiste em intervenção medicamentosa até a melhora total do quadro e, sobretudo até os medicamentos completarem seus efeitos farmacológicos.</w:t>
      </w:r>
      <w:r>
        <w:rPr>
          <w:rFonts w:ascii="Arial" w:hAnsi="Arial" w:cs="Arial"/>
          <w:sz w:val="24"/>
          <w:szCs w:val="24"/>
        </w:rPr>
        <w:t xml:space="preserve"> Porém,</w:t>
      </w:r>
      <w:r w:rsidRPr="00F732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F73269">
        <w:rPr>
          <w:rFonts w:ascii="Arial" w:hAnsi="Arial" w:cs="Arial"/>
          <w:sz w:val="24"/>
          <w:szCs w:val="24"/>
        </w:rPr>
        <w:t xml:space="preserve"> paciente não seguiu nenhuma das recomendações, dessa forma, </w:t>
      </w:r>
      <w:r>
        <w:rPr>
          <w:rFonts w:ascii="Arial" w:hAnsi="Arial" w:cs="Arial"/>
          <w:sz w:val="24"/>
          <w:szCs w:val="24"/>
        </w:rPr>
        <w:t xml:space="preserve">retornou </w:t>
      </w:r>
      <w:r w:rsidRPr="00F73269">
        <w:rPr>
          <w:rFonts w:ascii="Arial" w:hAnsi="Arial" w:cs="Arial"/>
          <w:sz w:val="24"/>
          <w:szCs w:val="24"/>
        </w:rPr>
        <w:t>para a unidade com o estado de saúde mais agravado. Nesse sentido,</w:t>
      </w:r>
      <w:r>
        <w:rPr>
          <w:rFonts w:ascii="Arial" w:hAnsi="Arial" w:cs="Arial"/>
          <w:sz w:val="24"/>
          <w:szCs w:val="24"/>
        </w:rPr>
        <w:t xml:space="preserve"> essa experiência serviu como aprendizado sobre como </w:t>
      </w:r>
      <w:r w:rsidRPr="00F73269">
        <w:rPr>
          <w:rFonts w:ascii="Arial" w:hAnsi="Arial" w:cs="Arial"/>
          <w:sz w:val="24"/>
          <w:szCs w:val="24"/>
        </w:rPr>
        <w:t>a interrupção do tratamento de um processo anafilático aumenta o risco de reações graves e potencialmente fatais.</w:t>
      </w:r>
    </w:p>
    <w:p w:rsidR="00CC58CF" w:rsidRDefault="004C324B" w:rsidP="004C324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DESCRITORES: </w:t>
      </w:r>
      <w:r w:rsidR="003A041C">
        <w:rPr>
          <w:rFonts w:ascii="Arial" w:hAnsi="Arial" w:cs="Arial"/>
          <w:sz w:val="24"/>
          <w:szCs w:val="24"/>
        </w:rPr>
        <w:t>Anafilaxia;</w:t>
      </w:r>
      <w:r w:rsidR="00BB31B6">
        <w:rPr>
          <w:rFonts w:ascii="Arial" w:hAnsi="Arial" w:cs="Arial"/>
          <w:sz w:val="24"/>
          <w:szCs w:val="24"/>
        </w:rPr>
        <w:t xml:space="preserve"> hipersensibilidade; Angioedema.</w:t>
      </w:r>
    </w:p>
    <w:p w:rsidR="00BB31B6" w:rsidRPr="00F73269" w:rsidRDefault="00BB31B6" w:rsidP="004C32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3269">
        <w:rPr>
          <w:rFonts w:ascii="Arial" w:hAnsi="Arial" w:cs="Arial"/>
          <w:b/>
          <w:bCs/>
          <w:sz w:val="24"/>
          <w:szCs w:val="24"/>
        </w:rPr>
        <w:t xml:space="preserve">Referências: </w:t>
      </w:r>
      <w:r w:rsidRPr="00F73269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F73269">
        <w:rPr>
          <w:rFonts w:ascii="Arial" w:hAnsi="Arial" w:cs="Arial"/>
          <w:sz w:val="24"/>
          <w:szCs w:val="24"/>
        </w:rPr>
        <w:t>Fuerhak</w:t>
      </w:r>
      <w:proofErr w:type="spellEnd"/>
      <w:r w:rsidRPr="00F73269">
        <w:rPr>
          <w:rFonts w:ascii="Arial" w:hAnsi="Arial" w:cs="Arial"/>
          <w:sz w:val="24"/>
          <w:szCs w:val="24"/>
        </w:rPr>
        <w:t xml:space="preserve">, </w:t>
      </w:r>
      <w:r w:rsidR="004C324B" w:rsidRPr="00F73269">
        <w:rPr>
          <w:rFonts w:ascii="Arial" w:hAnsi="Arial" w:cs="Arial"/>
          <w:sz w:val="24"/>
          <w:szCs w:val="24"/>
        </w:rPr>
        <w:t>T.;</w:t>
      </w:r>
      <w:r w:rsidRPr="00F7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269">
        <w:rPr>
          <w:rFonts w:ascii="Arial" w:hAnsi="Arial" w:cs="Arial"/>
          <w:sz w:val="24"/>
          <w:szCs w:val="24"/>
        </w:rPr>
        <w:t>Insunza</w:t>
      </w:r>
      <w:proofErr w:type="spellEnd"/>
      <w:r w:rsidRPr="00F73269">
        <w:rPr>
          <w:rFonts w:ascii="Arial" w:hAnsi="Arial" w:cs="Arial"/>
          <w:sz w:val="24"/>
          <w:szCs w:val="24"/>
        </w:rPr>
        <w:t xml:space="preserve">, R. </w:t>
      </w:r>
      <w:r w:rsidR="004C324B" w:rsidRPr="00F73269">
        <w:rPr>
          <w:rFonts w:ascii="Arial" w:hAnsi="Arial" w:cs="Arial"/>
          <w:sz w:val="24"/>
          <w:szCs w:val="24"/>
        </w:rPr>
        <w:t>A.;</w:t>
      </w:r>
      <w:r w:rsidRPr="00F7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269">
        <w:rPr>
          <w:rFonts w:ascii="Arial" w:hAnsi="Arial" w:cs="Arial"/>
          <w:sz w:val="24"/>
          <w:szCs w:val="24"/>
        </w:rPr>
        <w:t>Talesnik</w:t>
      </w:r>
      <w:proofErr w:type="spellEnd"/>
      <w:r w:rsidRPr="00F73269">
        <w:rPr>
          <w:rFonts w:ascii="Arial" w:hAnsi="Arial" w:cs="Arial"/>
          <w:sz w:val="24"/>
          <w:szCs w:val="24"/>
        </w:rPr>
        <w:t xml:space="preserve">, E. ; </w:t>
      </w:r>
      <w:r w:rsidRPr="004C324B">
        <w:rPr>
          <w:rFonts w:ascii="Arial" w:hAnsi="Arial" w:cs="Arial"/>
          <w:b/>
          <w:sz w:val="24"/>
          <w:szCs w:val="24"/>
        </w:rPr>
        <w:t>Caracterização clínica de pacientes com alergia alimentar.</w:t>
      </w:r>
      <w:r w:rsidRPr="00F73269">
        <w:rPr>
          <w:rFonts w:ascii="Arial" w:hAnsi="Arial" w:cs="Arial"/>
          <w:sz w:val="24"/>
          <w:szCs w:val="24"/>
        </w:rPr>
        <w:t xml:space="preserve">  Revista chilena de pediatria. 89(4)</w:t>
      </w:r>
      <w:r w:rsidR="004C324B">
        <w:rPr>
          <w:rFonts w:ascii="Arial" w:hAnsi="Arial" w:cs="Arial"/>
          <w:sz w:val="24"/>
          <w:szCs w:val="24"/>
        </w:rPr>
        <w:t xml:space="preserve">, 60 – 70.  Agosto de </w:t>
      </w:r>
      <w:r w:rsidRPr="00F73269">
        <w:rPr>
          <w:rFonts w:ascii="Arial" w:hAnsi="Arial" w:cs="Arial"/>
          <w:sz w:val="24"/>
          <w:szCs w:val="24"/>
        </w:rPr>
        <w:t>2018.</w:t>
      </w:r>
    </w:p>
    <w:p w:rsidR="00BB31B6" w:rsidRPr="00F73269" w:rsidRDefault="00BB31B6" w:rsidP="004C32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3269">
        <w:rPr>
          <w:rFonts w:ascii="Arial" w:hAnsi="Arial" w:cs="Arial"/>
          <w:sz w:val="24"/>
          <w:szCs w:val="24"/>
        </w:rPr>
        <w:t xml:space="preserve">2. Bend, L. </w:t>
      </w:r>
      <w:r w:rsidR="004C324B" w:rsidRPr="00F73269">
        <w:rPr>
          <w:rFonts w:ascii="Arial" w:hAnsi="Arial" w:cs="Arial"/>
          <w:sz w:val="24"/>
          <w:szCs w:val="24"/>
        </w:rPr>
        <w:t>A.G;</w:t>
      </w:r>
      <w:r w:rsidR="004C324B">
        <w:rPr>
          <w:rFonts w:ascii="Arial" w:hAnsi="Arial" w:cs="Arial"/>
          <w:sz w:val="24"/>
          <w:szCs w:val="24"/>
        </w:rPr>
        <w:t xml:space="preserve"> Sá, A. B.; Watanabe, A. S.</w:t>
      </w:r>
      <w:r w:rsidRPr="00F73269">
        <w:rPr>
          <w:rFonts w:ascii="Arial" w:hAnsi="Arial" w:cs="Arial"/>
          <w:sz w:val="24"/>
          <w:szCs w:val="24"/>
        </w:rPr>
        <w:t xml:space="preserve">; Castro, A. P. M. </w:t>
      </w:r>
      <w:r w:rsidRPr="004C324B">
        <w:rPr>
          <w:rFonts w:ascii="Arial" w:hAnsi="Arial" w:cs="Arial"/>
          <w:b/>
          <w:sz w:val="24"/>
          <w:szCs w:val="24"/>
        </w:rPr>
        <w:t xml:space="preserve">Guia prático para manejo da anafilaxia. </w:t>
      </w:r>
      <w:r w:rsidRPr="00F73269">
        <w:rPr>
          <w:rFonts w:ascii="Arial" w:hAnsi="Arial" w:cs="Arial"/>
          <w:sz w:val="24"/>
          <w:szCs w:val="24"/>
        </w:rPr>
        <w:t>Revista brasileira alergo. Imunopatol. 35(2); 53 – 60. 2012</w:t>
      </w:r>
      <w:r>
        <w:rPr>
          <w:rFonts w:ascii="Arial" w:hAnsi="Arial" w:cs="Arial"/>
          <w:sz w:val="24"/>
          <w:szCs w:val="24"/>
        </w:rPr>
        <w:t>.</w:t>
      </w:r>
    </w:p>
    <w:p w:rsidR="00BB31B6" w:rsidRPr="00F73269" w:rsidRDefault="00BB31B6" w:rsidP="004C32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3269">
        <w:rPr>
          <w:rFonts w:ascii="Arial" w:hAnsi="Arial" w:cs="Arial"/>
          <w:sz w:val="24"/>
          <w:szCs w:val="24"/>
        </w:rPr>
        <w:t>3. Pereira</w:t>
      </w:r>
      <w:r w:rsidR="004C324B">
        <w:rPr>
          <w:rFonts w:ascii="Arial" w:hAnsi="Arial" w:cs="Arial"/>
          <w:sz w:val="24"/>
          <w:szCs w:val="24"/>
        </w:rPr>
        <w:t>, A. C. S.</w:t>
      </w:r>
      <w:r w:rsidRPr="00F73269">
        <w:rPr>
          <w:rFonts w:ascii="Arial" w:hAnsi="Arial" w:cs="Arial"/>
          <w:sz w:val="24"/>
          <w:szCs w:val="24"/>
        </w:rPr>
        <w:t xml:space="preserve">; Moura, S. M.; Constant, P. B. L. </w:t>
      </w:r>
      <w:r w:rsidRPr="004C324B">
        <w:rPr>
          <w:rFonts w:ascii="Arial" w:hAnsi="Arial" w:cs="Arial"/>
          <w:b/>
          <w:sz w:val="24"/>
          <w:szCs w:val="24"/>
        </w:rPr>
        <w:t>Alergia alimentar: sistema imunológico e principais alimentos envolvidos.</w:t>
      </w:r>
      <w:r w:rsidRPr="00F73269">
        <w:rPr>
          <w:rFonts w:ascii="Arial" w:hAnsi="Arial" w:cs="Arial"/>
          <w:sz w:val="24"/>
          <w:szCs w:val="24"/>
        </w:rPr>
        <w:t xml:space="preserve"> Semina; Ciências Biológicas e da Saúde, Londrina. 29(2); 189- 200. 2013</w:t>
      </w:r>
      <w:r>
        <w:rPr>
          <w:rFonts w:ascii="Arial" w:hAnsi="Arial" w:cs="Arial"/>
          <w:sz w:val="24"/>
          <w:szCs w:val="24"/>
        </w:rPr>
        <w:t>.</w:t>
      </w:r>
    </w:p>
    <w:p w:rsidR="00BB31B6" w:rsidRPr="003A041C" w:rsidRDefault="00BB31B6" w:rsidP="004C324B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B31B6" w:rsidRPr="003A041C" w:rsidSect="004670BD">
      <w:footerReference w:type="default" r:id="rId9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CE" w:rsidRDefault="000277CE" w:rsidP="00BB31B6">
      <w:pPr>
        <w:spacing w:after="0" w:line="240" w:lineRule="auto"/>
      </w:pPr>
      <w:r>
        <w:separator/>
      </w:r>
    </w:p>
  </w:endnote>
  <w:endnote w:type="continuationSeparator" w:id="0">
    <w:p w:rsidR="000277CE" w:rsidRDefault="000277CE" w:rsidP="00BB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B6" w:rsidRDefault="00BB31B6" w:rsidP="00BB31B6">
    <w:pPr>
      <w:pStyle w:val="Rodap"/>
      <w:numPr>
        <w:ilvl w:val="0"/>
        <w:numId w:val="1"/>
      </w:numPr>
    </w:pPr>
    <w:r>
      <w:t>Acadêmica de enfermagem</w:t>
    </w:r>
    <w:r w:rsidR="00DA6F89">
      <w:t>, Centro Universitário dos Guararapes (UNIFG). E-mail: karinnemonteiro16@gmail.com</w:t>
    </w:r>
  </w:p>
  <w:p w:rsidR="00DA6F89" w:rsidRPr="00DA6F89" w:rsidRDefault="00DA6F89" w:rsidP="00BB31B6">
    <w:pPr>
      <w:pStyle w:val="Rodap"/>
      <w:numPr>
        <w:ilvl w:val="0"/>
        <w:numId w:val="1"/>
      </w:numPr>
    </w:pPr>
    <w:r>
      <w:t>Acadêmica de enfermagem, Centro Universitário dos Guararapes</w:t>
    </w:r>
    <w:r w:rsidR="004670BD">
      <w:t xml:space="preserve"> </w:t>
    </w:r>
    <w:r>
      <w:t xml:space="preserve">(UNIFG). </w:t>
    </w:r>
    <w:r w:rsidRPr="00DA6F89">
      <w:t>E-mail:</w:t>
    </w:r>
    <w:r w:rsidR="004C324B" w:rsidRPr="00DA6F89">
      <w:t xml:space="preserve"> </w:t>
    </w:r>
    <w:r w:rsidRPr="00DA6F89">
      <w:t>juli-eulalia@hotmail.com</w:t>
    </w:r>
  </w:p>
  <w:p w:rsidR="00DA6F89" w:rsidRDefault="004C324B" w:rsidP="00BB31B6">
    <w:pPr>
      <w:pStyle w:val="Rodap"/>
      <w:numPr>
        <w:ilvl w:val="0"/>
        <w:numId w:val="1"/>
      </w:numPr>
    </w:pPr>
    <w:r>
      <w:t xml:space="preserve">Enfermeiro </w:t>
    </w:r>
    <w:r w:rsidR="00DA6F89">
      <w:t>Pós-graduado em UTI</w:t>
    </w:r>
    <w:r w:rsidR="004670BD">
      <w:t xml:space="preserve"> </w:t>
    </w:r>
    <w:r w:rsidR="00DA6F89">
      <w:t>e emergência pela UPE</w:t>
    </w:r>
    <w:r>
      <w:t>, Atua no ESF Gameleira e emergência da unidade mista Osmário Omena de Oliveira</w:t>
    </w:r>
    <w:r w:rsidR="00DA6F89">
      <w:t xml:space="preserve">. E-mail: </w:t>
    </w:r>
    <w:r w:rsidR="00DA6F89" w:rsidRPr="00DA6F89">
      <w:t>enfguilhermemorato@gmail.com</w:t>
    </w:r>
  </w:p>
  <w:p w:rsidR="004670BD" w:rsidRDefault="00DA6F89" w:rsidP="004670BD">
    <w:pPr>
      <w:pStyle w:val="Rodap"/>
      <w:numPr>
        <w:ilvl w:val="0"/>
        <w:numId w:val="1"/>
      </w:numPr>
    </w:pPr>
    <w:r>
      <w:t>Mestre em enfermagem pela UPE/UEPB, Professora do curso de bacharelado de enfermagem da UNIFG. E-mail: hirlavs.araujo@</w:t>
    </w:r>
    <w:r w:rsidR="004670BD">
      <w:t>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CE" w:rsidRDefault="000277CE" w:rsidP="00BB31B6">
      <w:pPr>
        <w:spacing w:after="0" w:line="240" w:lineRule="auto"/>
      </w:pPr>
      <w:r>
        <w:separator/>
      </w:r>
    </w:p>
  </w:footnote>
  <w:footnote w:type="continuationSeparator" w:id="0">
    <w:p w:rsidR="000277CE" w:rsidRDefault="000277CE" w:rsidP="00BB3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6B15"/>
    <w:multiLevelType w:val="hybridMultilevel"/>
    <w:tmpl w:val="ADCE43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F2A40"/>
    <w:multiLevelType w:val="hybridMultilevel"/>
    <w:tmpl w:val="DC1CBC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1C"/>
    <w:rsid w:val="000277CE"/>
    <w:rsid w:val="00102FAF"/>
    <w:rsid w:val="003A041C"/>
    <w:rsid w:val="004670BD"/>
    <w:rsid w:val="004C324B"/>
    <w:rsid w:val="00B76245"/>
    <w:rsid w:val="00BB31B6"/>
    <w:rsid w:val="00C91AC3"/>
    <w:rsid w:val="00CC58CF"/>
    <w:rsid w:val="00DA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1C"/>
    <w:pPr>
      <w:spacing w:after="160" w:line="259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3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1B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B3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1B6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1B6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DA6F8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02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1C"/>
    <w:pPr>
      <w:spacing w:after="160" w:line="259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3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1B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B3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1B6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1B6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DA6F8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02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D3CF-D8E3-4628-8F53-5D34732E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617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2019-06-29T18:43:00Z</dcterms:created>
  <dcterms:modified xsi:type="dcterms:W3CDTF">2019-06-29T20:38:00Z</dcterms:modified>
</cp:coreProperties>
</file>