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87AACB" w14:textId="77777777" w:rsidR="00642F83" w:rsidRDefault="00642F83">
      <w:pPr>
        <w:widowControl w:val="0"/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2B01C31" w14:textId="77777777" w:rsidR="00642F83" w:rsidRDefault="0067671C">
      <w:pPr>
        <w:widowControl w:val="0"/>
        <w:spacing w:line="360" w:lineRule="auto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Grupo de Trabalho: GT Litígio, Advocacy e Direitos Humanos</w:t>
      </w:r>
    </w:p>
    <w:p w14:paraId="793653BF" w14:textId="77777777" w:rsidR="00642F83" w:rsidRDefault="0067671C">
      <w:pPr>
        <w:widowControl w:val="0"/>
        <w:spacing w:line="360" w:lineRule="auto"/>
        <w:ind w:right="-330"/>
        <w:jc w:val="center"/>
      </w:pPr>
      <w:r>
        <w:rPr>
          <w:rFonts w:ascii="Times New Roman" w:hAnsi="Times New Roman"/>
          <w:b/>
          <w:bCs/>
          <w:sz w:val="24"/>
          <w:szCs w:val="24"/>
        </w:rPr>
        <w:t xml:space="preserve">Direitos procedimentais ambientais adequados como premissas para o litígio estratégico envolvendo grupos vulneráveis: as obrigações procedimentais protetivas dos povos tradicionais nas </w:t>
      </w:r>
      <w:r>
        <w:rPr>
          <w:rFonts w:ascii="Times New Roman" w:hAnsi="Times New Roman"/>
          <w:b/>
          <w:bCs/>
          <w:sz w:val="24"/>
          <w:szCs w:val="24"/>
        </w:rPr>
        <w:t>questões ambientais.</w:t>
      </w:r>
    </w:p>
    <w:p w14:paraId="3437BF52" w14:textId="77777777" w:rsidR="00642F83" w:rsidRDefault="00642F83">
      <w:pPr>
        <w:widowControl w:val="0"/>
        <w:spacing w:line="360" w:lineRule="auto"/>
        <w:jc w:val="both"/>
        <w:rPr>
          <w:rStyle w:val="ncoradanotaderodap"/>
          <w:rFonts w:ascii="Times New Roman" w:eastAsia="Times New Roman" w:hAnsi="Times New Roman" w:cs="Times New Roman"/>
          <w:b/>
          <w:sz w:val="24"/>
          <w:szCs w:val="24"/>
        </w:rPr>
      </w:pPr>
    </w:p>
    <w:p w14:paraId="59B38D38" w14:textId="77777777" w:rsidR="00642F83" w:rsidRDefault="0067671C">
      <w:pPr>
        <w:widowControl w:val="0"/>
        <w:spacing w:line="36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Resumo: </w:t>
      </w:r>
      <w:r>
        <w:rPr>
          <w:rFonts w:ascii="Times New Roman" w:eastAsia="Times New Roman" w:hAnsi="Times New Roman" w:cs="Times New Roman"/>
          <w:sz w:val="24"/>
          <w:szCs w:val="24"/>
        </w:rPr>
        <w:t>Diante das dificuldades de representatividade nos espaços decisórios internos, grupos sub-representados passam a utilizar o reconhecimento pelo Direito Internacional como estratégia para promoç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ão de seus interesses, que se torna </w:t>
      </w:r>
      <w:r>
        <w:rPr>
          <w:rFonts w:ascii="Times New Roman" w:eastAsia="Times New Roman" w:hAnsi="Times New Roman" w:cs="Times New Roman"/>
          <w:sz w:val="24"/>
          <w:szCs w:val="24"/>
        </w:rPr>
        <w:t>estratégico para lidar com situações de não-cidadania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(SANTOS, 2003). Esse movimento se fortalece na América Latina ante um cenário de abertura constitucional aos tratados de direitos humanos (DIAS E MOHALLEM, 2016), inc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lusive por meio da judicialização, com base no Direito Internacional, de pretensões perante os Tribunais domésticos, dos casos envolvendo direitos ambientais procedimentais (YUPSANIS, 2010; COURTIS, 2017; CESPEDES, 2017; doravante DPAs). </w:t>
      </w:r>
    </w:p>
    <w:p w14:paraId="583D94C7" w14:textId="77777777" w:rsidR="00642F83" w:rsidRDefault="0067671C">
      <w:pPr>
        <w:widowControl w:val="0"/>
        <w:spacing w:line="360" w:lineRule="auto"/>
        <w:ind w:firstLine="850"/>
        <w:jc w:val="both"/>
      </w:pPr>
      <w:r>
        <w:rPr>
          <w:rFonts w:ascii="Times New Roman" w:hAnsi="Times New Roman" w:cs="Times New Roman"/>
          <w:sz w:val="24"/>
          <w:szCs w:val="24"/>
        </w:rPr>
        <w:t>A multiplicação d</w:t>
      </w:r>
      <w:r>
        <w:rPr>
          <w:rFonts w:ascii="Times New Roman" w:hAnsi="Times New Roman" w:cs="Times New Roman"/>
          <w:sz w:val="24"/>
          <w:szCs w:val="24"/>
        </w:rPr>
        <w:t>as normas ambientais não tem necessariamente se refletido na mitigação dos problemas ambientais (PNUMA, 2019). Parte do desafio da efetividade é posta no sistema de Justiça (PNUMA 2019; CEPAL, 2014; CUNHA, 2006; SANTOS, 2007; KOZEN E CAFRUNE, 2016). É, ass</w:t>
      </w:r>
      <w:r>
        <w:rPr>
          <w:rFonts w:ascii="Times New Roman" w:hAnsi="Times New Roman" w:cs="Times New Roman"/>
          <w:sz w:val="24"/>
          <w:szCs w:val="24"/>
        </w:rPr>
        <w:t xml:space="preserve">im, premissa da efetivação da litigância estratégia em matéria ambiental examinar os DPAs, na tríade </w:t>
      </w:r>
      <w:r>
        <w:rPr>
          <w:rStyle w:val="Fontepargpadro"/>
          <w:rFonts w:ascii="Times New Roman" w:hAnsi="Times New Roman" w:cs="Times New Roman"/>
          <w:sz w:val="24"/>
          <w:szCs w:val="24"/>
        </w:rPr>
        <w:t>acesso à informação, participação na tomada de decisão e acesso à Justiça</w:t>
      </w:r>
      <w:r>
        <w:rPr>
          <w:rFonts w:ascii="Times New Roman" w:hAnsi="Times New Roman" w:cs="Times New Roman"/>
          <w:sz w:val="24"/>
          <w:szCs w:val="24"/>
        </w:rPr>
        <w:t xml:space="preserve"> como Direitos Humanos autônomos que ganham contornos próprios como obrigação de D</w:t>
      </w:r>
      <w:r>
        <w:rPr>
          <w:rFonts w:ascii="Times New Roman" w:hAnsi="Times New Roman" w:cs="Times New Roman"/>
          <w:sz w:val="24"/>
          <w:szCs w:val="24"/>
        </w:rPr>
        <w:t>ireito Internacional (BRUCH, 2006; ROBINSON, 2012). Porém, a plena capacidade dos DPAs garantirem os direitos ambientais materiais, no caso de grupos vulneráveis, depende de sua adequação aos limitadores resultantes da vulnerabilidade subjacente às interaç</w:t>
      </w:r>
      <w:r>
        <w:rPr>
          <w:rFonts w:ascii="Times New Roman" w:hAnsi="Times New Roman" w:cs="Times New Roman"/>
          <w:sz w:val="24"/>
          <w:szCs w:val="24"/>
        </w:rPr>
        <w:t>ões desses grupos com a sociedade de grande formato.</w:t>
      </w:r>
    </w:p>
    <w:p w14:paraId="4D8184A9" w14:textId="77777777" w:rsidR="00642F83" w:rsidRDefault="0067671C">
      <w:pPr>
        <w:widowControl w:val="0"/>
        <w:spacing w:line="360" w:lineRule="auto"/>
        <w:ind w:firstLine="850"/>
        <w:jc w:val="both"/>
      </w:pPr>
      <w:r>
        <w:rPr>
          <w:rFonts w:ascii="Times New Roman" w:hAnsi="Times New Roman" w:cs="Times New Roman"/>
          <w:sz w:val="24"/>
          <w:szCs w:val="24"/>
        </w:rPr>
        <w:t>O presente trabalho visa a examinar o conteúdo normativo internacional dos DPAs, ante a questão de como as obrigações atreladas aos DPAs são impactadas pelo contexto da participação dos povos tradicionai</w:t>
      </w:r>
      <w:r>
        <w:rPr>
          <w:rFonts w:ascii="Times New Roman" w:hAnsi="Times New Roman" w:cs="Times New Roman"/>
          <w:sz w:val="24"/>
          <w:szCs w:val="24"/>
        </w:rPr>
        <w:t>s na tutela judicial</w:t>
      </w:r>
      <w:r>
        <w:rPr>
          <w:rStyle w:val="ncoradanotaderodap"/>
          <w:rFonts w:ascii="Times New Roman" w:hAnsi="Times New Roman" w:cs="Times New Roman"/>
          <w:sz w:val="24"/>
          <w:szCs w:val="24"/>
        </w:rPr>
        <w:footnoteReference w:id="1"/>
      </w:r>
      <w:r>
        <w:rPr>
          <w:rFonts w:ascii="Times New Roman" w:hAnsi="Times New Roman" w:cs="Times New Roman"/>
          <w:sz w:val="24"/>
          <w:szCs w:val="24"/>
        </w:rPr>
        <w:t xml:space="preserve">. Foi realizada uma pesquisa qualitativa, </w:t>
      </w:r>
      <w:r>
        <w:rPr>
          <w:rFonts w:ascii="Times New Roman" w:hAnsi="Times New Roman" w:cs="Times New Roman"/>
          <w:sz w:val="24"/>
          <w:szCs w:val="24"/>
        </w:rPr>
        <w:lastRenderedPageBreak/>
        <w:t>calcada em análise bibliográfica, tendo por objeto os instrumentos protetivos internacionais referentes aos DPAs e aos povos tradicionais.</w:t>
      </w:r>
    </w:p>
    <w:p w14:paraId="7CCB3696" w14:textId="77777777" w:rsidR="00642F83" w:rsidRDefault="0067671C">
      <w:pPr>
        <w:widowControl w:val="0"/>
        <w:spacing w:line="360" w:lineRule="auto"/>
        <w:ind w:firstLine="850"/>
        <w:jc w:val="both"/>
      </w:pPr>
      <w:r>
        <w:rPr>
          <w:rFonts w:ascii="Times New Roman" w:hAnsi="Times New Roman" w:cs="Times New Roman"/>
          <w:sz w:val="24"/>
          <w:szCs w:val="24"/>
        </w:rPr>
        <w:t>Os DPAs recebem atenção desde a Rio-92</w:t>
      </w:r>
      <w:r>
        <w:rPr>
          <w:rStyle w:val="ncoradanotaderodap"/>
          <w:rFonts w:ascii="Times New Roman" w:hAnsi="Times New Roman" w:cs="Times New Roman"/>
          <w:sz w:val="24"/>
          <w:szCs w:val="24"/>
        </w:rPr>
        <w:footnoteReference w:id="2"/>
      </w:r>
      <w:r>
        <w:rPr>
          <w:rFonts w:ascii="Times New Roman" w:hAnsi="Times New Roman" w:cs="Times New Roman"/>
          <w:sz w:val="24"/>
          <w:szCs w:val="24"/>
        </w:rPr>
        <w:t xml:space="preserve">, figurando em diversos tratados e instrumentos de </w:t>
      </w:r>
      <w:r>
        <w:rPr>
          <w:rFonts w:ascii="Times New Roman" w:hAnsi="Times New Roman" w:cs="Times New Roman"/>
          <w:i/>
          <w:iCs/>
          <w:sz w:val="24"/>
          <w:szCs w:val="24"/>
        </w:rPr>
        <w:t>soft law</w:t>
      </w:r>
      <w:r>
        <w:rPr>
          <w:rStyle w:val="ncoradanotaderodap"/>
          <w:rFonts w:ascii="Times New Roman" w:hAnsi="Times New Roman" w:cs="Times New Roman"/>
          <w:i/>
          <w:iCs/>
          <w:sz w:val="24"/>
          <w:szCs w:val="24"/>
        </w:rPr>
        <w:footnoteReference w:id="3"/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Acordos multilaterais ambientais também trazem provisões sobre a participação pública.</w:t>
      </w:r>
      <w:r>
        <w:rPr>
          <w:rStyle w:val="ncoradanotaderodap"/>
          <w:rFonts w:ascii="Times New Roman" w:hAnsi="Times New Roman" w:cs="Times New Roman"/>
          <w:sz w:val="24"/>
          <w:szCs w:val="24"/>
        </w:rPr>
        <w:footnoteReference w:id="4"/>
      </w:r>
      <w:r>
        <w:rPr>
          <w:rFonts w:ascii="Times New Roman" w:hAnsi="Times New Roman" w:cs="Times New Roman"/>
          <w:sz w:val="24"/>
          <w:szCs w:val="24"/>
        </w:rPr>
        <w:t xml:space="preserve"> No âmbito regional europeu, é produzida, em 1998, e entra em vigor, em 2001, a Convenção de Aarhus, em 1</w:t>
      </w:r>
      <w:r>
        <w:rPr>
          <w:rFonts w:ascii="Times New Roman" w:hAnsi="Times New Roman" w:cs="Times New Roman"/>
          <w:sz w:val="24"/>
          <w:szCs w:val="24"/>
        </w:rPr>
        <w:t>998</w:t>
      </w:r>
      <w:r>
        <w:rPr>
          <w:rStyle w:val="ncoradanotaderodap"/>
          <w:rFonts w:ascii="Times New Roman" w:hAnsi="Times New Roman" w:cs="Times New Roman"/>
          <w:sz w:val="24"/>
          <w:szCs w:val="24"/>
        </w:rPr>
        <w:footnoteReference w:id="5"/>
      </w:r>
      <w:r>
        <w:rPr>
          <w:rFonts w:ascii="Times New Roman" w:hAnsi="Times New Roman" w:cs="Times New Roman"/>
          <w:sz w:val="24"/>
          <w:szCs w:val="24"/>
        </w:rPr>
        <w:t>, primeiro instrumento vinculante exclusivo sobre o tema. Já na América Latina e Caribe é assinado, em 27 de setembro de 2018, inclusive pelo Brasil, o Acordo de Escazú, instrumento legalmente vinculante, mas ainda não em vigor, também tratando dos DP</w:t>
      </w:r>
      <w:r>
        <w:rPr>
          <w:rFonts w:ascii="Times New Roman" w:hAnsi="Times New Roman" w:cs="Times New Roman"/>
          <w:sz w:val="24"/>
          <w:szCs w:val="24"/>
        </w:rPr>
        <w:t>As</w:t>
      </w:r>
      <w:r>
        <w:rPr>
          <w:rStyle w:val="ncoradanotaderodap"/>
          <w:rFonts w:ascii="Times New Roman" w:hAnsi="Times New Roman" w:cs="Times New Roman"/>
          <w:sz w:val="24"/>
          <w:szCs w:val="24"/>
        </w:rPr>
        <w:footnoteReference w:id="6"/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AFA079D" w14:textId="77777777" w:rsidR="00642F83" w:rsidRDefault="0067671C">
      <w:pPr>
        <w:widowControl w:val="0"/>
        <w:spacing w:line="360" w:lineRule="auto"/>
        <w:ind w:firstLine="85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Os mecanismos regionais de proteção aos Direitos Humanos têm também reconhecido o direito à participação pública nos procedimentos de tomada de decisão relativos a atividades </w:t>
      </w:r>
      <w:r>
        <w:rPr>
          <w:rFonts w:ascii="Times New Roman" w:hAnsi="Times New Roman" w:cs="Times New Roman"/>
          <w:sz w:val="24"/>
          <w:szCs w:val="24"/>
        </w:rPr>
        <w:lastRenderedPageBreak/>
        <w:t>de impacto sobre o meio ambiente</w:t>
      </w:r>
      <w:r>
        <w:rPr>
          <w:rStyle w:val="ncoradanotaderodap"/>
          <w:rFonts w:ascii="Times New Roman" w:hAnsi="Times New Roman" w:cs="Times New Roman"/>
          <w:sz w:val="24"/>
          <w:szCs w:val="24"/>
        </w:rPr>
        <w:footnoteReference w:id="7"/>
      </w:r>
      <w:r>
        <w:rPr>
          <w:rFonts w:ascii="Times New Roman" w:hAnsi="Times New Roman" w:cs="Times New Roman"/>
          <w:sz w:val="24"/>
          <w:szCs w:val="24"/>
        </w:rPr>
        <w:t>. A Corte Interamericana de Direitos Hum</w:t>
      </w:r>
      <w:r>
        <w:rPr>
          <w:rFonts w:ascii="Times New Roman" w:hAnsi="Times New Roman" w:cs="Times New Roman"/>
          <w:sz w:val="24"/>
          <w:szCs w:val="24"/>
        </w:rPr>
        <w:t>anos (Corte IDH), após reiterados julgados correlacionando a Convenção Americana e a proteção ao meio ambiente</w:t>
      </w:r>
      <w:r>
        <w:rPr>
          <w:rStyle w:val="ncoradanotaderodap"/>
          <w:rFonts w:ascii="Times New Roman" w:hAnsi="Times New Roman" w:cs="Times New Roman"/>
          <w:sz w:val="24"/>
          <w:szCs w:val="24"/>
        </w:rPr>
        <w:footnoteReference w:id="8"/>
      </w:r>
      <w:r>
        <w:rPr>
          <w:rFonts w:ascii="Times New Roman" w:hAnsi="Times New Roman" w:cs="Times New Roman"/>
          <w:sz w:val="24"/>
          <w:szCs w:val="24"/>
        </w:rPr>
        <w:t>, reconheceu, na Opinião Consultiva nº 23 de 2017, diversas obrigações de procedimento no contexto da proteção ao meio ambiente. Em especial, de</w:t>
      </w:r>
      <w:r>
        <w:rPr>
          <w:rFonts w:ascii="Times New Roman" w:hAnsi="Times New Roman" w:cs="Times New Roman"/>
          <w:sz w:val="24"/>
          <w:szCs w:val="24"/>
        </w:rPr>
        <w:t>stacam-se os deveres de respeitar e garantir: a) com base no art. 13 da Convenção, o acesso à informação, de forma acessível, efetiva e oportuna, tanto por meio de mecanismos para resposta a solicitações como por compilações e difusão ativa; b) com base no</w:t>
      </w:r>
      <w:r>
        <w:rPr>
          <w:rFonts w:ascii="Times New Roman" w:hAnsi="Times New Roman" w:cs="Times New Roman"/>
          <w:sz w:val="24"/>
          <w:szCs w:val="24"/>
        </w:rPr>
        <w:t xml:space="preserve"> art. 23, parágrafo 1, da Convenção, a participação pública na tomada de decisões e políticas que podem afetar o meio ambiente, sem discriminação, de maneira equitativa, significativa e transparente, com garantia prévia de acesso à informação relevante, de</w:t>
      </w:r>
      <w:r>
        <w:rPr>
          <w:rFonts w:ascii="Times New Roman" w:hAnsi="Times New Roman" w:cs="Times New Roman"/>
          <w:sz w:val="24"/>
          <w:szCs w:val="24"/>
        </w:rPr>
        <w:t>sde as primeiras etapas do processo, informando ao público tais oportunidades de participação; c) com base nos arts. 8 e 25 da Convenção, o acesso à Justiça, incluído o acesso a recursos, concretizados em conformidade com as regras do devido processo legal</w:t>
      </w:r>
      <w:r>
        <w:rPr>
          <w:rFonts w:ascii="Times New Roman" w:hAnsi="Times New Roman" w:cs="Times New Roman"/>
          <w:sz w:val="24"/>
          <w:szCs w:val="24"/>
        </w:rPr>
        <w:t>, para impugnar qualquer norma, decisão, ato ou omissão das autoridades públicas que possa ofender obrigações de direito ambiental, inclusive dos DPAs.</w:t>
      </w:r>
    </w:p>
    <w:p w14:paraId="0502D3E7" w14:textId="77777777" w:rsidR="00642F83" w:rsidRDefault="0067671C">
      <w:pPr>
        <w:widowControl w:val="0"/>
        <w:spacing w:line="360" w:lineRule="auto"/>
        <w:ind w:firstLine="85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No caso dos povos tradicionais, a compreensão </w:t>
      </w:r>
      <w:r>
        <w:rPr>
          <w:rFonts w:ascii="Times New Roman" w:hAnsi="Times New Roman" w:cs="Times New Roman"/>
          <w:color w:val="000000"/>
          <w:sz w:val="24"/>
          <w:szCs w:val="24"/>
        </w:rPr>
        <w:t>dos DPAs se dá na interação entre a Convenção 169 da OIT</w:t>
      </w:r>
      <w:r>
        <w:rPr>
          <w:rStyle w:val="ncoradanotaderodap"/>
          <w:rFonts w:ascii="Times New Roman" w:hAnsi="Times New Roman" w:cs="Times New Roman"/>
          <w:color w:val="000000"/>
          <w:sz w:val="24"/>
          <w:szCs w:val="24"/>
        </w:rPr>
        <w:footnoteReference w:id="9"/>
      </w:r>
      <w:r>
        <w:rPr>
          <w:rFonts w:ascii="Times New Roman" w:hAnsi="Times New Roman" w:cs="Times New Roman"/>
          <w:color w:val="000000"/>
          <w:sz w:val="24"/>
          <w:szCs w:val="24"/>
        </w:rPr>
        <w:t>; a Declaração dos Direitos dos Povos Indígenas (DDPI) e as convenções onusianas a ela relacionadas; as normas de Direitos Humanos regionais; e as normas oriundas de instrumentos setoriais ambientais (a exemplo do art. 8(j) da Convenção sobre Diversidade B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iológica). </w:t>
      </w:r>
    </w:p>
    <w:p w14:paraId="5887EB6E" w14:textId="77777777" w:rsidR="00642F83" w:rsidRDefault="0067671C">
      <w:pPr>
        <w:widowControl w:val="0"/>
        <w:spacing w:line="360" w:lineRule="auto"/>
        <w:ind w:firstLine="850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>Pode-se afirmar a existência de uma obrigação geral de informação, participação e consulta. Esta, em especial, deve ser livre, prévia e informada, buscar o consentimento, ser feita de boa-fé, desde os estágios iniciais de qualquer projeto e com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dados acurados (ROMBOUTS, 2017). A Corte IDH declarou, no caso Povo Indígena Kichwa de Sarayaku vs. </w:t>
      </w: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Equador, reconhecer na obrigação de consulta princípio geral de Direito Internacional (CORTE IDH, 2012), posição compartilhada por órgãos de tratado e pres</w:t>
      </w:r>
      <w:r>
        <w:rPr>
          <w:rFonts w:ascii="Times New Roman" w:hAnsi="Times New Roman" w:cs="Times New Roman"/>
          <w:color w:val="000000"/>
          <w:sz w:val="24"/>
          <w:szCs w:val="24"/>
        </w:rPr>
        <w:t>ente em práticas regionais e nacionais (WARD, 2011). Somam-se exigências específicas de consentimento: na Convenção 169, apenas na realocação de comunidades; já na perspectiva da DIPP, demanda-se consentimento livre, prévio e informado em várias situações,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inclusive em projetos de larga escala que afetem terras, territórios e recursos das comunidades (ROMBOUTS, 2017); por fim, a Corte IDH construiu, no caso Saramaka v. Suriname, a exigência de consentimento em</w:t>
      </w:r>
      <w:r>
        <w:rPr>
          <w:rFonts w:ascii="Times New Roman" w:hAnsi="Times New Roman"/>
          <w:color w:val="000000"/>
          <w:sz w:val="24"/>
          <w:szCs w:val="24"/>
        </w:rPr>
        <w:t xml:space="preserve"> projetos de grande escala e impacto dentro do t</w:t>
      </w:r>
      <w:r>
        <w:rPr>
          <w:rFonts w:ascii="Times New Roman" w:hAnsi="Times New Roman"/>
          <w:color w:val="000000"/>
          <w:sz w:val="24"/>
          <w:szCs w:val="24"/>
        </w:rPr>
        <w:t xml:space="preserve">erritório tradicional </w:t>
      </w:r>
      <w:r>
        <w:rPr>
          <w:rFonts w:ascii="Times New Roman" w:hAnsi="Times New Roman" w:cs="Times New Roman"/>
          <w:color w:val="000000"/>
          <w:sz w:val="24"/>
          <w:szCs w:val="24"/>
        </w:rPr>
        <w:t>(CORTE IDH, 2012). O acesso à Justiça é também garantido em uma convergência entre os instrumentos citados. Cite-se a previsão do art. 12 da DDPI e as previsões de acesso a remédios judiciais efetivos em instrumentos setoriais de Dire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ito Ambiental, por exemplo, o art. 235 da Convenção das Nações Unidas sobre Direito do Mar. </w:t>
      </w:r>
    </w:p>
    <w:p w14:paraId="715FC2BC" w14:textId="77777777" w:rsidR="00642F83" w:rsidRDefault="0067671C">
      <w:pPr>
        <w:widowControl w:val="0"/>
        <w:spacing w:line="360" w:lineRule="auto"/>
        <w:ind w:firstLine="85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 adjudicação com base na Convenção 169 da OIT é frequentemente entendida pela literatura como exemplo de influência positiva nas esferas domésticas na promoção da</w:t>
      </w:r>
      <w:r>
        <w:rPr>
          <w:rFonts w:ascii="Times New Roman" w:hAnsi="Times New Roman" w:cs="Times New Roman"/>
          <w:color w:val="000000"/>
          <w:sz w:val="24"/>
          <w:szCs w:val="24"/>
        </w:rPr>
        <w:t>s pretensões dos povos tradicionais, servindo de ferramenta para a adjudicação de causas ambientais e reequilibrando a distribuição de poder em conflitos de interesses ambientais (CESPEDES, 2017; COURTIS, 2017). A aplicação direta da Convenção e seu uso co</w:t>
      </w:r>
      <w:r>
        <w:rPr>
          <w:rFonts w:ascii="Times New Roman" w:hAnsi="Times New Roman" w:cs="Times New Roman"/>
          <w:color w:val="000000"/>
          <w:sz w:val="24"/>
          <w:szCs w:val="24"/>
        </w:rPr>
        <w:t>mo vetor interpretativo demonstrariam que “os juízes nacionais cobraram maior consciência da necessidade de assumir seriamente as obrigações internacionais do Estado, e em traduzi-las em critérios de decisão judicial em caso de conflito”(COURTIS, 2017, 61)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01BE9618" w14:textId="77777777" w:rsidR="00642F83" w:rsidRDefault="0067671C">
      <w:pPr>
        <w:widowControl w:val="0"/>
        <w:spacing w:line="360" w:lineRule="auto"/>
        <w:ind w:firstLine="850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Todavia, há evidências que indicam insuficiência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em relação ao acesso à Justiça para promoção da participação dos povos tradicionais. Estudo da OIT (2009) confirma dificuldades de engajamento dos Judiciários da América Latina com a Convenção 169, sendo frequente seu uso mais como vetor interpretativo de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normas domésticas do que em aplicação direta, como mero argumento de reforço para decisões já tomada com base em princípios jurídicos domésticos. </w:t>
      </w:r>
      <w:r>
        <w:rPr>
          <w:rFonts w:ascii="Times New Roman" w:hAnsi="Times New Roman" w:cs="Times New Roman"/>
          <w:sz w:val="24"/>
          <w:szCs w:val="24"/>
        </w:rPr>
        <w:t>A heterogeneidade interna do Estado e as dificuldades no próprio cumprimento das normas de direitos humanos pe</w:t>
      </w:r>
      <w:r>
        <w:rPr>
          <w:rFonts w:ascii="Times New Roman" w:hAnsi="Times New Roman" w:cs="Times New Roman"/>
          <w:sz w:val="24"/>
          <w:szCs w:val="24"/>
        </w:rPr>
        <w:t>los Judiciários domésticos se tornam limitações para o uso da internacionalização como estratégia de resistência (SANTOS, 2007). O Judiciário doméstico pode também fazer uso de instrumentos cogentes de um modo que, na prática, retira-lhes a força normativa</w:t>
      </w:r>
      <w:r>
        <w:rPr>
          <w:rFonts w:ascii="Times New Roman" w:hAnsi="Times New Roman" w:cs="Times New Roman"/>
          <w:sz w:val="24"/>
          <w:szCs w:val="24"/>
        </w:rPr>
        <w:t xml:space="preserve">, como o uso de tratados mais como referências superficiais em listas de provisões do que como normas a serem substantivamente interpretadas (MCCRUDDEN, </w:t>
      </w:r>
      <w:r>
        <w:rPr>
          <w:rFonts w:ascii="Times New Roman" w:hAnsi="Times New Roman" w:cs="Times New Roman"/>
          <w:sz w:val="24"/>
          <w:szCs w:val="24"/>
        </w:rPr>
        <w:lastRenderedPageBreak/>
        <w:t>2015). No Direito Ambiental documenta-se número frequente de decisões de cortes domésticas marcadas por</w:t>
      </w:r>
      <w:r>
        <w:rPr>
          <w:rFonts w:ascii="Times New Roman" w:hAnsi="Times New Roman" w:cs="Times New Roman"/>
          <w:sz w:val="24"/>
          <w:szCs w:val="24"/>
        </w:rPr>
        <w:t xml:space="preserve"> uma ambiguidade no papel em que se está empregando o Direito Internacional (BRUNCH, 2006). </w:t>
      </w:r>
    </w:p>
    <w:p w14:paraId="0790CA7F" w14:textId="77777777" w:rsidR="00642F83" w:rsidRDefault="0067671C">
      <w:pPr>
        <w:spacing w:line="36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Em síntese, a discussão sobre as obrigações do Judiciário doméstico em relação aos DPAs é reflexo da internacionalização, reforçado pelo impacto das normas ambientais e de direitos humanos nas relações entre indivíduos e o Estado. Sua definição ganha relev</w:t>
      </w:r>
      <w:r>
        <w:rPr>
          <w:rFonts w:ascii="Times New Roman" w:eastAsia="Times New Roman" w:hAnsi="Times New Roman" w:cs="Times New Roman"/>
          <w:sz w:val="24"/>
          <w:szCs w:val="24"/>
        </w:rPr>
        <w:t>o na medida em que é, também, uma disputa por conceitos atinentes ao reconhecimento e ao respeito a diferentes concepções de mundo, na definição de quem deve ser ouvido, quando, onde e de que forma. Judicializar para os grupos vulneráveis torna-se potencia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lidade de preservação de espaços de escolha, de modos de viver e de participar das disputas acerca de conceitos-chave como democracia, desenvolvimento, sustentabilidade e dignidade. </w:t>
      </w:r>
    </w:p>
    <w:p w14:paraId="58B53152" w14:textId="77777777" w:rsidR="00642F83" w:rsidRDefault="0067671C">
      <w:pPr>
        <w:spacing w:line="360" w:lineRule="auto"/>
        <w:ind w:firstLine="850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Tal via, contudo, depende da capacidade do Estado, e do Judiciário, de re</w:t>
      </w:r>
      <w:r>
        <w:rPr>
          <w:rFonts w:ascii="Times New Roman" w:eastAsia="Times New Roman" w:hAnsi="Times New Roman" w:cs="Times New Roman"/>
          <w:sz w:val="24"/>
          <w:szCs w:val="24"/>
        </w:rPr>
        <w:t>sponder a tais pretensões. Este ganha poderes que se refletem em preocupações sobre a autocompreensão dos juízes de suas obrigações, capacidades e limites nesse espaço, e da própria harmonização entre a intervenção judicial e o Direito Internacional. Debat</w:t>
      </w:r>
      <w:r>
        <w:rPr>
          <w:rFonts w:ascii="Times New Roman" w:eastAsia="Times New Roman" w:hAnsi="Times New Roman" w:cs="Times New Roman"/>
          <w:sz w:val="24"/>
          <w:szCs w:val="24"/>
        </w:rPr>
        <w:t>er o papel do juiz doméstico na efetivação do Direito Internacional auxilia ainda na compreensão do papel que tem sido exercido pelo Judiciário brasileiro em relação ao direito à participação dos povos tradicionais e dos trabalhadores, para que este seja u</w:t>
      </w:r>
      <w:r>
        <w:rPr>
          <w:rFonts w:ascii="Times New Roman" w:eastAsia="Times New Roman" w:hAnsi="Times New Roman" w:cs="Times New Roman"/>
          <w:sz w:val="24"/>
          <w:szCs w:val="24"/>
        </w:rPr>
        <w:t>m espaço de efetivo debate e afirmação dos DPAs, e não de  renovação de violações a direitos humanos.</w:t>
      </w:r>
    </w:p>
    <w:p w14:paraId="3A31F6B0" w14:textId="77777777" w:rsidR="00642F83" w:rsidRDefault="00642F83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9D19BAD" w14:textId="77777777" w:rsidR="00642F83" w:rsidRDefault="0067671C">
      <w:pPr>
        <w:widowControl w:val="0"/>
        <w:spacing w:line="360" w:lineRule="auto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Palavras-chave: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DPAs, povos tradicionais, meio ambiente.</w:t>
      </w:r>
    </w:p>
    <w:p w14:paraId="694DF83D" w14:textId="77777777" w:rsidR="00642F83" w:rsidRDefault="0067671C">
      <w:pPr>
        <w:widowControl w:val="0"/>
        <w:spacing w:line="360" w:lineRule="auto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Referências</w:t>
      </w:r>
    </w:p>
    <w:p w14:paraId="6F39256F" w14:textId="77777777" w:rsidR="00642F83" w:rsidRDefault="0067671C">
      <w:pPr>
        <w:widowControl w:val="0"/>
        <w:spacing w:after="0" w:line="240" w:lineRule="auto"/>
        <w:jc w:val="both"/>
      </w:pPr>
      <w:r>
        <w:rPr>
          <w:rStyle w:val="Fontepargpadro"/>
          <w:rFonts w:ascii="Times New Roman" w:hAnsi="Times New Roman"/>
          <w:sz w:val="24"/>
          <w:szCs w:val="24"/>
          <w:lang w:val="fr-FR"/>
        </w:rPr>
        <w:t xml:space="preserve">BRUCH, Carl. </w:t>
      </w:r>
      <w:r>
        <w:rPr>
          <w:rStyle w:val="Fontepargpadro"/>
          <w:rFonts w:ascii="Times New Roman" w:hAnsi="Times New Roman"/>
          <w:b/>
          <w:bCs/>
          <w:sz w:val="24"/>
          <w:szCs w:val="24"/>
          <w:lang w:val="fr-FR"/>
        </w:rPr>
        <w:t>Is International Environmental Law Really Law?: An Analysis of Applicat</w:t>
      </w:r>
      <w:r>
        <w:rPr>
          <w:rStyle w:val="Fontepargpadro"/>
          <w:rFonts w:ascii="Times New Roman" w:hAnsi="Times New Roman"/>
          <w:b/>
          <w:bCs/>
          <w:sz w:val="24"/>
          <w:szCs w:val="24"/>
          <w:lang w:val="fr-FR"/>
        </w:rPr>
        <w:t xml:space="preserve">ion in Domestic Courts. </w:t>
      </w:r>
      <w:r>
        <w:rPr>
          <w:rStyle w:val="Fontepargpadro"/>
          <w:rFonts w:ascii="Times New Roman" w:hAnsi="Times New Roman"/>
          <w:sz w:val="24"/>
          <w:szCs w:val="24"/>
        </w:rPr>
        <w:t>Pace Environmental Law Review, v. 23, n. 2, p. 423–464, 2006. Disponível em: &lt;http://digitalcommons.pace.edu/pelr&gt;.</w:t>
      </w:r>
    </w:p>
    <w:p w14:paraId="7E5DF507" w14:textId="77777777" w:rsidR="00642F83" w:rsidRDefault="00642F83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58E0859" w14:textId="77777777" w:rsidR="00642F83" w:rsidRDefault="0067671C">
      <w:pPr>
        <w:widowControl w:val="0"/>
        <w:tabs>
          <w:tab w:val="left" w:pos="5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CALABRIA, Carina Rodrigues de Araújo. </w:t>
      </w:r>
      <w:r>
        <w:rPr>
          <w:rFonts w:ascii="Times New Roman" w:hAnsi="Times New Roman" w:cs="Times New Roman"/>
          <w:b/>
          <w:bCs/>
          <w:sz w:val="24"/>
          <w:szCs w:val="24"/>
        </w:rPr>
        <w:t>A eficácia da Corte Interamericana de Direitos Humanos: ensaios a partir de m</w:t>
      </w:r>
      <w:r>
        <w:rPr>
          <w:rFonts w:ascii="Times New Roman" w:hAnsi="Times New Roman" w:cs="Times New Roman"/>
          <w:b/>
          <w:bCs/>
          <w:sz w:val="24"/>
          <w:szCs w:val="24"/>
        </w:rPr>
        <w:t>edidas de não repetição relacionadas ao sistema carcerário regional.</w:t>
      </w:r>
      <w:r>
        <w:rPr>
          <w:rFonts w:ascii="Times New Roman" w:hAnsi="Times New Roman" w:cs="Times New Roman"/>
          <w:sz w:val="24"/>
          <w:szCs w:val="24"/>
        </w:rPr>
        <w:t xml:space="preserve"> 2014. 205 f. Dissertação (Mestrado em Direito)—Universidade de Brasília, Brasília, 2014.</w:t>
      </w:r>
    </w:p>
    <w:p w14:paraId="64E33371" w14:textId="77777777" w:rsidR="00642F83" w:rsidRDefault="00642F83">
      <w:pPr>
        <w:widowControl w:val="0"/>
        <w:tabs>
          <w:tab w:val="left" w:pos="5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3972A7" w14:textId="77777777" w:rsidR="00642F83" w:rsidRDefault="0067671C">
      <w:pPr>
        <w:widowControl w:val="0"/>
        <w:tabs>
          <w:tab w:val="left" w:pos="570"/>
        </w:tabs>
        <w:spacing w:after="0" w:line="240" w:lineRule="auto"/>
        <w:jc w:val="both"/>
      </w:pPr>
      <w:r>
        <w:rPr>
          <w:rStyle w:val="Fontepargpadro"/>
          <w:rFonts w:ascii="Times New Roman" w:hAnsi="Times New Roman" w:cs="Times New Roman"/>
          <w:color w:val="000000"/>
          <w:sz w:val="24"/>
          <w:szCs w:val="24"/>
          <w:lang w:val="fr-FR"/>
        </w:rPr>
        <w:t>CEPAL.</w:t>
      </w:r>
      <w:r>
        <w:rPr>
          <w:rStyle w:val="Fontepargpadro"/>
          <w:rFonts w:ascii="Times New Roman" w:hAnsi="Times New Roman" w:cs="Times New Roman"/>
          <w:b/>
          <w:bCs/>
          <w:color w:val="000000"/>
          <w:sz w:val="24"/>
          <w:szCs w:val="24"/>
          <w:lang w:val="fr-FR"/>
        </w:rPr>
        <w:t xml:space="preserve"> Access to information, participation </w:t>
      </w:r>
      <w:r>
        <w:rPr>
          <w:rStyle w:val="Fontepargpadro"/>
          <w:rFonts w:ascii="Times New Roman" w:hAnsi="Times New Roman"/>
          <w:b/>
          <w:bCs/>
          <w:sz w:val="24"/>
          <w:szCs w:val="24"/>
          <w:lang w:val="fr-FR"/>
        </w:rPr>
        <w:t xml:space="preserve">and justice in environmental matters in Latin </w:t>
      </w:r>
      <w:r>
        <w:rPr>
          <w:rStyle w:val="Fontepargpadro"/>
          <w:rFonts w:ascii="Times New Roman" w:hAnsi="Times New Roman"/>
          <w:b/>
          <w:bCs/>
          <w:sz w:val="24"/>
          <w:szCs w:val="24"/>
          <w:lang w:val="fr-FR"/>
        </w:rPr>
        <w:t>America and the Caribbean Situation, outlook and examples of good practice.</w:t>
      </w:r>
      <w:r>
        <w:rPr>
          <w:rStyle w:val="Fontepargpadro"/>
          <w:rFonts w:ascii="Times New Roman" w:hAnsi="Times New Roman"/>
          <w:sz w:val="24"/>
          <w:szCs w:val="24"/>
          <w:lang w:val="fr-FR"/>
        </w:rPr>
        <w:t xml:space="preserve"> </w:t>
      </w:r>
      <w:r>
        <w:rPr>
          <w:rStyle w:val="Fontepargpadro"/>
          <w:rFonts w:ascii="Times New Roman" w:hAnsi="Times New Roman"/>
          <w:sz w:val="24"/>
          <w:szCs w:val="24"/>
          <w:lang w:val="fr-FR"/>
        </w:rPr>
        <w:lastRenderedPageBreak/>
        <w:t>Santiago: United Nations Publications, 2013.</w:t>
      </w:r>
    </w:p>
    <w:p w14:paraId="65F0737E" w14:textId="77777777" w:rsidR="00642F83" w:rsidRDefault="00642F83">
      <w:pPr>
        <w:widowControl w:val="0"/>
        <w:tabs>
          <w:tab w:val="left" w:pos="57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fr-FR"/>
        </w:rPr>
      </w:pPr>
    </w:p>
    <w:p w14:paraId="548B884E" w14:textId="77777777" w:rsidR="00642F83" w:rsidRDefault="0067671C">
      <w:pPr>
        <w:widowControl w:val="0"/>
        <w:spacing w:after="0" w:line="240" w:lineRule="auto"/>
        <w:jc w:val="both"/>
      </w:pPr>
      <w:r>
        <w:rPr>
          <w:rStyle w:val="Fontepargpadro"/>
          <w:rFonts w:ascii="Times New Roman" w:hAnsi="Times New Roman"/>
          <w:sz w:val="24"/>
          <w:szCs w:val="24"/>
          <w:lang w:val="fr-FR"/>
        </w:rPr>
        <w:t xml:space="preserve">CESPEDES, Rodrigo. </w:t>
      </w:r>
      <w:r>
        <w:rPr>
          <w:rStyle w:val="Fontepargpadro"/>
          <w:rFonts w:ascii="Times New Roman" w:hAnsi="Times New Roman"/>
          <w:b/>
          <w:bCs/>
          <w:sz w:val="24"/>
          <w:szCs w:val="24"/>
          <w:lang w:val="fr-FR"/>
        </w:rPr>
        <w:t>Indigenous Peoples’ Human Right to a Clean Environment, Environmental Impact Assessment and ILO-Convention 169.</w:t>
      </w:r>
      <w:r>
        <w:rPr>
          <w:rStyle w:val="Fontepargpadro"/>
          <w:rFonts w:ascii="Times New Roman" w:hAnsi="Times New Roman"/>
          <w:sz w:val="24"/>
          <w:szCs w:val="24"/>
          <w:lang w:val="fr-FR"/>
        </w:rPr>
        <w:t xml:space="preserve"> War</w:t>
      </w:r>
      <w:r>
        <w:rPr>
          <w:rStyle w:val="Fontepargpadro"/>
          <w:rFonts w:ascii="Times New Roman" w:hAnsi="Times New Roman"/>
          <w:sz w:val="24"/>
          <w:szCs w:val="24"/>
          <w:lang w:val="fr-FR"/>
        </w:rPr>
        <w:t>wick Student Law Review, v. 3, n. 1, p. 71–79, 2013.</w:t>
      </w:r>
    </w:p>
    <w:p w14:paraId="07F908E2" w14:textId="77777777" w:rsidR="00642F83" w:rsidRDefault="00642F83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fr-FR"/>
        </w:rPr>
      </w:pPr>
    </w:p>
    <w:p w14:paraId="77D672D5" w14:textId="77777777" w:rsidR="00642F83" w:rsidRDefault="0067671C">
      <w:pPr>
        <w:widowControl w:val="0"/>
        <w:spacing w:after="0" w:line="240" w:lineRule="auto"/>
        <w:jc w:val="both"/>
      </w:pPr>
      <w:r>
        <w:rPr>
          <w:rStyle w:val="Fontepargpadro"/>
          <w:rFonts w:ascii="Times New Roman" w:hAnsi="Times New Roman"/>
          <w:sz w:val="24"/>
          <w:szCs w:val="24"/>
          <w:lang w:val="fr-FR"/>
        </w:rPr>
        <w:t xml:space="preserve">COLOMBO, Esmeralda. (Un)comfortably Numb: The Role of National Courts for Access to Justice in Climate Matters. </w:t>
      </w:r>
      <w:r>
        <w:rPr>
          <w:rStyle w:val="Fontepargpadro"/>
          <w:rFonts w:ascii="Times New Roman" w:hAnsi="Times New Roman"/>
          <w:i/>
          <w:iCs/>
          <w:sz w:val="24"/>
          <w:szCs w:val="24"/>
          <w:lang w:val="fr-FR"/>
        </w:rPr>
        <w:t>In:</w:t>
      </w:r>
      <w:r>
        <w:rPr>
          <w:rStyle w:val="Fontepargpadro"/>
          <w:rFonts w:ascii="Times New Roman" w:hAnsi="Times New Roman"/>
          <w:sz w:val="24"/>
          <w:szCs w:val="24"/>
          <w:lang w:val="fr-FR"/>
        </w:rPr>
        <w:t xml:space="preserve"> J. Jendrośka – M. Bar (ed). </w:t>
      </w:r>
      <w:r>
        <w:rPr>
          <w:rStyle w:val="Fontepargpadro"/>
          <w:rFonts w:ascii="Times New Roman" w:hAnsi="Times New Roman"/>
          <w:b/>
          <w:bCs/>
          <w:sz w:val="24"/>
          <w:szCs w:val="24"/>
          <w:lang w:val="fr-FR"/>
        </w:rPr>
        <w:t>Procedural Environmental Rights: Principle X in Theory and</w:t>
      </w:r>
      <w:r>
        <w:rPr>
          <w:rStyle w:val="Fontepargpadro"/>
          <w:rFonts w:ascii="Times New Roman" w:hAnsi="Times New Roman"/>
          <w:b/>
          <w:bCs/>
          <w:sz w:val="24"/>
          <w:szCs w:val="24"/>
          <w:lang w:val="fr-FR"/>
        </w:rPr>
        <w:t xml:space="preserve"> Practice.</w:t>
      </w:r>
      <w:r>
        <w:rPr>
          <w:rStyle w:val="Fontepargpadro"/>
          <w:rFonts w:ascii="Times New Roman" w:hAnsi="Times New Roman"/>
          <w:sz w:val="24"/>
          <w:szCs w:val="24"/>
          <w:lang w:val="fr-FR"/>
        </w:rPr>
        <w:t xml:space="preserve"> </w:t>
      </w:r>
      <w:r>
        <w:rPr>
          <w:rStyle w:val="Fontepargpadro"/>
          <w:rFonts w:ascii="Times New Roman" w:hAnsi="Times New Roman"/>
          <w:sz w:val="24"/>
          <w:szCs w:val="24"/>
        </w:rPr>
        <w:t>Cambirdge: Intersentia, 2018, pp.437-464.</w:t>
      </w:r>
    </w:p>
    <w:p w14:paraId="79004013" w14:textId="77777777" w:rsidR="00642F83" w:rsidRDefault="00642F83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9A70BEC" w14:textId="77777777" w:rsidR="00642F83" w:rsidRDefault="0067671C">
      <w:pPr>
        <w:widowControl w:val="0"/>
        <w:spacing w:after="0" w:line="240" w:lineRule="auto"/>
        <w:jc w:val="both"/>
      </w:pPr>
      <w:r>
        <w:rPr>
          <w:rStyle w:val="Fontepargpadro"/>
          <w:rFonts w:ascii="Times New Roman" w:hAnsi="Times New Roman"/>
          <w:sz w:val="24"/>
          <w:szCs w:val="24"/>
        </w:rPr>
        <w:t>COURTIS, Christian. A</w:t>
      </w:r>
      <w:r>
        <w:rPr>
          <w:rStyle w:val="Fontepargpadro"/>
          <w:rFonts w:ascii="Times New Roman" w:hAnsi="Times New Roman"/>
          <w:b/>
          <w:bCs/>
          <w:sz w:val="24"/>
          <w:szCs w:val="24"/>
        </w:rPr>
        <w:t xml:space="preserve">notações sobre a aplicação da Convenção 169 da OIT sobre povos indígenas por tribunais da América Latina. </w:t>
      </w:r>
      <w:r>
        <w:rPr>
          <w:rStyle w:val="Fontepargpadro"/>
          <w:rFonts w:ascii="Times New Roman" w:hAnsi="Times New Roman"/>
          <w:sz w:val="24"/>
          <w:szCs w:val="24"/>
        </w:rPr>
        <w:t>Sur. Revista Internacional de Direitos Humanos, v. 6, n. 10, p. 52–81, 2017</w:t>
      </w:r>
      <w:r>
        <w:rPr>
          <w:rStyle w:val="Fontepargpadro"/>
          <w:rFonts w:ascii="Times New Roman" w:hAnsi="Times New Roman"/>
          <w:sz w:val="24"/>
          <w:szCs w:val="24"/>
        </w:rPr>
        <w:t>.</w:t>
      </w:r>
    </w:p>
    <w:p w14:paraId="38810951" w14:textId="77777777" w:rsidR="00642F83" w:rsidRDefault="00642F83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94F4530" w14:textId="77777777" w:rsidR="00642F83" w:rsidRDefault="0067671C">
      <w:pPr>
        <w:widowControl w:val="0"/>
        <w:spacing w:after="0" w:line="240" w:lineRule="auto"/>
        <w:jc w:val="both"/>
      </w:pPr>
      <w:r>
        <w:rPr>
          <w:rStyle w:val="Fontepargpadro"/>
          <w:rFonts w:ascii="Times New Roman" w:hAnsi="Times New Roman"/>
          <w:sz w:val="24"/>
          <w:szCs w:val="24"/>
        </w:rPr>
        <w:t xml:space="preserve">CUNHA, José. </w:t>
      </w:r>
      <w:r>
        <w:rPr>
          <w:rStyle w:val="Fontepargpadro"/>
          <w:rFonts w:ascii="Times New Roman" w:hAnsi="Times New Roman"/>
          <w:b/>
          <w:bCs/>
          <w:sz w:val="24"/>
          <w:szCs w:val="24"/>
        </w:rPr>
        <w:t>Human rights and justiciability: a survey conducted in Rio de Janeiro.</w:t>
      </w:r>
      <w:r>
        <w:rPr>
          <w:rStyle w:val="Fontepargpadro"/>
          <w:rFonts w:ascii="Times New Roman" w:hAnsi="Times New Roman"/>
          <w:sz w:val="24"/>
          <w:szCs w:val="24"/>
        </w:rPr>
        <w:t xml:space="preserve"> Sur - Revista Internacional de Direitos Humanos, v. </w:t>
      </w:r>
      <w:r>
        <w:rPr>
          <w:rStyle w:val="Fontepargpadro"/>
          <w:rFonts w:ascii="Times New Roman" w:hAnsi="Times New Roman"/>
          <w:sz w:val="24"/>
          <w:szCs w:val="24"/>
        </w:rPr>
        <w:t>1, n. SE, p. 0–0, 2006.</w:t>
      </w:r>
    </w:p>
    <w:p w14:paraId="011E1756" w14:textId="77777777" w:rsidR="00642F83" w:rsidRDefault="00642F83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A71E9FF" w14:textId="77777777" w:rsidR="00642F83" w:rsidRDefault="0067671C">
      <w:pPr>
        <w:widowControl w:val="0"/>
        <w:spacing w:after="0" w:line="240" w:lineRule="auto"/>
        <w:jc w:val="both"/>
      </w:pPr>
      <w:r>
        <w:rPr>
          <w:rStyle w:val="Fontepargpadro"/>
          <w:rFonts w:ascii="Times New Roman" w:hAnsi="Times New Roman"/>
          <w:sz w:val="24"/>
          <w:szCs w:val="24"/>
        </w:rPr>
        <w:t xml:space="preserve">DIAS, Roberto; MOHALLEM, Michael Freitas. O diálogo jurisdicional sobre direitos humanos e a ascensão da rede global de cortes constitucionais. </w:t>
      </w:r>
      <w:r>
        <w:rPr>
          <w:rStyle w:val="Fontepargpadro"/>
          <w:rFonts w:ascii="Times New Roman" w:hAnsi="Times New Roman"/>
          <w:i/>
          <w:iCs/>
          <w:sz w:val="24"/>
          <w:szCs w:val="24"/>
        </w:rPr>
        <w:t xml:space="preserve">In: </w:t>
      </w:r>
      <w:r>
        <w:rPr>
          <w:rStyle w:val="Fontepargpadro"/>
          <w:rFonts w:ascii="Times New Roman" w:hAnsi="Times New Roman"/>
          <w:b/>
          <w:sz w:val="24"/>
          <w:szCs w:val="24"/>
        </w:rPr>
        <w:t xml:space="preserve">Diálogos jurisdicionais e Direitos Humanos. </w:t>
      </w:r>
      <w:r>
        <w:rPr>
          <w:rStyle w:val="Fontepargpadro"/>
          <w:rFonts w:ascii="Times New Roman" w:hAnsi="Times New Roman"/>
          <w:sz w:val="24"/>
          <w:szCs w:val="24"/>
        </w:rPr>
        <w:t xml:space="preserve"> Brasília: Gazeta Jurídica, 2016, p. 347–383.</w:t>
      </w:r>
    </w:p>
    <w:p w14:paraId="7F2ADED5" w14:textId="77777777" w:rsidR="00642F83" w:rsidRDefault="00642F83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AB39F38" w14:textId="77777777" w:rsidR="00642F83" w:rsidRDefault="0067671C">
      <w:pPr>
        <w:widowControl w:val="0"/>
        <w:spacing w:after="0" w:line="240" w:lineRule="auto"/>
        <w:jc w:val="both"/>
      </w:pPr>
      <w:r>
        <w:rPr>
          <w:rStyle w:val="Fontepargpadro"/>
          <w:rFonts w:ascii="Times New Roman" w:hAnsi="Times New Roman"/>
          <w:sz w:val="24"/>
          <w:szCs w:val="24"/>
        </w:rPr>
        <w:t xml:space="preserve">FERRAÇO, André Augusto Giuriatto; MORAES, Gabriela Garcia Batista Lima. </w:t>
      </w:r>
      <w:r>
        <w:rPr>
          <w:rStyle w:val="Fontepargpadro"/>
          <w:rFonts w:ascii="Times New Roman" w:hAnsi="Times New Roman"/>
          <w:b/>
          <w:bCs/>
          <w:sz w:val="24"/>
          <w:szCs w:val="24"/>
        </w:rPr>
        <w:t xml:space="preserve">A função da sadia qualidade de vida a partir da ressignificação principiológica no contexto de internacionalização do direito ambiental. </w:t>
      </w:r>
      <w:r>
        <w:rPr>
          <w:rStyle w:val="Fontepargpadro"/>
          <w:rFonts w:ascii="Times New Roman" w:hAnsi="Times New Roman"/>
          <w:sz w:val="24"/>
          <w:szCs w:val="24"/>
        </w:rPr>
        <w:t>Revista Culturas Jurídicas, v. 5, p.10</w:t>
      </w:r>
      <w:r>
        <w:rPr>
          <w:rStyle w:val="Fontepargpadro"/>
          <w:rFonts w:ascii="Times New Roman" w:hAnsi="Times New Roman"/>
          <w:sz w:val="24"/>
          <w:szCs w:val="24"/>
        </w:rPr>
        <w:t>5-130, 20</w:t>
      </w:r>
      <w:r>
        <w:rPr>
          <w:rStyle w:val="Fontepargpadro"/>
          <w:rFonts w:ascii="Times New Roman" w:hAnsi="Times New Roman"/>
          <w:sz w:val="24"/>
          <w:szCs w:val="24"/>
        </w:rPr>
        <w:t>18.</w:t>
      </w:r>
    </w:p>
    <w:p w14:paraId="47EFFB57" w14:textId="77777777" w:rsidR="00642F83" w:rsidRDefault="00642F83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C8A03D5" w14:textId="77777777" w:rsidR="00642F83" w:rsidRDefault="0067671C">
      <w:pPr>
        <w:widowControl w:val="0"/>
        <w:spacing w:after="0" w:line="240" w:lineRule="auto"/>
        <w:jc w:val="both"/>
      </w:pPr>
      <w:r>
        <w:rPr>
          <w:rStyle w:val="Fontepargpadro"/>
          <w:rFonts w:ascii="Times New Roman" w:hAnsi="Times New Roman" w:cs="Times New Roman"/>
          <w:sz w:val="24"/>
          <w:szCs w:val="24"/>
        </w:rPr>
        <w:t xml:space="preserve">KOZEN, Lucas P.; CAFRUNE, Marcelo. </w:t>
      </w:r>
      <w:r>
        <w:rPr>
          <w:rStyle w:val="Fontepargpadro"/>
          <w:rFonts w:ascii="Times New Roman" w:hAnsi="Times New Roman" w:cs="Times New Roman"/>
          <w:b/>
          <w:bCs/>
          <w:sz w:val="24"/>
          <w:szCs w:val="24"/>
        </w:rPr>
        <w:t>A judicialização dos conflitos urbano-ambientais na América Latina</w:t>
      </w:r>
      <w:r>
        <w:rPr>
          <w:rStyle w:val="Fontepargpadro"/>
          <w:rFonts w:ascii="Times New Roman" w:hAnsi="Times New Roman" w:cs="Times New Roman"/>
          <w:sz w:val="24"/>
          <w:szCs w:val="24"/>
        </w:rPr>
        <w:t xml:space="preserve">. Revista Direito e Práxis, v.7, </w:t>
      </w:r>
      <w:r>
        <w:rPr>
          <w:rStyle w:val="Fontepargpadro"/>
          <w:rFonts w:ascii="Times New Roman" w:hAnsi="Times New Roman" w:cs="Times New Roman"/>
          <w:sz w:val="24"/>
          <w:szCs w:val="24"/>
        </w:rPr>
        <w:t>n.2, 2016, p.376-396.</w:t>
      </w:r>
    </w:p>
    <w:p w14:paraId="35C1EA4E" w14:textId="77777777" w:rsidR="00642F83" w:rsidRDefault="00642F83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14:paraId="6B4689B3" w14:textId="77777777" w:rsidR="00642F83" w:rsidRDefault="0067671C">
      <w:pPr>
        <w:widowControl w:val="0"/>
        <w:spacing w:after="0" w:line="240" w:lineRule="auto"/>
        <w:jc w:val="both"/>
      </w:pPr>
      <w:r>
        <w:rPr>
          <w:rStyle w:val="Fontepargpadro"/>
          <w:rFonts w:ascii="Times New Roman" w:hAnsi="Times New Roman"/>
          <w:sz w:val="24"/>
          <w:szCs w:val="24"/>
          <w:lang w:val="fr-FR"/>
        </w:rPr>
        <w:t xml:space="preserve">MCCRUDDEN, Christopher. </w:t>
      </w:r>
      <w:r>
        <w:rPr>
          <w:rStyle w:val="Fontepargpadro"/>
          <w:rFonts w:ascii="Times New Roman" w:hAnsi="Times New Roman"/>
          <w:b/>
          <w:bCs/>
          <w:sz w:val="24"/>
          <w:szCs w:val="24"/>
          <w:lang w:val="fr-FR"/>
        </w:rPr>
        <w:t>Why Do National Court Judges Refer to Human Rights Treaties: A Compara</w:t>
      </w:r>
      <w:r>
        <w:rPr>
          <w:rStyle w:val="Fontepargpadro"/>
          <w:rFonts w:ascii="Times New Roman" w:hAnsi="Times New Roman"/>
          <w:b/>
          <w:bCs/>
          <w:sz w:val="24"/>
          <w:szCs w:val="24"/>
          <w:lang w:val="fr-FR"/>
        </w:rPr>
        <w:t>tive International Law Analysis of CEDAW.</w:t>
      </w:r>
      <w:r>
        <w:rPr>
          <w:rStyle w:val="Fontepargpadro"/>
          <w:rFonts w:ascii="Times New Roman" w:hAnsi="Times New Roman"/>
          <w:sz w:val="24"/>
          <w:szCs w:val="24"/>
          <w:lang w:val="fr-FR"/>
        </w:rPr>
        <w:t xml:space="preserve"> </w:t>
      </w:r>
      <w:r>
        <w:rPr>
          <w:rStyle w:val="Fontepargpadro"/>
          <w:rFonts w:ascii="Times New Roman" w:hAnsi="Times New Roman"/>
          <w:sz w:val="24"/>
          <w:szCs w:val="24"/>
        </w:rPr>
        <w:t>American Journal of International Law, Vol. 109, Issue 3, julho 2015, pp. 534-550.</w:t>
      </w:r>
    </w:p>
    <w:p w14:paraId="0C1D904A" w14:textId="77777777" w:rsidR="00642F83" w:rsidRDefault="00642F83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5352EE3" w14:textId="77777777" w:rsidR="00642F83" w:rsidRDefault="0067671C">
      <w:pPr>
        <w:pStyle w:val="FootnoteText"/>
        <w:widowControl w:val="0"/>
        <w:tabs>
          <w:tab w:val="left" w:pos="570"/>
        </w:tabs>
        <w:spacing w:after="0" w:line="240" w:lineRule="auto"/>
        <w:ind w:left="0" w:firstLine="0"/>
      </w:pPr>
      <w:r>
        <w:rPr>
          <w:rStyle w:val="Fontepargpadro"/>
          <w:rFonts w:ascii="Times New Roman" w:hAnsi="Times New Roman" w:cs="Arial"/>
          <w:color w:val="000000"/>
          <w:sz w:val="24"/>
          <w:szCs w:val="24"/>
        </w:rPr>
        <w:t xml:space="preserve">ORGANIZAÇÃO INTERNACIONAL DO TRABALHO. </w:t>
      </w:r>
      <w:r>
        <w:rPr>
          <w:rStyle w:val="Fontepargpadro"/>
          <w:rFonts w:ascii="Times New Roman" w:hAnsi="Times New Roman" w:cs="Arial"/>
          <w:b/>
          <w:bCs/>
          <w:color w:val="000000"/>
          <w:sz w:val="24"/>
          <w:szCs w:val="24"/>
        </w:rPr>
        <w:t xml:space="preserve">Application of Convention n. 169 by domestic and international courts in Latin America: a case book. </w:t>
      </w:r>
      <w:r>
        <w:rPr>
          <w:rStyle w:val="Fontepargpadro"/>
          <w:rFonts w:ascii="Times New Roman" w:hAnsi="Times New Roman" w:cs="Arial"/>
          <w:color w:val="000000"/>
          <w:sz w:val="24"/>
          <w:szCs w:val="24"/>
        </w:rPr>
        <w:t xml:space="preserve">Escritório Internacional do Trabalho. </w:t>
      </w:r>
      <w:r>
        <w:rPr>
          <w:rStyle w:val="Fontepargpadro"/>
          <w:rFonts w:ascii="Times New Roman" w:hAnsi="Times New Roman" w:cs="Arial"/>
          <w:color w:val="000000"/>
          <w:sz w:val="24"/>
          <w:szCs w:val="24"/>
          <w:lang w:val="fr-FR"/>
        </w:rPr>
        <w:t>Genebra: OIT, 2009.</w:t>
      </w:r>
    </w:p>
    <w:p w14:paraId="4454A9A9" w14:textId="77777777" w:rsidR="00642F83" w:rsidRDefault="00642F83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fr-FR"/>
        </w:rPr>
      </w:pPr>
    </w:p>
    <w:p w14:paraId="7EFD8125" w14:textId="77777777" w:rsidR="00642F83" w:rsidRDefault="0067671C">
      <w:pPr>
        <w:widowControl w:val="0"/>
        <w:tabs>
          <w:tab w:val="left" w:pos="510"/>
        </w:tabs>
        <w:spacing w:after="0" w:line="240" w:lineRule="auto"/>
        <w:jc w:val="both"/>
      </w:pPr>
      <w:r>
        <w:rPr>
          <w:rStyle w:val="Fontepargpadro"/>
          <w:rFonts w:ascii="Times New Roman" w:hAnsi="Times New Roman" w:cs="Times New Roman"/>
          <w:color w:val="000000"/>
          <w:sz w:val="24"/>
          <w:szCs w:val="24"/>
        </w:rPr>
        <w:t xml:space="preserve">PROGRAMA DAS NAÇÕES UNIDAS PARA O MEIO AMBIENTE. </w:t>
      </w:r>
      <w:r>
        <w:rPr>
          <w:rStyle w:val="Fontepargpadro"/>
          <w:rFonts w:ascii="Times New Roman" w:hAnsi="Times New Roman" w:cs="Times New Roman"/>
          <w:b/>
          <w:bCs/>
          <w:color w:val="000000"/>
          <w:sz w:val="24"/>
          <w:szCs w:val="24"/>
          <w:lang w:val="fr-FR"/>
        </w:rPr>
        <w:t>Environmental Rule of Law – First Global Report</w:t>
      </w:r>
      <w:r>
        <w:rPr>
          <w:rStyle w:val="Fontepargpadro"/>
          <w:rFonts w:ascii="Times New Roman" w:hAnsi="Times New Roman" w:cs="Times New Roman"/>
          <w:b/>
          <w:bCs/>
          <w:color w:val="000000"/>
          <w:sz w:val="24"/>
          <w:szCs w:val="24"/>
          <w:lang w:val="fr-FR"/>
        </w:rPr>
        <w:t>.</w:t>
      </w:r>
      <w:r>
        <w:rPr>
          <w:rStyle w:val="Fontepargpadro"/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r>
        <w:rPr>
          <w:rStyle w:val="Fontepargpadro"/>
          <w:rFonts w:ascii="Times New Roman" w:hAnsi="Times New Roman" w:cs="Times New Roman"/>
          <w:color w:val="000000"/>
          <w:sz w:val="24"/>
          <w:szCs w:val="24"/>
        </w:rPr>
        <w:t>Nairobi: PNUMA, 2019.</w:t>
      </w:r>
    </w:p>
    <w:p w14:paraId="5E5076F4" w14:textId="77777777" w:rsidR="00642F83" w:rsidRDefault="00642F83">
      <w:pPr>
        <w:widowControl w:val="0"/>
        <w:tabs>
          <w:tab w:val="left" w:pos="51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FF05B10" w14:textId="77777777" w:rsidR="00642F83" w:rsidRDefault="0067671C">
      <w:pPr>
        <w:widowControl w:val="0"/>
        <w:tabs>
          <w:tab w:val="left" w:pos="570"/>
        </w:tabs>
        <w:spacing w:after="0" w:line="240" w:lineRule="auto"/>
        <w:jc w:val="both"/>
      </w:pPr>
      <w:r>
        <w:rPr>
          <w:rStyle w:val="Fontepargpadro"/>
          <w:rFonts w:ascii="Times New Roman" w:hAnsi="Times New Roman" w:cs="Arial"/>
          <w:color w:val="000000"/>
          <w:sz w:val="24"/>
          <w:szCs w:val="24"/>
          <w:lang w:val="fr-FR"/>
        </w:rPr>
        <w:t xml:space="preserve">ROBINSON, Nicholas A.. </w:t>
      </w:r>
      <w:r>
        <w:rPr>
          <w:rStyle w:val="Fontepargpadro"/>
          <w:rFonts w:ascii="Times New Roman" w:hAnsi="Times New Roman" w:cs="Arial"/>
          <w:b/>
          <w:bCs/>
          <w:color w:val="000000"/>
          <w:sz w:val="24"/>
          <w:szCs w:val="24"/>
          <w:lang w:val="fr-FR"/>
        </w:rPr>
        <w:t>Ensuring Access to Justice Through Environmental Courts.</w:t>
      </w:r>
      <w:r>
        <w:rPr>
          <w:rStyle w:val="Fontepargpadro"/>
          <w:rFonts w:ascii="Times New Roman" w:hAnsi="Times New Roman" w:cs="Arial"/>
          <w:color w:val="000000"/>
          <w:sz w:val="24"/>
          <w:szCs w:val="24"/>
          <w:lang w:val="fr-FR"/>
        </w:rPr>
        <w:t xml:space="preserve"> Pace Environmental Law Review, v. 29, n. 2, 2012, p. 363.</w:t>
      </w:r>
    </w:p>
    <w:p w14:paraId="52E24848" w14:textId="77777777" w:rsidR="00642F83" w:rsidRDefault="00642F83">
      <w:pPr>
        <w:widowControl w:val="0"/>
        <w:tabs>
          <w:tab w:val="left" w:pos="570"/>
        </w:tabs>
        <w:spacing w:after="0" w:line="240" w:lineRule="auto"/>
        <w:jc w:val="both"/>
        <w:rPr>
          <w:rFonts w:ascii="Times New Roman" w:hAnsi="Times New Roman" w:cs="Arial"/>
          <w:color w:val="000000"/>
          <w:sz w:val="24"/>
          <w:szCs w:val="24"/>
          <w:lang w:val="fr-FR"/>
        </w:rPr>
      </w:pPr>
    </w:p>
    <w:p w14:paraId="4DFBD955" w14:textId="77777777" w:rsidR="00642F83" w:rsidRDefault="0067671C">
      <w:pPr>
        <w:pStyle w:val="FootnoteText"/>
        <w:widowControl w:val="0"/>
        <w:tabs>
          <w:tab w:val="left" w:pos="570"/>
        </w:tabs>
        <w:spacing w:after="0" w:line="240" w:lineRule="auto"/>
        <w:ind w:left="0" w:firstLine="0"/>
      </w:pPr>
      <w:r>
        <w:rPr>
          <w:rStyle w:val="Fontepargpadro"/>
          <w:rFonts w:ascii="Times New Roman" w:hAnsi="Times New Roman"/>
          <w:sz w:val="24"/>
          <w:szCs w:val="24"/>
          <w:lang w:val="fr-FR"/>
        </w:rPr>
        <w:t xml:space="preserve">ROMBOUTS, S.J.. </w:t>
      </w:r>
      <w:r>
        <w:rPr>
          <w:rStyle w:val="Fontepargpadro"/>
          <w:rFonts w:ascii="Times New Roman" w:hAnsi="Times New Roman"/>
          <w:b/>
          <w:bCs/>
          <w:sz w:val="24"/>
          <w:szCs w:val="24"/>
          <w:lang w:val="fr-FR"/>
        </w:rPr>
        <w:t xml:space="preserve">The evolution of indigenous peoples’ consultation rights under the ILO </w:t>
      </w:r>
      <w:r>
        <w:rPr>
          <w:rStyle w:val="Fontepargpadro"/>
          <w:rFonts w:ascii="Times New Roman" w:hAnsi="Times New Roman"/>
          <w:b/>
          <w:bCs/>
          <w:sz w:val="24"/>
          <w:szCs w:val="24"/>
          <w:lang w:val="fr-FR"/>
        </w:rPr>
        <w:t>and U.N. Regimes</w:t>
      </w:r>
      <w:r>
        <w:rPr>
          <w:rStyle w:val="Fontepargpadro"/>
          <w:rFonts w:ascii="Times New Roman" w:hAnsi="Times New Roman"/>
          <w:sz w:val="24"/>
          <w:szCs w:val="24"/>
          <w:lang w:val="fr-FR"/>
        </w:rPr>
        <w:t xml:space="preserve">. </w:t>
      </w:r>
      <w:r>
        <w:rPr>
          <w:rStyle w:val="Fontepargpadro"/>
          <w:rFonts w:ascii="Times New Roman" w:hAnsi="Times New Roman"/>
          <w:sz w:val="24"/>
          <w:szCs w:val="24"/>
        </w:rPr>
        <w:t>Stanford Journal of International Law, vol. 53, n. 2, 2017, p. 169-224.</w:t>
      </w:r>
    </w:p>
    <w:p w14:paraId="51CD704A" w14:textId="77777777" w:rsidR="00642F83" w:rsidRDefault="00642F8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1599BA0" w14:textId="77777777" w:rsidR="00642F83" w:rsidRDefault="0067671C">
      <w:pPr>
        <w:widowControl w:val="0"/>
        <w:tabs>
          <w:tab w:val="left" w:pos="570"/>
        </w:tabs>
        <w:spacing w:after="0" w:line="240" w:lineRule="auto"/>
        <w:jc w:val="both"/>
        <w:rPr>
          <w:rFonts w:ascii="Times New Roman" w:hAnsi="Times New Roman" w:cs="Arial"/>
          <w:color w:val="000000"/>
          <w:sz w:val="24"/>
          <w:szCs w:val="24"/>
        </w:rPr>
      </w:pPr>
      <w:r>
        <w:rPr>
          <w:rFonts w:ascii="Times New Roman" w:hAnsi="Times New Roman" w:cs="Arial"/>
          <w:color w:val="000000"/>
          <w:sz w:val="24"/>
          <w:szCs w:val="24"/>
        </w:rPr>
        <w:t xml:space="preserve">SANTOS, Boaventura de Sousa. </w:t>
      </w:r>
      <w:r>
        <w:rPr>
          <w:rFonts w:ascii="Times New Roman" w:hAnsi="Times New Roman" w:cs="Arial"/>
          <w:b/>
          <w:bCs/>
          <w:color w:val="000000"/>
          <w:sz w:val="24"/>
          <w:szCs w:val="24"/>
        </w:rPr>
        <w:t>Poderá o direito ser emancipatório?</w:t>
      </w:r>
      <w:r>
        <w:rPr>
          <w:rFonts w:ascii="Times New Roman" w:hAnsi="Times New Roman" w:cs="Arial"/>
          <w:color w:val="000000"/>
          <w:sz w:val="24"/>
          <w:szCs w:val="24"/>
        </w:rPr>
        <w:t xml:space="preserve"> Revista Crítica de Ciências Sociais, 65, 2003, 3-76.</w:t>
      </w:r>
    </w:p>
    <w:p w14:paraId="75B433AC" w14:textId="77777777" w:rsidR="00642F83" w:rsidRDefault="00642F83">
      <w:pPr>
        <w:widowControl w:val="0"/>
        <w:tabs>
          <w:tab w:val="left" w:pos="570"/>
        </w:tabs>
        <w:spacing w:after="0" w:line="240" w:lineRule="auto"/>
        <w:jc w:val="both"/>
        <w:rPr>
          <w:rFonts w:ascii="Times New Roman" w:hAnsi="Times New Roman" w:cs="Arial"/>
          <w:color w:val="000000"/>
          <w:sz w:val="24"/>
          <w:szCs w:val="24"/>
        </w:rPr>
      </w:pPr>
    </w:p>
    <w:p w14:paraId="1D2F3291" w14:textId="77777777" w:rsidR="00642F83" w:rsidRDefault="0067671C">
      <w:pPr>
        <w:widowControl w:val="0"/>
        <w:tabs>
          <w:tab w:val="left" w:pos="570"/>
        </w:tabs>
        <w:spacing w:after="0" w:line="240" w:lineRule="auto"/>
        <w:jc w:val="both"/>
        <w:rPr>
          <w:rFonts w:ascii="Times New Roman" w:hAnsi="Times New Roman" w:cs="Arial"/>
          <w:color w:val="000000"/>
          <w:sz w:val="24"/>
          <w:szCs w:val="24"/>
        </w:rPr>
      </w:pPr>
      <w:r>
        <w:rPr>
          <w:rFonts w:ascii="Times New Roman" w:hAnsi="Times New Roman" w:cs="Arial"/>
          <w:color w:val="000000"/>
          <w:sz w:val="24"/>
          <w:szCs w:val="24"/>
        </w:rPr>
        <w:t xml:space="preserve">SANTOS, Boaventura de Sousa. </w:t>
      </w:r>
      <w:r>
        <w:rPr>
          <w:rFonts w:ascii="Times New Roman" w:hAnsi="Times New Roman" w:cs="Arial"/>
          <w:b/>
          <w:bCs/>
          <w:color w:val="000000"/>
          <w:sz w:val="24"/>
          <w:szCs w:val="24"/>
        </w:rPr>
        <w:t>Para além do Pens</w:t>
      </w:r>
      <w:r>
        <w:rPr>
          <w:rFonts w:ascii="Times New Roman" w:hAnsi="Times New Roman" w:cs="Arial"/>
          <w:b/>
          <w:bCs/>
          <w:color w:val="000000"/>
          <w:sz w:val="24"/>
          <w:szCs w:val="24"/>
        </w:rPr>
        <w:t xml:space="preserve">amento Abissal: Das linhas globais a uma ecologia de saberes. </w:t>
      </w:r>
      <w:r>
        <w:rPr>
          <w:rFonts w:ascii="Times New Roman" w:hAnsi="Times New Roman" w:cs="Arial"/>
          <w:color w:val="000000"/>
          <w:sz w:val="24"/>
          <w:szCs w:val="24"/>
        </w:rPr>
        <w:t>Revista Crítica de Ciências Sociais, 78, 2007, 3-46.</w:t>
      </w:r>
    </w:p>
    <w:p w14:paraId="36B39980" w14:textId="77777777" w:rsidR="00642F83" w:rsidRDefault="00642F83">
      <w:pPr>
        <w:widowControl w:val="0"/>
        <w:tabs>
          <w:tab w:val="left" w:pos="51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fr-FR"/>
        </w:rPr>
      </w:pPr>
    </w:p>
    <w:p w14:paraId="23149F84" w14:textId="77777777" w:rsidR="00642F83" w:rsidRDefault="0067671C">
      <w:pPr>
        <w:widowControl w:val="0"/>
        <w:spacing w:after="0" w:line="240" w:lineRule="auto"/>
        <w:jc w:val="both"/>
      </w:pPr>
      <w:r>
        <w:rPr>
          <w:rStyle w:val="Fontepargpadro"/>
          <w:rFonts w:ascii="Times New Roman" w:hAnsi="Times New Roman"/>
          <w:sz w:val="24"/>
          <w:szCs w:val="24"/>
          <w:lang w:val="fr-FR"/>
        </w:rPr>
        <w:t>WARD, Tara. T</w:t>
      </w:r>
      <w:r>
        <w:rPr>
          <w:rStyle w:val="Fontepargpadro"/>
          <w:rFonts w:ascii="Times New Roman" w:hAnsi="Times New Roman"/>
          <w:b/>
          <w:bCs/>
          <w:sz w:val="24"/>
          <w:szCs w:val="24"/>
          <w:lang w:val="fr-FR"/>
        </w:rPr>
        <w:t>he Right to Free, Prior, and Informed Consent: Indigenous Peoples’ Participation Rights within International Law Recommended Ci</w:t>
      </w:r>
      <w:r>
        <w:rPr>
          <w:rStyle w:val="Fontepargpadro"/>
          <w:rFonts w:ascii="Times New Roman" w:hAnsi="Times New Roman"/>
          <w:b/>
          <w:bCs/>
          <w:sz w:val="24"/>
          <w:szCs w:val="24"/>
          <w:lang w:val="fr-FR"/>
        </w:rPr>
        <w:t xml:space="preserve">tation The Right to Free, Prior, and Informed Consent: Indigenous Peoples’ Participation Rights within International Law. </w:t>
      </w:r>
      <w:r>
        <w:rPr>
          <w:rStyle w:val="Fontepargpadro"/>
          <w:rFonts w:ascii="Times New Roman" w:hAnsi="Times New Roman"/>
          <w:sz w:val="24"/>
          <w:szCs w:val="24"/>
        </w:rPr>
        <w:t>Northwestern Journal of International Human Rights, v. 10, n. 2, 2011. Consultado em 29 de julho de 2019. Disponível em: &lt;http://schol</w:t>
      </w:r>
      <w:r>
        <w:rPr>
          <w:rStyle w:val="Fontepargpadro"/>
          <w:rFonts w:ascii="Times New Roman" w:hAnsi="Times New Roman"/>
          <w:sz w:val="24"/>
          <w:szCs w:val="24"/>
        </w:rPr>
        <w:t>arlycommons.law.northwestern.edu/njihr/vol10/iss2/2&gt;.</w:t>
      </w:r>
    </w:p>
    <w:p w14:paraId="69384086" w14:textId="77777777" w:rsidR="00642F83" w:rsidRDefault="00642F83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E105003" w14:textId="77777777" w:rsidR="00642F83" w:rsidRDefault="0067671C">
      <w:pPr>
        <w:widowControl w:val="0"/>
        <w:spacing w:after="0" w:line="240" w:lineRule="auto"/>
        <w:jc w:val="both"/>
      </w:pPr>
      <w:bookmarkStart w:id="0" w:name="MendeleyTempCursorBookmark"/>
      <w:bookmarkEnd w:id="0"/>
      <w:r>
        <w:rPr>
          <w:rStyle w:val="Fontepargpadro"/>
          <w:rFonts w:ascii="Times New Roman" w:hAnsi="Times New Roman" w:cs="Times New Roman"/>
          <w:sz w:val="24"/>
          <w:szCs w:val="24"/>
          <w:lang w:val="fr-FR"/>
        </w:rPr>
        <w:t>YUPSANIS, Athanasios. I</w:t>
      </w:r>
      <w:r>
        <w:rPr>
          <w:rStyle w:val="Fontepargpadro"/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LO convention no. 169 concerning indigenous and tribal peoples in independent countries 1989-2009: An overview. </w:t>
      </w:r>
      <w:r>
        <w:rPr>
          <w:rStyle w:val="Fontepargpadro"/>
          <w:rFonts w:ascii="Times New Roman" w:hAnsi="Times New Roman" w:cs="Times New Roman"/>
          <w:sz w:val="24"/>
          <w:szCs w:val="24"/>
          <w:lang w:val="fr-FR"/>
        </w:rPr>
        <w:t>Nordic Journal of International Law, v. 79, n. 3, p. 433–456, 2010.</w:t>
      </w:r>
    </w:p>
    <w:p w14:paraId="42DA5C2E" w14:textId="77777777" w:rsidR="00642F83" w:rsidRDefault="00642F83">
      <w:pPr>
        <w:widowControl w:val="0"/>
        <w:spacing w:after="0" w:line="240" w:lineRule="auto"/>
        <w:ind w:right="-330"/>
        <w:jc w:val="both"/>
      </w:pPr>
    </w:p>
    <w:sectPr w:rsidR="00642F83">
      <w:headerReference w:type="default" r:id="rId7"/>
      <w:pgSz w:w="11906" w:h="16838"/>
      <w:pgMar w:top="1440" w:right="1440" w:bottom="1440" w:left="1440" w:header="708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C26A01" w14:textId="77777777" w:rsidR="0067671C" w:rsidRDefault="0067671C">
      <w:pPr>
        <w:spacing w:after="0" w:line="240" w:lineRule="auto"/>
      </w:pPr>
      <w:r>
        <w:separator/>
      </w:r>
    </w:p>
  </w:endnote>
  <w:endnote w:type="continuationSeparator" w:id="0">
    <w:p w14:paraId="203CCA09" w14:textId="77777777" w:rsidR="0067671C" w:rsidRDefault="006767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oldMT">
    <w:altName w:val="Arial"/>
    <w:charset w:val="00"/>
    <w:family w:val="roman"/>
    <w:pitch w:val="variable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B506A7" w14:textId="77777777" w:rsidR="0067671C" w:rsidRDefault="0067671C">
      <w:r>
        <w:separator/>
      </w:r>
    </w:p>
  </w:footnote>
  <w:footnote w:type="continuationSeparator" w:id="0">
    <w:p w14:paraId="4922A95D" w14:textId="77777777" w:rsidR="0067671C" w:rsidRDefault="0067671C">
      <w:r>
        <w:continuationSeparator/>
      </w:r>
    </w:p>
  </w:footnote>
  <w:footnote w:id="1">
    <w:p w14:paraId="3F79EDEF" w14:textId="77777777" w:rsidR="00642F83" w:rsidRDefault="0067671C">
      <w:pPr>
        <w:pStyle w:val="FootnoteText"/>
        <w:spacing w:after="0"/>
        <w:ind w:left="0" w:firstLine="0"/>
        <w:jc w:val="both"/>
      </w:pPr>
      <w:r>
        <w:rPr>
          <w:rStyle w:val="Caracteresdenotaderodap"/>
        </w:rPr>
        <w:footnoteRef/>
      </w:r>
      <w:r>
        <w:rPr>
          <w:rFonts w:ascii="Times New Roman" w:hAnsi="Times New Roman"/>
        </w:rPr>
        <w:t xml:space="preserve"> </w:t>
      </w:r>
      <w:r>
        <w:rPr>
          <w:rFonts w:ascii="Times" w:eastAsia="Cambria" w:hAnsi="Times" w:cs="Cambria"/>
        </w:rPr>
        <w:t xml:space="preserve">A terminologia adequada para os DPAs é conflituosa e usualmente reflete </w:t>
      </w:r>
      <w:r>
        <w:rPr>
          <w:rFonts w:ascii="Times" w:eastAsia="Cambria" w:hAnsi="Times" w:cs="Cambria"/>
        </w:rPr>
        <w:t>pré-concepções sobre a abrangência do direito, a exemplo do uso das expressões “consulta prévia”, “consulta prévia informada” e “consentimento prévio”, que se relacionam às condicionantes e à extensão da participação; e “povos tradicionais”, “povos indígen</w:t>
      </w:r>
      <w:r>
        <w:rPr>
          <w:rFonts w:ascii="Times" w:eastAsia="Cambria" w:hAnsi="Times" w:cs="Cambria"/>
        </w:rPr>
        <w:t>as”, “povos tribais” e “povos autóctones”, que se relacionam aos titulares do direito; adotar-se-á neste trabalho os termos “DPAs” e “povos tradicionais”, este último como disposto no art. 3º, inciso I, do Decreto 6.40/2007, que os define como “</w:t>
      </w:r>
      <w:r>
        <w:rPr>
          <w:rFonts w:ascii="Times" w:eastAsia="Cambria" w:hAnsi="Times" w:cs="Cambria"/>
        </w:rPr>
        <w:t>grupos cult</w:t>
      </w:r>
      <w:r>
        <w:rPr>
          <w:rFonts w:ascii="Times" w:eastAsia="Cambria" w:hAnsi="Times" w:cs="Cambria"/>
        </w:rPr>
        <w:t>uralmente diferenciados e que se reconhecem como tais, que possuem formas próprias de organização social, que ocupam e usam territórios e recursos naturais como condição para sua reprodução cultural, social, religiosa, ancestral e econômica, utilizando con</w:t>
      </w:r>
      <w:r>
        <w:rPr>
          <w:rFonts w:ascii="Times" w:eastAsia="Cambria" w:hAnsi="Times" w:cs="Cambria"/>
        </w:rPr>
        <w:t>hecimentos, inovações e práticas gerados e transmitidos pela tradição</w:t>
      </w:r>
      <w:r>
        <w:rPr>
          <w:rFonts w:ascii="Times" w:eastAsia="Cambria" w:hAnsi="Times" w:cs="Cambria"/>
        </w:rPr>
        <w:t>”.</w:t>
      </w:r>
    </w:p>
  </w:footnote>
  <w:footnote w:id="2">
    <w:p w14:paraId="43A9BCC5" w14:textId="77777777" w:rsidR="00642F83" w:rsidRDefault="0067671C">
      <w:pPr>
        <w:spacing w:after="0" w:line="240" w:lineRule="auto"/>
        <w:jc w:val="both"/>
      </w:pPr>
      <w:r>
        <w:rPr>
          <w:rStyle w:val="Caracteresdenotaderodap"/>
        </w:rPr>
        <w:footnoteRef/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" w:hAnsi="Times" w:cs="Times New Roman"/>
          <w:sz w:val="20"/>
          <w:szCs w:val="20"/>
        </w:rPr>
        <w:t>Os Princípios 10 e 17 da Declaração do Rio sobre Meio Ambiente e Desenvolvimento já estabeleciam, respectivamente, a necessidade de garantir-se a participação de todos os cidadãos in</w:t>
      </w:r>
      <w:r>
        <w:rPr>
          <w:rFonts w:ascii="Times" w:hAnsi="Times" w:cs="Times New Roman"/>
          <w:sz w:val="20"/>
          <w:szCs w:val="20"/>
        </w:rPr>
        <w:t>teressados em questões ambientais, bem como seu direito à informação e ao acesso a mecanismos judiciais e administrativos; e que a avaliação do impacto ambiental, como instrumento nacional, será efetuada para as atividades planejadas que possam vir a ter u</w:t>
      </w:r>
      <w:r>
        <w:rPr>
          <w:rFonts w:ascii="Times" w:hAnsi="Times" w:cs="Times New Roman"/>
          <w:sz w:val="20"/>
          <w:szCs w:val="20"/>
        </w:rPr>
        <w:t>m impacto adverso significativo sobre o meio ambiente e estejam sujeitas à decisão de uma autoridade nacional competente</w:t>
      </w:r>
      <w:r>
        <w:rPr>
          <w:rFonts w:ascii="Times" w:hAnsi="Times"/>
          <w:sz w:val="20"/>
          <w:szCs w:val="20"/>
        </w:rPr>
        <w:t>.</w:t>
      </w:r>
    </w:p>
  </w:footnote>
  <w:footnote w:id="3">
    <w:p w14:paraId="61BBAE53" w14:textId="77777777" w:rsidR="00642F83" w:rsidRDefault="0067671C">
      <w:pPr>
        <w:pStyle w:val="FootnoteText"/>
        <w:spacing w:after="0"/>
        <w:ind w:left="0" w:firstLine="0"/>
        <w:jc w:val="both"/>
      </w:pPr>
      <w:r>
        <w:rPr>
          <w:rStyle w:val="Caracteresdenotaderodap"/>
        </w:rPr>
        <w:footnoteRef/>
      </w:r>
      <w:r>
        <w:rPr>
          <w:rFonts w:ascii="Times" w:hAnsi="Times" w:cs="Times New Roman"/>
        </w:rPr>
        <w:t xml:space="preserve"> Destacam-se a Agenda 21 (capítulos 23 a 40), o Plano de Ação da Cúpula Mundial sobre Desenvolvimento Sustentável de </w:t>
      </w:r>
      <w:r>
        <w:rPr>
          <w:rFonts w:ascii="Times" w:hAnsi="Times" w:cs="Times New Roman"/>
        </w:rPr>
        <w:t>Joanesburgo (Rio + 10 – parágrafo 146), as Diretrizes de Bali de 2010, a Declaração final da Rio + 20 (“O Futuro que queremos” - parágrafos 42 e seguintes), a Declaração sobre a Aplicação do Princípio 10 da  Declaração do Rio sobre Meio Ambiente e Desenvol</w:t>
      </w:r>
      <w:r>
        <w:rPr>
          <w:rFonts w:ascii="Times" w:hAnsi="Times" w:cs="Times New Roman"/>
        </w:rPr>
        <w:t>vimento, de 2012</w:t>
      </w:r>
    </w:p>
  </w:footnote>
  <w:footnote w:id="4">
    <w:p w14:paraId="781BA168" w14:textId="77777777" w:rsidR="00642F83" w:rsidRDefault="0067671C">
      <w:pPr>
        <w:pStyle w:val="FootnoteText"/>
        <w:spacing w:after="0"/>
        <w:ind w:left="0" w:firstLine="0"/>
        <w:jc w:val="both"/>
      </w:pPr>
      <w:r>
        <w:rPr>
          <w:rStyle w:val="Caracteresdenotaderodap"/>
        </w:rPr>
        <w:footnoteRef/>
      </w:r>
      <w:r>
        <w:rPr>
          <w:rFonts w:ascii="Times" w:hAnsi="Times" w:cs="Times New Roman"/>
        </w:rPr>
        <w:t xml:space="preserve"> Cite-se, por exemplo, a Convenção sobre Diversidade Biológica (art. 14), da Convenção de Estocolmo sobre Poluentes Orgânicos Persistentes (art. 10)  e do Acordo de Paris (art. 12).</w:t>
      </w:r>
    </w:p>
  </w:footnote>
  <w:footnote w:id="5">
    <w:p w14:paraId="570C0B44" w14:textId="77777777" w:rsidR="00642F83" w:rsidRDefault="0067671C">
      <w:pPr>
        <w:pStyle w:val="FootnoteText"/>
        <w:spacing w:after="0"/>
        <w:ind w:left="0" w:firstLine="0"/>
        <w:jc w:val="both"/>
      </w:pPr>
      <w:r>
        <w:rPr>
          <w:rStyle w:val="Caracteresdenotaderodap"/>
        </w:rPr>
        <w:footnoteRef/>
      </w:r>
      <w:r>
        <w:rPr>
          <w:rFonts w:ascii="Times" w:hAnsi="Times" w:cs="Times New Roman"/>
        </w:rPr>
        <w:t xml:space="preserve"> Reconhece a Convenção, notadamente, o direito à partic</w:t>
      </w:r>
      <w:r>
        <w:rPr>
          <w:rFonts w:ascii="Times" w:hAnsi="Times" w:cs="Times New Roman"/>
        </w:rPr>
        <w:t xml:space="preserve">ipação do público em decisões sobre atividades de impacto ambiental significativo (art. 6º), e de acesso à Justiça em matéria de informação (art. 9º). </w:t>
      </w:r>
    </w:p>
  </w:footnote>
  <w:footnote w:id="6">
    <w:p w14:paraId="04190C8B" w14:textId="77777777" w:rsidR="00642F83" w:rsidRDefault="0067671C">
      <w:pPr>
        <w:pStyle w:val="FootnoteText"/>
        <w:spacing w:after="0"/>
        <w:ind w:left="0" w:firstLine="0"/>
        <w:jc w:val="both"/>
      </w:pPr>
      <w:r>
        <w:rPr>
          <w:rStyle w:val="Caracteresdenotaderodap"/>
        </w:rPr>
        <w:footnoteRef/>
      </w:r>
      <w:r>
        <w:rPr>
          <w:rFonts w:ascii="Times" w:hAnsi="Times" w:cs="Times New Roman"/>
        </w:rPr>
        <w:t xml:space="preserve"> É reconhecido explicitamente o dever de garantir mecanismos de participação do público nos processos d</w:t>
      </w:r>
      <w:r>
        <w:rPr>
          <w:rFonts w:ascii="Times" w:hAnsi="Times" w:cs="Times New Roman"/>
        </w:rPr>
        <w:t>e tomada de decisões, revisões, reexames ou atualizações relativos a projetos e atividades que tenham ou possam ter impacto significativo sobre o meio ambiente (art. 7º, parágrafo 2), com identificação e apoio especial a grupos vulneráveis (parágrafo 14) e</w:t>
      </w:r>
      <w:r>
        <w:rPr>
          <w:rFonts w:ascii="Times" w:hAnsi="Times" w:cs="Times New Roman"/>
        </w:rPr>
        <w:t xml:space="preserve"> respeito às obrigações internacionais relativas aos direitos dos povos indígenas e comunidades locais (parágrafo 15), bem como o direito de acesso à justiça em questões ambientais (art. 8º). </w:t>
      </w:r>
      <w:r>
        <w:rPr>
          <w:rFonts w:ascii="Times" w:hAnsi="Times" w:cs="Times New Roman"/>
        </w:rPr>
        <w:t>No marco deste último exige-se a garantia de acesso à Justiça de</w:t>
      </w:r>
      <w:r>
        <w:rPr>
          <w:rFonts w:ascii="Times" w:hAnsi="Times" w:cs="Times New Roman"/>
        </w:rPr>
        <w:t xml:space="preserve"> forma ampla em matérias ambientais, incluindo-se, consoante as circunstâncias de cada parte, órgãos estatais com conhecimento especializado; procedimentos efetivos, oportunos, públicos, transparentes, imparciais e sem custos proibitivos; disposição de med</w:t>
      </w:r>
      <w:r>
        <w:rPr>
          <w:rFonts w:ascii="Times" w:hAnsi="Times" w:cs="Times New Roman"/>
        </w:rPr>
        <w:t xml:space="preserve">idas cautelares e provisórias; com facilitação da produção da prova; e mecanismos de execução e cumprimento oportuno das decisões judiciais. </w:t>
      </w:r>
    </w:p>
  </w:footnote>
  <w:footnote w:id="7">
    <w:p w14:paraId="5002E5FF" w14:textId="77777777" w:rsidR="00642F83" w:rsidRDefault="0067671C">
      <w:pPr>
        <w:pStyle w:val="FootnoteText"/>
        <w:spacing w:after="0"/>
        <w:ind w:left="0" w:firstLine="0"/>
        <w:jc w:val="both"/>
      </w:pPr>
      <w:r>
        <w:rPr>
          <w:rStyle w:val="Caracteresdenotaderodap"/>
        </w:rPr>
        <w:footnoteRef/>
      </w:r>
      <w:r>
        <w:rPr>
          <w:rFonts w:ascii="Times New Roman" w:hAnsi="Times New Roman"/>
        </w:rPr>
        <w:t xml:space="preserve"> </w:t>
      </w:r>
      <w:r>
        <w:rPr>
          <w:rFonts w:ascii="Times" w:hAnsi="Times" w:cs="Times New Roman"/>
        </w:rPr>
        <w:t>Nesse sentido a interpretação conferida pela Corte Europeia de Direitos Humanos aos arts. 6º, 8º  de sua Convenç</w:t>
      </w:r>
      <w:r>
        <w:rPr>
          <w:rFonts w:ascii="Times" w:hAnsi="Times" w:cs="Times New Roman"/>
        </w:rPr>
        <w:t>ão nos Casos Zander vs. Suécia, Taskin et al. vs. Turquia e Giacomelli vs. Itália; e a conferida pela Comissão Africana no Caso SERAC v. Nigéria aos arts. 16 e 24 da Carta Africana.</w:t>
      </w:r>
    </w:p>
  </w:footnote>
  <w:footnote w:id="8">
    <w:p w14:paraId="1A3E35A4" w14:textId="77777777" w:rsidR="00642F83" w:rsidRDefault="0067671C">
      <w:pPr>
        <w:pStyle w:val="FootnoteText"/>
        <w:spacing w:after="0"/>
        <w:ind w:left="0" w:firstLine="0"/>
      </w:pPr>
      <w:r>
        <w:rPr>
          <w:rStyle w:val="Caracteresdenotaderodap"/>
        </w:rPr>
        <w:footnoteRef/>
      </w:r>
      <w:r>
        <w:rPr>
          <w:rFonts w:ascii="Times" w:hAnsi="Times" w:cs="Times New Roman"/>
        </w:rPr>
        <w:t xml:space="preserve"> Nesse sentido, destacam-se, dentre outros, os casos Claude Reyes vs. Chi</w:t>
      </w:r>
      <w:r>
        <w:rPr>
          <w:rFonts w:ascii="Times" w:hAnsi="Times" w:cs="Times New Roman"/>
        </w:rPr>
        <w:t>le, Povo Indígena Kichwa de Sarayu vs. Ecuador, Povo Saramaka vs. Suriname, Comuidade Garífuna Triunfo de la Cruz e seus membros vs. Honduras.</w:t>
      </w:r>
    </w:p>
  </w:footnote>
  <w:footnote w:id="9">
    <w:p w14:paraId="5F9C8B6D" w14:textId="77777777" w:rsidR="00642F83" w:rsidRDefault="0067671C">
      <w:pPr>
        <w:pStyle w:val="FootnoteText"/>
        <w:ind w:left="0" w:firstLine="0"/>
        <w:jc w:val="both"/>
      </w:pPr>
      <w:r>
        <w:rPr>
          <w:rStyle w:val="Caracteresdenotaderodap"/>
        </w:rPr>
        <w:footnoteRef/>
      </w:r>
      <w:r>
        <w:rPr>
          <w:rFonts w:ascii="Times New Roman" w:hAnsi="Times New Roman" w:cs="Times New Roman"/>
        </w:rPr>
        <w:t xml:space="preserve"> </w:t>
      </w:r>
      <w:r>
        <w:rPr>
          <w:rFonts w:ascii="Times" w:hAnsi="Times" w:cs="Times New Roman"/>
        </w:rPr>
        <w:t>Ratificada pelo Brasil em 2004, a Convenção garante, em seus arts. 6º, 7º e 15, os direitos de consulta aos pov</w:t>
      </w:r>
      <w:r>
        <w:rPr>
          <w:rFonts w:ascii="Times" w:hAnsi="Times" w:cs="Times New Roman"/>
        </w:rPr>
        <w:t xml:space="preserve">os tradicionais na hipótese de medidas legislativas ou administrativas suscetíveis de afetá-los, de escolher as suas prioridades no processo de desenvolvimento e de serem consultados antes de se empreender ou autorizar qualquer prospecção ou exploração de </w:t>
      </w:r>
      <w:r>
        <w:rPr>
          <w:rFonts w:ascii="Times" w:hAnsi="Times" w:cs="Times New Roman"/>
        </w:rPr>
        <w:t>recursos em suas terras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F55E95" w14:textId="77777777" w:rsidR="00642F83" w:rsidRDefault="0067671C">
    <w:pPr>
      <w:pStyle w:val="Header"/>
    </w:pPr>
    <w:r>
      <w:rPr>
        <w:noProof/>
      </w:rPr>
      <w:drawing>
        <wp:anchor distT="0" distB="5715" distL="114300" distR="114300" simplePos="0" relativeHeight="8" behindDoc="1" locked="0" layoutInCell="1" allowOverlap="1" wp14:anchorId="69AA842F" wp14:editId="4D9DF2D7">
          <wp:simplePos x="0" y="0"/>
          <wp:positionH relativeFrom="page">
            <wp:align>left</wp:align>
          </wp:positionH>
          <wp:positionV relativeFrom="paragraph">
            <wp:posOffset>-451485</wp:posOffset>
          </wp:positionV>
          <wp:extent cx="7560310" cy="1271270"/>
          <wp:effectExtent l="0" t="0" r="0" b="0"/>
          <wp:wrapNone/>
          <wp:docPr id="1" name="Imagem 1" descr="Uma imagem contendo 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Uma imagem contendo Text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88133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271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>‘</w:t>
    </w:r>
  </w:p>
  <w:p w14:paraId="483A1CF8" w14:textId="77777777" w:rsidR="00642F83" w:rsidRDefault="00642F83">
    <w:pPr>
      <w:pStyle w:val="Header"/>
    </w:pPr>
  </w:p>
  <w:p w14:paraId="787641B0" w14:textId="77777777" w:rsidR="00642F83" w:rsidRDefault="00642F83">
    <w:pPr>
      <w:pStyle w:val="Header"/>
    </w:pPr>
  </w:p>
  <w:p w14:paraId="6BC2F6D8" w14:textId="77777777" w:rsidR="00642F83" w:rsidRDefault="00642F83">
    <w:pPr>
      <w:pStyle w:val="Header"/>
    </w:pPr>
  </w:p>
  <w:p w14:paraId="3184AAB1" w14:textId="77777777" w:rsidR="00642F83" w:rsidRDefault="00642F8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F83"/>
    <w:rsid w:val="00642F83"/>
    <w:rsid w:val="0067671C"/>
    <w:rsid w:val="00771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BD5175"/>
  <w15:docId w15:val="{0CB45B62-87BD-4C45-A6C5-560E15333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646E7E"/>
    <w:rPr>
      <w:rFonts w:ascii="Segoe UI" w:hAnsi="Segoe UI" w:cs="Segoe UI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646E7E"/>
  </w:style>
  <w:style w:type="character" w:customStyle="1" w:styleId="FooterChar">
    <w:name w:val="Footer Char"/>
    <w:basedOn w:val="DefaultParagraphFont"/>
    <w:link w:val="Footer"/>
    <w:uiPriority w:val="99"/>
    <w:qFormat/>
    <w:rsid w:val="00646E7E"/>
  </w:style>
  <w:style w:type="character" w:styleId="CommentReference">
    <w:name w:val="annotation reference"/>
    <w:basedOn w:val="DefaultParagraphFont"/>
    <w:uiPriority w:val="99"/>
    <w:semiHidden/>
    <w:unhideWhenUsed/>
    <w:qFormat/>
    <w:rsid w:val="00844166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rsid w:val="00844166"/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sid w:val="00844166"/>
    <w:rPr>
      <w:b/>
      <w:bCs/>
      <w:sz w:val="20"/>
      <w:szCs w:val="20"/>
    </w:rPr>
  </w:style>
  <w:style w:type="character" w:customStyle="1" w:styleId="LinkdaInternet">
    <w:name w:val="Link da Internet"/>
    <w:basedOn w:val="DefaultParagraphFont"/>
    <w:uiPriority w:val="99"/>
    <w:unhideWhenUsed/>
    <w:rsid w:val="00E14A8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E14A86"/>
    <w:rPr>
      <w:color w:val="605E5C"/>
      <w:shd w:val="clear" w:color="auto" w:fill="E1DFDD"/>
    </w:rPr>
  </w:style>
  <w:style w:type="character" w:customStyle="1" w:styleId="Caracteresdenotaderodap">
    <w:name w:val="Caracteres de nota de rodapé"/>
    <w:qFormat/>
  </w:style>
  <w:style w:type="character" w:customStyle="1" w:styleId="ncoradanotaderodap">
    <w:name w:val="Âncora da nota de rodapé"/>
    <w:rPr>
      <w:vertAlign w:val="superscript"/>
    </w:rPr>
  </w:style>
  <w:style w:type="character" w:customStyle="1" w:styleId="Linkdainternetvisitado">
    <w:name w:val="Link da internet visitado"/>
    <w:rPr>
      <w:color w:val="800000"/>
      <w:u w:val="single"/>
      <w:lang/>
    </w:rPr>
  </w:style>
  <w:style w:type="character" w:customStyle="1" w:styleId="ncoradanotadefim">
    <w:name w:val="Âncora da nota de fim"/>
    <w:rPr>
      <w:vertAlign w:val="superscript"/>
    </w:rPr>
  </w:style>
  <w:style w:type="character" w:customStyle="1" w:styleId="Caracteresdenotadefim">
    <w:name w:val="Caracteres de nota de fim"/>
    <w:qFormat/>
  </w:style>
  <w:style w:type="character" w:customStyle="1" w:styleId="Fontepargpadro">
    <w:name w:val="Fonte parág. padrão"/>
    <w:qFormat/>
  </w:style>
  <w:style w:type="character" w:customStyle="1" w:styleId="nfaseforte">
    <w:name w:val="Ênfase forte"/>
    <w:qFormat/>
    <w:rPr>
      <w:b/>
      <w:bCs/>
    </w:rPr>
  </w:style>
  <w:style w:type="paragraph" w:customStyle="1" w:styleId="Ttulo">
    <w:name w:val="Título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646E7E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46E7E"/>
    <w:pPr>
      <w:tabs>
        <w:tab w:val="center" w:pos="4513"/>
        <w:tab w:val="right" w:pos="9026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646E7E"/>
    <w:pPr>
      <w:tabs>
        <w:tab w:val="center" w:pos="4513"/>
        <w:tab w:val="right" w:pos="9026"/>
      </w:tabs>
      <w:spacing w:after="0" w:line="240" w:lineRule="auto"/>
    </w:p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844166"/>
    <w:pPr>
      <w:spacing w:line="240" w:lineRule="auto"/>
    </w:pPr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sid w:val="00844166"/>
    <w:rPr>
      <w:b/>
      <w:bCs/>
    </w:rPr>
  </w:style>
  <w:style w:type="paragraph" w:styleId="FootnoteText">
    <w:name w:val="footnote text"/>
    <w:basedOn w:val="Normal"/>
    <w:pPr>
      <w:suppressLineNumbers/>
      <w:ind w:left="339" w:hanging="339"/>
    </w:pPr>
    <w:rPr>
      <w:sz w:val="20"/>
      <w:szCs w:val="20"/>
    </w:rPr>
  </w:style>
  <w:style w:type="paragraph" w:customStyle="1" w:styleId="Contedodatabela">
    <w:name w:val="Conteúdo da tabela"/>
    <w:basedOn w:val="Normal"/>
    <w:qFormat/>
    <w:pPr>
      <w:suppressLineNumbers/>
      <w:suppressAutoHyphens/>
    </w:pPr>
  </w:style>
  <w:style w:type="paragraph" w:customStyle="1" w:styleId="Recuodecorpodetexto3">
    <w:name w:val="Recuo de corpo de texto 3"/>
    <w:basedOn w:val="Normal"/>
    <w:qFormat/>
    <w:pPr>
      <w:suppressAutoHyphens/>
      <w:spacing w:line="360" w:lineRule="auto"/>
      <w:ind w:left="360"/>
      <w:jc w:val="both"/>
    </w:pPr>
    <w:rPr>
      <w:rFonts w:ascii="Arial-BoldMT" w:eastAsia="Arial-BoldMT" w:hAnsi="Arial-BoldMT" w:cs="Arial-Bold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2C28BB-1325-46C9-8D31-59D2BC5A8A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2028</Words>
  <Characters>11155</Characters>
  <Application>Microsoft Office Word</Application>
  <DocSecurity>0</DocSecurity>
  <Lines>92</Lines>
  <Paragraphs>26</Paragraphs>
  <ScaleCrop>false</ScaleCrop>
  <Company/>
  <LinksUpToDate>false</LinksUpToDate>
  <CharactersWithSpaces>13157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Marcelo Andrade de Azambuja</dc:creator>
  <dc:description/>
  <cp:lastModifiedBy>Amanda Reis</cp:lastModifiedBy>
  <cp:revision>31</cp:revision>
  <cp:lastPrinted>2020-10-10T20:41:00Z</cp:lastPrinted>
  <dcterms:created xsi:type="dcterms:W3CDTF">2020-10-26T18:12:00Z</dcterms:created>
  <dcterms:modified xsi:type="dcterms:W3CDTF">2020-11-17T19:36:00Z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