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D792E" w14:textId="77777777" w:rsidR="00CD14CA" w:rsidRPr="005F70B0" w:rsidRDefault="00CD14CA" w:rsidP="00E3782C">
      <w:pPr>
        <w:pStyle w:val="Corpodetexto"/>
        <w:spacing w:before="1"/>
        <w:jc w:val="center"/>
        <w:rPr>
          <w:sz w:val="24"/>
          <w:szCs w:val="24"/>
        </w:rPr>
      </w:pPr>
    </w:p>
    <w:p w14:paraId="657BC457" w14:textId="4F882C3E" w:rsidR="00E3782C" w:rsidRPr="00CD2BA0" w:rsidRDefault="00CD14CA" w:rsidP="00CD2BA0">
      <w:pPr>
        <w:jc w:val="center"/>
        <w:rPr>
          <w:b/>
          <w:bCs/>
          <w:sz w:val="32"/>
          <w:szCs w:val="32"/>
        </w:rPr>
      </w:pPr>
      <w:r w:rsidRPr="00CD14CA">
        <w:rPr>
          <w:b/>
          <w:bCs/>
          <w:sz w:val="32"/>
          <w:szCs w:val="32"/>
        </w:rPr>
        <w:t>Integração de suscetibilidade à inundação e dados censitários na estimativa da população urbana vulnerável em Blumenau (SC)</w:t>
      </w:r>
      <w:r>
        <w:rPr>
          <w:b/>
          <w:bCs/>
          <w:sz w:val="32"/>
          <w:szCs w:val="32"/>
        </w:rPr>
        <w:t>.</w:t>
      </w:r>
    </w:p>
    <w:p w14:paraId="58281A71" w14:textId="5FFFE344" w:rsidR="00E3782C" w:rsidRPr="005F70B0" w:rsidRDefault="00E3782C" w:rsidP="00CD14CA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bookmarkStart w:id="0" w:name="1Primeiro_Autor_com_nome_completo,_2Segu"/>
      <w:bookmarkEnd w:id="0"/>
      <w:r w:rsidRPr="005F70B0">
        <w:rPr>
          <w:sz w:val="24"/>
          <w:szCs w:val="24"/>
          <w:vertAlign w:val="superscript"/>
        </w:rPr>
        <w:t>1</w:t>
      </w:r>
      <w:r w:rsidR="00CD14CA">
        <w:rPr>
          <w:sz w:val="24"/>
          <w:szCs w:val="24"/>
        </w:rPr>
        <w:t>André Luiz Mendes Vilela</w:t>
      </w:r>
      <w:r w:rsidRPr="005F70B0">
        <w:rPr>
          <w:sz w:val="24"/>
          <w:szCs w:val="24"/>
        </w:rPr>
        <w:t>,</w:t>
      </w:r>
      <w:r w:rsidRPr="005F70B0">
        <w:rPr>
          <w:spacing w:val="-2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2</w:t>
      </w:r>
      <w:r w:rsidRPr="005F70B0">
        <w:rPr>
          <w:sz w:val="24"/>
          <w:szCs w:val="24"/>
        </w:rPr>
        <w:t>N</w:t>
      </w:r>
      <w:r w:rsidR="00CD14CA">
        <w:rPr>
          <w:sz w:val="24"/>
          <w:szCs w:val="24"/>
        </w:rPr>
        <w:t>ívea Adriana Dias Pons</w:t>
      </w:r>
      <w:r w:rsidRPr="005F70B0">
        <w:rPr>
          <w:sz w:val="24"/>
          <w:szCs w:val="24"/>
        </w:rPr>
        <w:t>,</w:t>
      </w:r>
      <w:r w:rsidRPr="005F70B0">
        <w:rPr>
          <w:spacing w:val="-3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3</w:t>
      </w:r>
      <w:r w:rsidR="00CD14CA">
        <w:rPr>
          <w:sz w:val="24"/>
          <w:szCs w:val="24"/>
        </w:rPr>
        <w:t xml:space="preserve">Benedito Cláudio da Silva, </w:t>
      </w:r>
      <w:r w:rsidR="00CD14CA" w:rsidRPr="00CD14CA">
        <w:rPr>
          <w:sz w:val="24"/>
          <w:szCs w:val="24"/>
          <w:vertAlign w:val="superscript"/>
        </w:rPr>
        <w:t>4</w:t>
      </w:r>
      <w:r w:rsidR="00CD14CA">
        <w:rPr>
          <w:sz w:val="24"/>
          <w:szCs w:val="24"/>
        </w:rPr>
        <w:t>Alex Bley Hossu</w:t>
      </w:r>
    </w:p>
    <w:p w14:paraId="158B3CEA" w14:textId="27135B4C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r w:rsidRPr="005F70B0">
        <w:rPr>
          <w:i/>
          <w:sz w:val="24"/>
          <w:szCs w:val="24"/>
          <w:vertAlign w:val="superscript"/>
        </w:rPr>
        <w:t>1</w:t>
      </w:r>
      <w:r w:rsidR="00696CCE">
        <w:rPr>
          <w:i/>
          <w:sz w:val="24"/>
          <w:szCs w:val="24"/>
        </w:rPr>
        <w:t>Mestre pela Universidade Federal de Itajubá</w:t>
      </w:r>
      <w:r w:rsidRPr="005F70B0">
        <w:rPr>
          <w:i/>
          <w:sz w:val="24"/>
          <w:szCs w:val="24"/>
        </w:rPr>
        <w:t>, e-mail:</w:t>
      </w:r>
      <w:r w:rsidRPr="005F70B0">
        <w:rPr>
          <w:i/>
          <w:spacing w:val="-4"/>
          <w:sz w:val="24"/>
          <w:szCs w:val="24"/>
        </w:rPr>
        <w:t xml:space="preserve"> </w:t>
      </w:r>
      <w:r w:rsidR="00696CCE">
        <w:rPr>
          <w:i/>
          <w:sz w:val="24"/>
          <w:szCs w:val="24"/>
        </w:rPr>
        <w:t>almendesvilela@gmail.com</w:t>
      </w:r>
      <w:r w:rsidRPr="005F70B0">
        <w:rPr>
          <w:i/>
          <w:sz w:val="24"/>
          <w:szCs w:val="24"/>
        </w:rPr>
        <w:t>;</w:t>
      </w:r>
      <w:r w:rsidRPr="005F70B0">
        <w:rPr>
          <w:i/>
          <w:spacing w:val="-3"/>
          <w:sz w:val="24"/>
          <w:szCs w:val="24"/>
        </w:rPr>
        <w:t xml:space="preserve"> </w:t>
      </w:r>
      <w:r w:rsidRPr="005F70B0">
        <w:rPr>
          <w:i/>
          <w:sz w:val="24"/>
          <w:szCs w:val="24"/>
          <w:vertAlign w:val="superscript"/>
        </w:rPr>
        <w:t>2</w:t>
      </w:r>
      <w:r w:rsidR="00696CCE">
        <w:rPr>
          <w:i/>
          <w:sz w:val="24"/>
          <w:szCs w:val="24"/>
        </w:rPr>
        <w:t>Professora Doutora na Universidade Federal de Itajubá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Pr="005F70B0">
        <w:rPr>
          <w:i/>
          <w:sz w:val="24"/>
          <w:szCs w:val="24"/>
        </w:rPr>
        <w:t>e-mail:</w:t>
      </w:r>
      <w:r w:rsidR="00696CCE">
        <w:rPr>
          <w:i/>
          <w:sz w:val="24"/>
          <w:szCs w:val="24"/>
        </w:rPr>
        <w:t>npons@unifei.edu.br</w:t>
      </w:r>
      <w:r w:rsidRPr="005F70B0">
        <w:rPr>
          <w:i/>
          <w:sz w:val="24"/>
          <w:szCs w:val="24"/>
        </w:rPr>
        <w:t>;</w:t>
      </w:r>
      <w:r w:rsidRPr="005F70B0">
        <w:rPr>
          <w:i/>
          <w:spacing w:val="-3"/>
          <w:sz w:val="24"/>
          <w:szCs w:val="24"/>
        </w:rPr>
        <w:t xml:space="preserve"> </w:t>
      </w:r>
      <w:r w:rsidRPr="005F70B0">
        <w:rPr>
          <w:i/>
          <w:sz w:val="24"/>
          <w:szCs w:val="24"/>
          <w:vertAlign w:val="superscript"/>
        </w:rPr>
        <w:t>3</w:t>
      </w:r>
      <w:r w:rsidR="00696CCE">
        <w:rPr>
          <w:i/>
          <w:sz w:val="24"/>
          <w:szCs w:val="24"/>
        </w:rPr>
        <w:t xml:space="preserve">Professor Doutor na Universidade Federal de Itajubá, </w:t>
      </w:r>
      <w:r w:rsidRPr="005F70B0">
        <w:rPr>
          <w:i/>
          <w:sz w:val="24"/>
          <w:szCs w:val="24"/>
        </w:rPr>
        <w:t>e-mail:</w:t>
      </w:r>
      <w:r w:rsidRPr="005F70B0">
        <w:rPr>
          <w:i/>
          <w:spacing w:val="-3"/>
          <w:sz w:val="24"/>
          <w:szCs w:val="24"/>
        </w:rPr>
        <w:t xml:space="preserve"> </w:t>
      </w:r>
      <w:r w:rsidR="00696CCE">
        <w:rPr>
          <w:i/>
          <w:spacing w:val="-2"/>
          <w:sz w:val="24"/>
          <w:szCs w:val="24"/>
        </w:rPr>
        <w:t xml:space="preserve">silvabenedito@unifei.edu,br; </w:t>
      </w:r>
      <w:r w:rsidR="00696CCE" w:rsidRPr="00696CCE">
        <w:rPr>
          <w:i/>
          <w:spacing w:val="-2"/>
          <w:sz w:val="24"/>
          <w:szCs w:val="24"/>
          <w:vertAlign w:val="superscript"/>
        </w:rPr>
        <w:t>4</w:t>
      </w:r>
      <w:r w:rsidR="00696CCE">
        <w:rPr>
          <w:i/>
          <w:spacing w:val="-2"/>
          <w:sz w:val="24"/>
          <w:szCs w:val="24"/>
        </w:rPr>
        <w:t>Aluno de mestrado na Universidade Federal de Itajubá, e</w:t>
      </w:r>
      <w:r w:rsidR="007F1B27">
        <w:rPr>
          <w:i/>
          <w:spacing w:val="-2"/>
          <w:sz w:val="24"/>
          <w:szCs w:val="24"/>
        </w:rPr>
        <w:t>-</w:t>
      </w:r>
      <w:r w:rsidR="00696CCE">
        <w:rPr>
          <w:i/>
          <w:spacing w:val="-2"/>
          <w:sz w:val="24"/>
          <w:szCs w:val="24"/>
        </w:rPr>
        <w:t>mail: alexbhossu2@unifei.edu.br</w:t>
      </w:r>
    </w:p>
    <w:p w14:paraId="19ACAB03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0934E393" w14:textId="77777777" w:rsidR="00343CAF" w:rsidRDefault="004A1472" w:rsidP="00343CAF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Grupo temático:</w:t>
      </w:r>
      <w:r w:rsidR="00343CAF">
        <w:rPr>
          <w:b/>
          <w:bCs/>
          <w:i/>
          <w:spacing w:val="-2"/>
          <w:sz w:val="24"/>
          <w:szCs w:val="24"/>
        </w:rPr>
        <w:t xml:space="preserve"> Ambiente e clima. </w:t>
      </w:r>
    </w:p>
    <w:p w14:paraId="1ADFF788" w14:textId="26759DD6" w:rsidR="00E3782C" w:rsidRPr="005F70B0" w:rsidRDefault="00343CAF" w:rsidP="00343CAF">
      <w:pPr>
        <w:spacing w:line="228" w:lineRule="exact"/>
        <w:ind w:left="77" w:right="209"/>
        <w:jc w:val="right"/>
        <w:rPr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Eixo: Gestão de riscos climáticos</w:t>
      </w:r>
      <w:r w:rsidR="004A1472">
        <w:rPr>
          <w:b/>
          <w:bCs/>
          <w:i/>
          <w:spacing w:val="-2"/>
          <w:sz w:val="24"/>
          <w:szCs w:val="24"/>
        </w:rPr>
        <w:t xml:space="preserve"> </w:t>
      </w:r>
    </w:p>
    <w:p w14:paraId="6445BA74" w14:textId="77777777" w:rsidR="008B6367" w:rsidRDefault="008B6367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</w:p>
    <w:p w14:paraId="1D27D5CE" w14:textId="26A35D79" w:rsidR="00E3782C" w:rsidRPr="005F70B0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5F70B0">
        <w:rPr>
          <w:b/>
          <w:bCs/>
          <w:iCs/>
          <w:sz w:val="28"/>
          <w:szCs w:val="28"/>
        </w:rPr>
        <w:t>Resumo</w:t>
      </w:r>
    </w:p>
    <w:p w14:paraId="1C41F88F" w14:textId="77777777" w:rsidR="00E3782C" w:rsidRPr="005F70B0" w:rsidRDefault="00E3782C" w:rsidP="00E3782C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29E94CAF" w14:textId="79F906B3" w:rsidR="00E3782C" w:rsidRPr="005F70B0" w:rsidRDefault="000E2809" w:rsidP="000E2809">
      <w:pPr>
        <w:ind w:right="209"/>
        <w:jc w:val="both"/>
        <w:rPr>
          <w:iCs/>
          <w:sz w:val="24"/>
          <w:szCs w:val="24"/>
        </w:rPr>
      </w:pPr>
      <w:r w:rsidRPr="000E2809">
        <w:rPr>
          <w:iCs/>
          <w:sz w:val="24"/>
          <w:szCs w:val="24"/>
        </w:rPr>
        <w:t>As inundações urbanas são um dos principais problemas socioambientais nas cidades brasileiras, intensificadas pela urbanização desenfreada e impermeabilização do solo. No município de Blumenau, Santa Catarina, eventos recorrentes produzem impactos expressivos, exigindo ferramentas técnicas para quantificar a vulnerabilidade populacional associada. Nesse contexto, este estudo teve como objetivo estimar e mapear a população urbana vulnerável à inundação em Blumenau, considerando eventos com cota de até 5 metros. Para isso, a metodologia integrou, em ambiente de Sistema de Informação Geográfica (SIG), os dados do Censo IBGE (2022), a mancha de suscetibilidade à inundação e os limites da área urbana edificada da CPRM (2013). A população foi estimada por cálculos proporcionais baseados na interseção espacial das camadas. Os resultados indicaram uma população urbana vulnerável total de 65.732 pessoas, distribuída em 1.165 feições espaciais. A análise estatística descritiva revelou forte concentração espacial do risco, com distribuição assimétrica, mediana de sete pessoas e valores máximos de 865 por feição. A classificação temática destacou núcleos críticos ao longo do rio Itajaí-Açu. Conclui-se que a vulnerabilidade apresenta padrão espacial concentrado e desigual, reforçando a necessidade de políticas públicas direcionadas a áreas prioritárias para o planejamento urbano e a gestão do risco de desastres.</w:t>
      </w:r>
    </w:p>
    <w:p w14:paraId="762F9B08" w14:textId="77777777" w:rsidR="00E3782C" w:rsidRPr="005F70B0" w:rsidRDefault="00E3782C" w:rsidP="00E3782C">
      <w:pPr>
        <w:jc w:val="both"/>
        <w:rPr>
          <w:b/>
          <w:sz w:val="24"/>
          <w:szCs w:val="24"/>
        </w:rPr>
      </w:pPr>
    </w:p>
    <w:p w14:paraId="006243D2" w14:textId="4C16768D" w:rsidR="009C4B75" w:rsidRDefault="00E3782C" w:rsidP="009C4B75">
      <w:pPr>
        <w:jc w:val="both"/>
        <w:rPr>
          <w:spacing w:val="-2"/>
          <w:sz w:val="24"/>
          <w:szCs w:val="24"/>
        </w:rPr>
      </w:pPr>
      <w:r w:rsidRPr="005F70B0">
        <w:rPr>
          <w:b/>
          <w:sz w:val="24"/>
          <w:szCs w:val="24"/>
        </w:rPr>
        <w:t>Palavras-chave:</w:t>
      </w:r>
      <w:r w:rsidR="000E2809">
        <w:rPr>
          <w:b/>
          <w:spacing w:val="-2"/>
          <w:sz w:val="24"/>
          <w:szCs w:val="24"/>
        </w:rPr>
        <w:t xml:space="preserve"> </w:t>
      </w:r>
      <w:r w:rsidR="000E2809" w:rsidRPr="007E4BBF">
        <w:rPr>
          <w:sz w:val="24"/>
          <w:szCs w:val="24"/>
        </w:rPr>
        <w:t>Análise espacial, Desastres naturais, Planejamento urbano, Risco hidrológico,  Sistemas de informação geográfica.</w:t>
      </w:r>
    </w:p>
    <w:p w14:paraId="0F7CD38A" w14:textId="77777777" w:rsidR="009C4B75" w:rsidRDefault="009C4B75" w:rsidP="009C4B75">
      <w:pPr>
        <w:jc w:val="both"/>
        <w:rPr>
          <w:b/>
          <w:bCs/>
          <w:spacing w:val="-2"/>
          <w:sz w:val="28"/>
          <w:szCs w:val="28"/>
        </w:rPr>
      </w:pPr>
    </w:p>
    <w:p w14:paraId="5B56C943" w14:textId="77777777" w:rsidR="007E4BBF" w:rsidRDefault="007E4BBF" w:rsidP="009C4B75">
      <w:pPr>
        <w:jc w:val="both"/>
        <w:rPr>
          <w:b/>
          <w:bCs/>
          <w:spacing w:val="-2"/>
          <w:sz w:val="28"/>
          <w:szCs w:val="28"/>
        </w:rPr>
      </w:pPr>
    </w:p>
    <w:p w14:paraId="5E270B86" w14:textId="08E90568" w:rsidR="009C4B75" w:rsidRDefault="00E3782C" w:rsidP="004A1472">
      <w:pPr>
        <w:jc w:val="both"/>
        <w:rPr>
          <w:b/>
          <w:bCs/>
          <w:spacing w:val="-2"/>
          <w:sz w:val="28"/>
          <w:szCs w:val="28"/>
        </w:rPr>
      </w:pPr>
      <w:r w:rsidRPr="005F70B0">
        <w:rPr>
          <w:b/>
          <w:bCs/>
          <w:spacing w:val="-2"/>
          <w:sz w:val="28"/>
          <w:szCs w:val="28"/>
        </w:rPr>
        <w:t>Introdução</w:t>
      </w:r>
    </w:p>
    <w:p w14:paraId="6912D092" w14:textId="77777777" w:rsidR="004A1472" w:rsidRPr="004A1472" w:rsidRDefault="004A1472" w:rsidP="004A1472">
      <w:pPr>
        <w:jc w:val="both"/>
        <w:rPr>
          <w:b/>
          <w:bCs/>
          <w:spacing w:val="-2"/>
          <w:sz w:val="28"/>
          <w:szCs w:val="28"/>
        </w:rPr>
      </w:pPr>
    </w:p>
    <w:p w14:paraId="2D0EDF94" w14:textId="77777777" w:rsidR="00DC6641" w:rsidRDefault="00DC6641" w:rsidP="00DC6641">
      <w:pPr>
        <w:spacing w:line="360" w:lineRule="auto"/>
        <w:ind w:firstLine="709"/>
        <w:jc w:val="both"/>
        <w:rPr>
          <w:sz w:val="24"/>
          <w:szCs w:val="24"/>
        </w:rPr>
      </w:pPr>
      <w:r w:rsidRPr="00DC6641">
        <w:rPr>
          <w:sz w:val="24"/>
          <w:szCs w:val="24"/>
        </w:rPr>
        <w:t xml:space="preserve">As inundações associadas à drenagem urbana têm causado prejuízos crescentes nas cidades brasileiras, comprometendo a qualidade de vida da população e desvalorizando imóveis. Esse cenário está relacionado à urbanização acelerada, à impermeabilização do solo e à canalização dos escoamentos pluvial e fluvial (Mendonça e Leitão, 2020). </w:t>
      </w:r>
    </w:p>
    <w:p w14:paraId="64D33E04" w14:textId="77777777" w:rsidR="00DC6641" w:rsidRDefault="00DC6641" w:rsidP="00DC6641">
      <w:pPr>
        <w:spacing w:line="360" w:lineRule="auto"/>
        <w:ind w:firstLine="709"/>
        <w:jc w:val="both"/>
        <w:rPr>
          <w:sz w:val="24"/>
          <w:szCs w:val="24"/>
        </w:rPr>
      </w:pPr>
      <w:r w:rsidRPr="00DC6641">
        <w:rPr>
          <w:sz w:val="24"/>
          <w:szCs w:val="24"/>
        </w:rPr>
        <w:t xml:space="preserve">No Sul do Brasil, destacam-se eventos extremos de precipitação, como o ocorrido em Santa Catarina em novembro de 2008, que afetou cerca de 1,5 milhão de pessoas, provocou 120 </w:t>
      </w:r>
      <w:r w:rsidRPr="00DC6641">
        <w:rPr>
          <w:sz w:val="24"/>
          <w:szCs w:val="24"/>
        </w:rPr>
        <w:lastRenderedPageBreak/>
        <w:t xml:space="preserve">óbitos e deixou aproximadamente 69 mil desabrigados (Marengo et al., 2020). </w:t>
      </w:r>
    </w:p>
    <w:p w14:paraId="789D51B9" w14:textId="306F4E70" w:rsidR="00CD2BA0" w:rsidRDefault="00DC6641" w:rsidP="003C79C3">
      <w:pPr>
        <w:spacing w:line="360" w:lineRule="auto"/>
        <w:ind w:firstLine="709"/>
        <w:jc w:val="both"/>
        <w:rPr>
          <w:sz w:val="24"/>
          <w:szCs w:val="24"/>
        </w:rPr>
      </w:pPr>
      <w:r w:rsidRPr="00DC6641">
        <w:rPr>
          <w:sz w:val="24"/>
          <w:szCs w:val="24"/>
        </w:rPr>
        <w:t>Nesse contexto, este estudo utilizou dados do IBGE (2022) e da CPRM (2013), integrados em ambiente de Sistema de Informação Geográfica (SIG), para estimar e mapear a população vulnerável à inundação no município de Blumenau, Santa Catarina.</w:t>
      </w:r>
      <w:r w:rsidR="000E2809" w:rsidRPr="003B6208">
        <w:rPr>
          <w:sz w:val="24"/>
          <w:szCs w:val="24"/>
        </w:rPr>
        <w:t xml:space="preserve"> </w:t>
      </w:r>
    </w:p>
    <w:p w14:paraId="410223AE" w14:textId="77777777" w:rsidR="003C79C3" w:rsidRPr="005F70B0" w:rsidRDefault="003C79C3" w:rsidP="003C79C3">
      <w:pPr>
        <w:spacing w:line="360" w:lineRule="auto"/>
        <w:ind w:firstLine="709"/>
        <w:jc w:val="both"/>
        <w:rPr>
          <w:sz w:val="24"/>
          <w:szCs w:val="24"/>
        </w:rPr>
      </w:pPr>
    </w:p>
    <w:p w14:paraId="208760B7" w14:textId="653A6907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Metodologia</w:t>
      </w:r>
    </w:p>
    <w:p w14:paraId="66F1F7D0" w14:textId="7C4D3305" w:rsidR="000E2809" w:rsidRPr="00381802" w:rsidRDefault="000E2809" w:rsidP="000E2809">
      <w:pPr>
        <w:rPr>
          <w:b/>
          <w:bCs/>
          <w:sz w:val="24"/>
          <w:szCs w:val="24"/>
        </w:rPr>
      </w:pPr>
      <w:r w:rsidRPr="00381802">
        <w:rPr>
          <w:b/>
          <w:bCs/>
          <w:sz w:val="24"/>
          <w:szCs w:val="24"/>
        </w:rPr>
        <w:t>Região de Estudo</w:t>
      </w:r>
    </w:p>
    <w:p w14:paraId="1DE19BCA" w14:textId="77777777" w:rsidR="000E2809" w:rsidRPr="00B36386" w:rsidRDefault="000E2809" w:rsidP="000E2809">
      <w:pPr>
        <w:rPr>
          <w:b/>
          <w:bCs/>
        </w:rPr>
      </w:pPr>
    </w:p>
    <w:p w14:paraId="0C8ED55B" w14:textId="44DC9FA8" w:rsidR="00381802" w:rsidRPr="003748D8" w:rsidRDefault="00DC6641" w:rsidP="00F22224">
      <w:pPr>
        <w:spacing w:line="360" w:lineRule="auto"/>
        <w:ind w:firstLine="709"/>
        <w:jc w:val="both"/>
        <w:rPr>
          <w:sz w:val="24"/>
          <w:szCs w:val="24"/>
        </w:rPr>
      </w:pPr>
      <w:r w:rsidRPr="003748D8">
        <w:rPr>
          <w:sz w:val="24"/>
          <w:szCs w:val="24"/>
        </w:rPr>
        <w:t>O município de Blumenau possui área de 518,635 km² e localiza-se no Médio Vale do Itajaí, no nordeste de Santa Catarina (Figura 1). Segundo o IBGE, a população era de 361.261 habitantes em 2022, com densidade demográfica de aproximadamente 696,58 hab./km². O relevo é caracterizado por áreas serranas ao sul e vales ao norte, inseridos na bacia do rio Itajaí-Açu e na sub-bacia do rio Massaranduba, compondo um sistema hidrográfico formado por diversos ribeirões e córregos (Prefeitura Municipal de Blumenau, 2026).</w:t>
      </w:r>
    </w:p>
    <w:p w14:paraId="17C9C303" w14:textId="77777777" w:rsidR="00624446" w:rsidRPr="00C86DC4" w:rsidRDefault="00624446" w:rsidP="000E2809">
      <w:pPr>
        <w:ind w:firstLine="708"/>
        <w:jc w:val="both"/>
        <w:rPr>
          <w:b/>
          <w:bCs/>
        </w:rPr>
      </w:pPr>
    </w:p>
    <w:p w14:paraId="7E1C5F6B" w14:textId="6C938A87" w:rsidR="000E2809" w:rsidRPr="00C86DC4" w:rsidRDefault="000E2809" w:rsidP="000E2809">
      <w:pPr>
        <w:pStyle w:val="Legenda"/>
        <w:keepNext/>
        <w:jc w:val="center"/>
        <w:rPr>
          <w:b/>
          <w:bCs/>
          <w:i w:val="0"/>
          <w:iCs w:val="0"/>
          <w:color w:val="000000" w:themeColor="text1"/>
          <w:sz w:val="20"/>
          <w:szCs w:val="20"/>
        </w:rPr>
      </w:pPr>
      <w:r w:rsidRPr="00C86DC4">
        <w:rPr>
          <w:b/>
          <w:bCs/>
          <w:i w:val="0"/>
          <w:iCs w:val="0"/>
          <w:color w:val="000000" w:themeColor="text1"/>
          <w:sz w:val="20"/>
          <w:szCs w:val="20"/>
        </w:rPr>
        <w:t xml:space="preserve">Figura </w:t>
      </w:r>
      <w:r w:rsidR="003B6208">
        <w:rPr>
          <w:b/>
          <w:bCs/>
          <w:i w:val="0"/>
          <w:iCs w:val="0"/>
          <w:color w:val="000000" w:themeColor="text1"/>
          <w:sz w:val="20"/>
          <w:szCs w:val="20"/>
        </w:rPr>
        <w:fldChar w:fldCharType="begin"/>
      </w:r>
      <w:r w:rsidR="003B6208">
        <w:rPr>
          <w:b/>
          <w:bCs/>
          <w:i w:val="0"/>
          <w:iCs w:val="0"/>
          <w:color w:val="000000" w:themeColor="text1"/>
          <w:sz w:val="20"/>
          <w:szCs w:val="20"/>
        </w:rPr>
        <w:instrText xml:space="preserve"> SEQ Figura \* ARABIC </w:instrText>
      </w:r>
      <w:r w:rsidR="003B6208">
        <w:rPr>
          <w:b/>
          <w:bCs/>
          <w:i w:val="0"/>
          <w:iCs w:val="0"/>
          <w:color w:val="000000" w:themeColor="text1"/>
          <w:sz w:val="20"/>
          <w:szCs w:val="20"/>
        </w:rPr>
        <w:fldChar w:fldCharType="separate"/>
      </w:r>
      <w:r w:rsidR="007F1B27">
        <w:rPr>
          <w:b/>
          <w:bCs/>
          <w:i w:val="0"/>
          <w:iCs w:val="0"/>
          <w:noProof/>
          <w:color w:val="000000" w:themeColor="text1"/>
          <w:sz w:val="20"/>
          <w:szCs w:val="20"/>
        </w:rPr>
        <w:t>1</w:t>
      </w:r>
      <w:r w:rsidR="003B6208">
        <w:rPr>
          <w:b/>
          <w:bCs/>
          <w:i w:val="0"/>
          <w:iCs w:val="0"/>
          <w:color w:val="000000" w:themeColor="text1"/>
          <w:sz w:val="20"/>
          <w:szCs w:val="20"/>
        </w:rPr>
        <w:fldChar w:fldCharType="end"/>
      </w:r>
      <w:r w:rsidRPr="00C86DC4">
        <w:rPr>
          <w:b/>
          <w:bCs/>
          <w:i w:val="0"/>
          <w:iCs w:val="0"/>
          <w:color w:val="000000" w:themeColor="text1"/>
          <w:sz w:val="20"/>
          <w:szCs w:val="20"/>
        </w:rPr>
        <w:t xml:space="preserve"> - Localização do Município de Blumenau - SC.</w:t>
      </w:r>
    </w:p>
    <w:p w14:paraId="43507F8A" w14:textId="77777777" w:rsidR="000E2809" w:rsidRDefault="000E2809" w:rsidP="000E2809">
      <w:pPr>
        <w:keepNext/>
        <w:jc w:val="center"/>
      </w:pPr>
      <w:r>
        <w:rPr>
          <w:noProof/>
        </w:rPr>
        <w:drawing>
          <wp:inline distT="0" distB="0" distL="0" distR="0" wp14:anchorId="018A01A5" wp14:editId="40185EAF">
            <wp:extent cx="3276600" cy="2317070"/>
            <wp:effectExtent l="0" t="0" r="0" b="7620"/>
            <wp:docPr id="114364979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649794" name="Imagem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574" cy="2335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692A5" w14:textId="71913557" w:rsidR="00381802" w:rsidRPr="005333FF" w:rsidRDefault="000E2809" w:rsidP="005333FF">
      <w:pPr>
        <w:pStyle w:val="Legenda"/>
        <w:rPr>
          <w:b/>
          <w:bCs/>
          <w:i w:val="0"/>
          <w:iCs w:val="0"/>
          <w:color w:val="auto"/>
          <w:sz w:val="20"/>
          <w:szCs w:val="20"/>
        </w:rPr>
      </w:pPr>
      <w:r w:rsidRPr="00C86DC4">
        <w:rPr>
          <w:b/>
          <w:bCs/>
          <w:i w:val="0"/>
          <w:iCs w:val="0"/>
          <w:color w:val="auto"/>
          <w:sz w:val="20"/>
          <w:szCs w:val="20"/>
        </w:rPr>
        <w:t>Fonte: autores.</w:t>
      </w:r>
    </w:p>
    <w:p w14:paraId="138484C0" w14:textId="4B093C2E" w:rsidR="000E2809" w:rsidRPr="00B36386" w:rsidRDefault="000E2809" w:rsidP="000E2809">
      <w:pPr>
        <w:rPr>
          <w:b/>
          <w:bCs/>
          <w:sz w:val="24"/>
        </w:rPr>
      </w:pPr>
      <w:r w:rsidRPr="00B36386">
        <w:rPr>
          <w:b/>
          <w:bCs/>
          <w:sz w:val="24"/>
        </w:rPr>
        <w:t>Aquisição de dados</w:t>
      </w:r>
    </w:p>
    <w:p w14:paraId="3FF91AC6" w14:textId="77777777" w:rsidR="00381802" w:rsidRDefault="00381802" w:rsidP="000E2809">
      <w:pPr>
        <w:ind w:firstLine="708"/>
        <w:jc w:val="both"/>
      </w:pPr>
    </w:p>
    <w:p w14:paraId="4DA973FF" w14:textId="6C03EDA2" w:rsidR="000E2809" w:rsidRPr="003C79C3" w:rsidRDefault="003C79C3" w:rsidP="00F22224">
      <w:pPr>
        <w:spacing w:line="360" w:lineRule="auto"/>
        <w:ind w:firstLine="709"/>
        <w:jc w:val="both"/>
        <w:rPr>
          <w:sz w:val="24"/>
          <w:szCs w:val="24"/>
        </w:rPr>
      </w:pPr>
      <w:r w:rsidRPr="003C79C3">
        <w:rPr>
          <w:sz w:val="24"/>
          <w:szCs w:val="24"/>
        </w:rPr>
        <w:t xml:space="preserve">Os dados populacionais foram obtidos </w:t>
      </w:r>
      <w:r>
        <w:rPr>
          <w:sz w:val="24"/>
          <w:szCs w:val="24"/>
        </w:rPr>
        <w:t>através</w:t>
      </w:r>
      <w:r w:rsidRPr="003C79C3">
        <w:rPr>
          <w:sz w:val="24"/>
          <w:szCs w:val="24"/>
        </w:rPr>
        <w:t xml:space="preserve"> do Censo Demográfico 2022 (IBGE), utilizando a base de setores censitários e o atributo </w:t>
      </w:r>
      <w:r w:rsidRPr="00593B42">
        <w:rPr>
          <w:i/>
          <w:iCs/>
          <w:sz w:val="24"/>
          <w:szCs w:val="24"/>
        </w:rPr>
        <w:t>V0001</w:t>
      </w:r>
      <w:r w:rsidRPr="003C79C3">
        <w:rPr>
          <w:sz w:val="24"/>
          <w:szCs w:val="24"/>
        </w:rPr>
        <w:t xml:space="preserve">, correspondente à população residente. A mancha de inundação foi obtida da CPRM (2013), considerando a classe de alta suscetibilidade, referente a áreas sujeitas à inundação, alagamento e assoreamento, com altura de até 5 m em relação à borda da calha do leito regular dos cursos d'água. Da mesma fonte foram obtidos os limites da área urbana edificada, do município de Blumenau, dos municípios vizinhos, de Santa Catarina e do Brasil, utilizados na delimitação da área de estudo e na </w:t>
      </w:r>
      <w:r w:rsidRPr="003C79C3">
        <w:rPr>
          <w:sz w:val="24"/>
          <w:szCs w:val="24"/>
        </w:rPr>
        <w:lastRenderedPageBreak/>
        <w:t>elaboração dos mapas temáticos.</w:t>
      </w:r>
    </w:p>
    <w:p w14:paraId="78D3DA52" w14:textId="77777777" w:rsidR="000E2809" w:rsidRDefault="000E2809" w:rsidP="000E2809">
      <w:pPr>
        <w:jc w:val="both"/>
        <w:rPr>
          <w:b/>
          <w:bCs/>
        </w:rPr>
      </w:pPr>
    </w:p>
    <w:p w14:paraId="726B7013" w14:textId="77777777" w:rsidR="000E2809" w:rsidRPr="00381802" w:rsidRDefault="000E2809" w:rsidP="000E2809">
      <w:pPr>
        <w:jc w:val="both"/>
        <w:rPr>
          <w:b/>
          <w:bCs/>
          <w:sz w:val="24"/>
          <w:szCs w:val="24"/>
        </w:rPr>
      </w:pPr>
      <w:r w:rsidRPr="00381802">
        <w:rPr>
          <w:b/>
          <w:bCs/>
          <w:sz w:val="24"/>
          <w:szCs w:val="24"/>
        </w:rPr>
        <w:t>Pré-processamento</w:t>
      </w:r>
    </w:p>
    <w:p w14:paraId="50B502A9" w14:textId="77777777" w:rsidR="00381802" w:rsidRDefault="00381802" w:rsidP="000E2809">
      <w:pPr>
        <w:ind w:firstLine="708"/>
      </w:pPr>
    </w:p>
    <w:p w14:paraId="1EB78583" w14:textId="31F66FD9" w:rsidR="000E2809" w:rsidRPr="003B6208" w:rsidRDefault="003C79C3" w:rsidP="00F22224">
      <w:pPr>
        <w:spacing w:line="360" w:lineRule="auto"/>
        <w:ind w:firstLine="709"/>
        <w:rPr>
          <w:sz w:val="24"/>
          <w:szCs w:val="24"/>
        </w:rPr>
      </w:pPr>
      <w:r w:rsidRPr="003C79C3">
        <w:rPr>
          <w:sz w:val="24"/>
          <w:szCs w:val="24"/>
        </w:rPr>
        <w:t>Todos os dados espaciais foram processados no QGIS 3.34.4, em ambiente SIG. As camadas vetoriais foram reprojetadas para o sistema SIRGAS 2000 / UTM, fuso 22S, adequado aos cálculos de área, e submetidas à verificação e correção de geometrias inválidas, garantindo a consistência topológica das feições</w:t>
      </w:r>
      <w:r w:rsidR="007E4BBF">
        <w:rPr>
          <w:sz w:val="24"/>
          <w:szCs w:val="24"/>
        </w:rPr>
        <w:t>.</w:t>
      </w:r>
    </w:p>
    <w:p w14:paraId="24DB30B3" w14:textId="77777777" w:rsidR="00381802" w:rsidRDefault="00381802" w:rsidP="000E2809">
      <w:pPr>
        <w:rPr>
          <w:b/>
          <w:bCs/>
        </w:rPr>
      </w:pPr>
    </w:p>
    <w:p w14:paraId="0189A8C4" w14:textId="4B33FF6F" w:rsidR="000E2809" w:rsidRPr="00381802" w:rsidRDefault="000E2809" w:rsidP="000E2809">
      <w:pPr>
        <w:rPr>
          <w:b/>
          <w:bCs/>
          <w:sz w:val="24"/>
          <w:szCs w:val="24"/>
        </w:rPr>
      </w:pPr>
      <w:r w:rsidRPr="00381802">
        <w:rPr>
          <w:b/>
          <w:bCs/>
          <w:sz w:val="24"/>
          <w:szCs w:val="24"/>
        </w:rPr>
        <w:t>Delimitação da área urbana</w:t>
      </w:r>
    </w:p>
    <w:p w14:paraId="6A94D143" w14:textId="77777777" w:rsidR="00381802" w:rsidRDefault="00381802" w:rsidP="000E2809">
      <w:pPr>
        <w:ind w:firstLine="708"/>
      </w:pPr>
    </w:p>
    <w:p w14:paraId="5DEA9831" w14:textId="462BC619" w:rsidR="00434E60" w:rsidRPr="007E4BBF" w:rsidRDefault="003C79C3" w:rsidP="007E4BBF">
      <w:pPr>
        <w:spacing w:line="360" w:lineRule="auto"/>
        <w:ind w:firstLine="709"/>
        <w:jc w:val="both"/>
        <w:rPr>
          <w:sz w:val="24"/>
          <w:szCs w:val="24"/>
        </w:rPr>
      </w:pPr>
      <w:r w:rsidRPr="003C79C3">
        <w:rPr>
          <w:sz w:val="24"/>
          <w:szCs w:val="24"/>
        </w:rPr>
        <w:t xml:space="preserve">A população residente foi obtida da variável </w:t>
      </w:r>
      <w:r w:rsidRPr="007E4BBF">
        <w:rPr>
          <w:i/>
          <w:iCs/>
          <w:sz w:val="24"/>
          <w:szCs w:val="24"/>
        </w:rPr>
        <w:t>V0001</w:t>
      </w:r>
      <w:r w:rsidRPr="003C79C3">
        <w:rPr>
          <w:sz w:val="24"/>
          <w:szCs w:val="24"/>
        </w:rPr>
        <w:t xml:space="preserve"> dos agregados por setores censitários do Censo Demográfico 2022 (IBGE) e associada à malha vetorial pelo código do setor censitário. As operações de interseção espacial fragmentaram os setores, exigindo o recálculo proporcional do atributo populacional (</w:t>
      </w:r>
      <w:r w:rsidRPr="007E4BBF">
        <w:rPr>
          <w:i/>
          <w:iCs/>
          <w:sz w:val="24"/>
          <w:szCs w:val="24"/>
        </w:rPr>
        <w:t>V0001</w:t>
      </w:r>
      <w:r w:rsidRPr="003C79C3">
        <w:rPr>
          <w:sz w:val="24"/>
          <w:szCs w:val="24"/>
        </w:rPr>
        <w:t xml:space="preserve">) em função da área de cada polígono, utilizando a calculadora de campo do </w:t>
      </w:r>
      <w:r w:rsidRPr="007E4BBF">
        <w:rPr>
          <w:sz w:val="24"/>
          <w:szCs w:val="24"/>
        </w:rPr>
        <w:t>QGIS</w:t>
      </w:r>
      <w:r w:rsidRPr="003C79C3">
        <w:rPr>
          <w:sz w:val="24"/>
          <w:szCs w:val="24"/>
        </w:rPr>
        <w:t xml:space="preserve"> e assumindo distribuição homogênea da população em cada setor censitário. Posteriormente, os setores foram intersectados com a área urbana edificada (Equação 01), gerando a camada </w:t>
      </w:r>
      <w:r w:rsidRPr="003C79C3">
        <w:rPr>
          <w:i/>
          <w:iCs/>
          <w:sz w:val="24"/>
          <w:szCs w:val="24"/>
        </w:rPr>
        <w:t>Setores_Urbanizados</w:t>
      </w:r>
      <w:r w:rsidRPr="003C79C3">
        <w:rPr>
          <w:sz w:val="24"/>
          <w:szCs w:val="24"/>
        </w:rPr>
        <w:t>, utilizada na interseção com a mancha de inundação.</w:t>
      </w:r>
      <w:r w:rsidR="009C7BD7" w:rsidRPr="009C7BD7">
        <w:rPr>
          <w:sz w:val="24"/>
          <w:szCs w:val="24"/>
        </w:rPr>
        <w:t xml:space="preserve"> </w:t>
      </w:r>
    </w:p>
    <w:p w14:paraId="167D3EF9" w14:textId="77777777" w:rsidR="000E2809" w:rsidRPr="003748D8" w:rsidRDefault="000E2809" w:rsidP="000E2809">
      <w:pPr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Setor censitário ∩ Área urbana edificada</m:t>
          </m:r>
        </m:oMath>
      </m:oMathPara>
    </w:p>
    <w:p w14:paraId="5A078255" w14:textId="53086770" w:rsidR="00381802" w:rsidRPr="004B3DC6" w:rsidRDefault="000E2809" w:rsidP="004B3DC6">
      <w:pPr>
        <w:jc w:val="right"/>
      </w:pPr>
      <w:r w:rsidRPr="00723D2F">
        <w:t>(01)</w:t>
      </w:r>
    </w:p>
    <w:p w14:paraId="7BF95811" w14:textId="6A2CF6DE" w:rsidR="000E2809" w:rsidRPr="00B36386" w:rsidRDefault="000E2809" w:rsidP="000E2809">
      <w:pPr>
        <w:rPr>
          <w:b/>
          <w:bCs/>
          <w:sz w:val="24"/>
        </w:rPr>
      </w:pPr>
      <w:r w:rsidRPr="00B36386">
        <w:rPr>
          <w:b/>
          <w:bCs/>
          <w:sz w:val="24"/>
        </w:rPr>
        <w:t>Análise espacial</w:t>
      </w:r>
    </w:p>
    <w:p w14:paraId="7854D77D" w14:textId="77777777" w:rsidR="00381802" w:rsidRDefault="00381802" w:rsidP="000E2809">
      <w:pPr>
        <w:ind w:firstLine="708"/>
      </w:pPr>
    </w:p>
    <w:p w14:paraId="55105A7F" w14:textId="3D9632E8" w:rsidR="000E2809" w:rsidRPr="007E4BBF" w:rsidRDefault="000E2809" w:rsidP="007E4BBF">
      <w:pPr>
        <w:spacing w:line="360" w:lineRule="auto"/>
        <w:ind w:firstLine="709"/>
        <w:jc w:val="both"/>
        <w:rPr>
          <w:sz w:val="24"/>
          <w:szCs w:val="24"/>
        </w:rPr>
      </w:pPr>
      <w:r w:rsidRPr="003B6208">
        <w:rPr>
          <w:sz w:val="24"/>
          <w:szCs w:val="24"/>
        </w:rPr>
        <w:t xml:space="preserve">Dentro da tabela de atributos da camada </w:t>
      </w:r>
      <w:r w:rsidRPr="003B6208">
        <w:rPr>
          <w:i/>
          <w:iCs/>
          <w:sz w:val="24"/>
          <w:szCs w:val="24"/>
        </w:rPr>
        <w:t xml:space="preserve">Setores_Urbanizados </w:t>
      </w:r>
      <w:r w:rsidRPr="003B6208">
        <w:rPr>
          <w:sz w:val="24"/>
          <w:szCs w:val="24"/>
        </w:rPr>
        <w:t xml:space="preserve">foi criado o campo </w:t>
      </w:r>
      <w:r w:rsidRPr="003B6208">
        <w:rPr>
          <w:i/>
          <w:iCs/>
          <w:sz w:val="24"/>
          <w:szCs w:val="24"/>
        </w:rPr>
        <w:t xml:space="preserve">area_urb </w:t>
      </w:r>
      <w:r w:rsidRPr="003B6208">
        <w:rPr>
          <w:sz w:val="24"/>
          <w:szCs w:val="24"/>
        </w:rPr>
        <w:t xml:space="preserve">com unidades em metros quadrados. Em seguida, para determinar a população urbanizada, criou-se o campo </w:t>
      </w:r>
      <w:r w:rsidRPr="003B6208">
        <w:rPr>
          <w:i/>
          <w:iCs/>
          <w:sz w:val="24"/>
          <w:szCs w:val="24"/>
        </w:rPr>
        <w:t>pop_urb</w:t>
      </w:r>
      <w:r w:rsidRPr="003B6208">
        <w:rPr>
          <w:sz w:val="24"/>
          <w:szCs w:val="24"/>
        </w:rPr>
        <w:t xml:space="preserve"> cuja equação (Equação 02) é definida como:</w:t>
      </w:r>
    </w:p>
    <w:p w14:paraId="6F6C9E63" w14:textId="77777777" w:rsidR="000E2809" w:rsidRPr="003748D8" w:rsidRDefault="000E2809" w:rsidP="000E2809">
      <w:pPr>
        <w:ind w:firstLine="708"/>
        <w:jc w:val="both"/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 xml:space="preserve">Pop_urb= 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Area_urb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Area_Setor</m:t>
              </m:r>
            </m:den>
          </m:f>
          <m:r>
            <w:rPr>
              <w:rFonts w:ascii="Cambria Math" w:hAnsi="Cambria Math"/>
              <w:sz w:val="20"/>
              <w:szCs w:val="20"/>
            </w:rPr>
            <m:t>x V001</m:t>
          </m:r>
        </m:oMath>
      </m:oMathPara>
    </w:p>
    <w:p w14:paraId="16959016" w14:textId="047522F6" w:rsidR="00C86DC4" w:rsidRPr="00723D2F" w:rsidRDefault="000E2809" w:rsidP="004B3DC6">
      <w:pPr>
        <w:jc w:val="right"/>
      </w:pPr>
      <w:r w:rsidRPr="00723D2F">
        <w:t>(02)</w:t>
      </w:r>
    </w:p>
    <w:p w14:paraId="5067DB8A" w14:textId="2DB616D2" w:rsidR="000E2809" w:rsidRPr="007E4BBF" w:rsidRDefault="000E2809" w:rsidP="007E4BBF">
      <w:pPr>
        <w:spacing w:line="360" w:lineRule="auto"/>
        <w:ind w:firstLine="720"/>
        <w:rPr>
          <w:sz w:val="24"/>
          <w:szCs w:val="24"/>
        </w:rPr>
      </w:pPr>
      <w:r w:rsidRPr="003B6208">
        <w:rPr>
          <w:sz w:val="24"/>
          <w:szCs w:val="24"/>
        </w:rPr>
        <w:t xml:space="preserve">Ao determinar o campo </w:t>
      </w:r>
      <w:r w:rsidRPr="003B6208">
        <w:rPr>
          <w:i/>
          <w:iCs/>
          <w:sz w:val="24"/>
          <w:szCs w:val="24"/>
        </w:rPr>
        <w:t>pop_urb</w:t>
      </w:r>
      <w:r w:rsidRPr="003B6208">
        <w:rPr>
          <w:sz w:val="24"/>
          <w:szCs w:val="24"/>
        </w:rPr>
        <w:t>, realizou-se a interseção da camada de</w:t>
      </w:r>
      <w:r w:rsidRPr="003B6208">
        <w:rPr>
          <w:i/>
          <w:iCs/>
          <w:sz w:val="24"/>
          <w:szCs w:val="24"/>
        </w:rPr>
        <w:t xml:space="preserve"> Setores_urbanizados</w:t>
      </w:r>
      <w:r w:rsidRPr="003B6208">
        <w:rPr>
          <w:sz w:val="24"/>
          <w:szCs w:val="24"/>
        </w:rPr>
        <w:t xml:space="preserve"> com a </w:t>
      </w:r>
      <w:r w:rsidRPr="003B6208">
        <w:rPr>
          <w:i/>
          <w:iCs/>
          <w:sz w:val="24"/>
          <w:szCs w:val="24"/>
        </w:rPr>
        <w:t>mancha de inundação</w:t>
      </w:r>
      <w:r w:rsidRPr="003B6208">
        <w:rPr>
          <w:sz w:val="24"/>
          <w:szCs w:val="24"/>
        </w:rPr>
        <w:t xml:space="preserve"> (Equação 03), </w:t>
      </w:r>
      <w:r w:rsidRPr="003B6208">
        <w:rPr>
          <w:rFonts w:eastAsiaTheme="minorEastAsia"/>
          <w:sz w:val="24"/>
          <w:szCs w:val="24"/>
        </w:rPr>
        <w:t xml:space="preserve">gerando assim, a camada </w:t>
      </w:r>
      <w:r w:rsidRPr="003B6208">
        <w:rPr>
          <w:rFonts w:eastAsiaTheme="minorEastAsia"/>
          <w:i/>
          <w:iCs/>
          <w:sz w:val="24"/>
          <w:szCs w:val="24"/>
        </w:rPr>
        <w:t>Setores_urbanizados_inundados.</w:t>
      </w:r>
    </w:p>
    <w:p w14:paraId="3B5E0DFB" w14:textId="77777777" w:rsidR="000E2809" w:rsidRPr="003748D8" w:rsidRDefault="000E2809" w:rsidP="000E2809">
      <w:pPr>
        <w:rPr>
          <w:rFonts w:eastAsiaTheme="minorEastAsia"/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Setores_urbanizados∩mancha_de_inundação</m:t>
          </m:r>
        </m:oMath>
      </m:oMathPara>
    </w:p>
    <w:p w14:paraId="468A0698" w14:textId="5902A693" w:rsidR="00381802" w:rsidRPr="004B3DC6" w:rsidRDefault="000E2809" w:rsidP="004B3DC6">
      <w:pPr>
        <w:jc w:val="right"/>
        <w:rPr>
          <w:rFonts w:eastAsiaTheme="minorEastAsia"/>
        </w:rPr>
      </w:pPr>
      <w:r w:rsidRPr="00723D2F">
        <w:rPr>
          <w:rFonts w:eastAsiaTheme="minorEastAsia"/>
        </w:rPr>
        <w:t>(03)</w:t>
      </w:r>
    </w:p>
    <w:p w14:paraId="396FC880" w14:textId="0D1DAD32" w:rsidR="000E2809" w:rsidRPr="00B36386" w:rsidRDefault="000E2809" w:rsidP="000E2809">
      <w:pPr>
        <w:jc w:val="both"/>
        <w:rPr>
          <w:rFonts w:eastAsiaTheme="minorEastAsia"/>
          <w:b/>
          <w:bCs/>
          <w:sz w:val="24"/>
        </w:rPr>
      </w:pPr>
      <w:r w:rsidRPr="00B36386">
        <w:rPr>
          <w:rFonts w:eastAsiaTheme="minorEastAsia"/>
          <w:b/>
          <w:bCs/>
          <w:sz w:val="24"/>
        </w:rPr>
        <w:t>Cálculo da área inundada</w:t>
      </w:r>
    </w:p>
    <w:p w14:paraId="2EABBA7A" w14:textId="77777777" w:rsidR="00381802" w:rsidRDefault="00381802" w:rsidP="000E2809">
      <w:pPr>
        <w:ind w:firstLine="708"/>
        <w:jc w:val="both"/>
        <w:rPr>
          <w:rFonts w:eastAsiaTheme="minorEastAsia"/>
        </w:rPr>
      </w:pPr>
    </w:p>
    <w:p w14:paraId="1C123FEE" w14:textId="562D94E6" w:rsidR="00C86DC4" w:rsidRPr="007E4BBF" w:rsidRDefault="000E2809" w:rsidP="007E4BBF">
      <w:pPr>
        <w:spacing w:line="360" w:lineRule="auto"/>
        <w:ind w:firstLine="709"/>
        <w:rPr>
          <w:rFonts w:eastAsiaTheme="minorEastAsia"/>
          <w:sz w:val="24"/>
          <w:szCs w:val="24"/>
        </w:rPr>
      </w:pPr>
      <w:r w:rsidRPr="003B6208">
        <w:rPr>
          <w:rFonts w:eastAsiaTheme="minorEastAsia"/>
          <w:sz w:val="24"/>
          <w:szCs w:val="24"/>
        </w:rPr>
        <w:t xml:space="preserve">A criação do campo </w:t>
      </w:r>
      <w:r w:rsidRPr="003B6208">
        <w:rPr>
          <w:rFonts w:eastAsiaTheme="minorEastAsia"/>
          <w:i/>
          <w:iCs/>
          <w:sz w:val="24"/>
          <w:szCs w:val="24"/>
        </w:rPr>
        <w:t xml:space="preserve">area_inund </w:t>
      </w:r>
      <w:r w:rsidRPr="003B6208">
        <w:rPr>
          <w:rFonts w:eastAsiaTheme="minorEastAsia"/>
          <w:sz w:val="24"/>
          <w:szCs w:val="24"/>
        </w:rPr>
        <w:t>(Equação 04</w:t>
      </w:r>
      <w:r w:rsidRPr="003B6208">
        <w:rPr>
          <w:rFonts w:eastAsiaTheme="minorEastAsia"/>
          <w:i/>
          <w:iCs/>
          <w:sz w:val="24"/>
          <w:szCs w:val="24"/>
        </w:rPr>
        <w:t xml:space="preserve">) </w:t>
      </w:r>
      <w:r w:rsidRPr="003B6208">
        <w:rPr>
          <w:rFonts w:eastAsiaTheme="minorEastAsia"/>
          <w:sz w:val="24"/>
          <w:szCs w:val="24"/>
        </w:rPr>
        <w:t>utilizou unidades em metros quadrados, sendo posteriormente aplicada na fórmula para determinar a população em área vulnerável.</w:t>
      </w:r>
    </w:p>
    <w:p w14:paraId="0B9E4AB5" w14:textId="77777777" w:rsidR="000E2809" w:rsidRPr="003748D8" w:rsidRDefault="000E2809" w:rsidP="000E2809">
      <w:pPr>
        <w:ind w:firstLine="708"/>
        <w:rPr>
          <w:rFonts w:eastAsiaTheme="minorEastAsia"/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area_inund=$area</m:t>
          </m:r>
        </m:oMath>
      </m:oMathPara>
    </w:p>
    <w:p w14:paraId="52A4B8C0" w14:textId="77777777" w:rsidR="000E2809" w:rsidRDefault="000E2809" w:rsidP="000E2809">
      <w:pPr>
        <w:ind w:firstLine="708"/>
        <w:jc w:val="right"/>
        <w:rPr>
          <w:rFonts w:eastAsiaTheme="minorEastAsia"/>
        </w:rPr>
      </w:pPr>
      <w:r w:rsidRPr="00723D2F">
        <w:rPr>
          <w:rFonts w:eastAsiaTheme="minorEastAsia"/>
        </w:rPr>
        <w:t>(04)</w:t>
      </w:r>
    </w:p>
    <w:p w14:paraId="14508408" w14:textId="77777777" w:rsidR="000E2809" w:rsidRPr="003B6208" w:rsidRDefault="000E2809" w:rsidP="00DC6641">
      <w:pPr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3B6208">
        <w:rPr>
          <w:rFonts w:eastAsiaTheme="minorEastAsia"/>
          <w:sz w:val="24"/>
          <w:szCs w:val="24"/>
        </w:rPr>
        <w:lastRenderedPageBreak/>
        <w:t>Após adquirir a área total do setor censitário urbanizado, a área urbana inundada por setor e o cálculo da proporção da área inundada, foi possível determinar a população vulnerável a inundação e alagamento dentro do município de Blumenau.</w:t>
      </w:r>
    </w:p>
    <w:p w14:paraId="0393A58C" w14:textId="77777777" w:rsidR="00381802" w:rsidRDefault="00381802" w:rsidP="000E2809">
      <w:pPr>
        <w:jc w:val="both"/>
        <w:rPr>
          <w:rFonts w:eastAsiaTheme="minorEastAsia"/>
          <w:b/>
          <w:bCs/>
          <w:sz w:val="24"/>
        </w:rPr>
      </w:pPr>
    </w:p>
    <w:p w14:paraId="6FE5D80E" w14:textId="382BCE3C" w:rsidR="000E2809" w:rsidRPr="00B36386" w:rsidRDefault="000E2809" w:rsidP="000E2809">
      <w:pPr>
        <w:jc w:val="both"/>
        <w:rPr>
          <w:rFonts w:eastAsiaTheme="minorEastAsia"/>
          <w:b/>
          <w:bCs/>
          <w:sz w:val="24"/>
        </w:rPr>
      </w:pPr>
      <w:r w:rsidRPr="00B36386">
        <w:rPr>
          <w:rFonts w:eastAsiaTheme="minorEastAsia"/>
          <w:b/>
          <w:bCs/>
          <w:sz w:val="24"/>
        </w:rPr>
        <w:t>Estimativa da população vulnerável</w:t>
      </w:r>
    </w:p>
    <w:p w14:paraId="61E18CA9" w14:textId="77777777" w:rsidR="00381802" w:rsidRDefault="00381802" w:rsidP="000E2809">
      <w:pPr>
        <w:ind w:firstLine="708"/>
        <w:jc w:val="both"/>
        <w:rPr>
          <w:sz w:val="24"/>
        </w:rPr>
      </w:pPr>
    </w:p>
    <w:p w14:paraId="5F9E9748" w14:textId="551C69D4" w:rsidR="000E2809" w:rsidRPr="00344F5A" w:rsidRDefault="00DC6641" w:rsidP="00F22224">
      <w:pPr>
        <w:spacing w:line="360" w:lineRule="auto"/>
        <w:ind w:firstLine="708"/>
        <w:jc w:val="both"/>
        <w:rPr>
          <w:sz w:val="24"/>
        </w:rPr>
      </w:pPr>
      <w:r w:rsidRPr="00DC6641">
        <w:rPr>
          <w:sz w:val="24"/>
        </w:rPr>
        <w:t>A população vulnerável foi estimada pela interseção entre os setores censitários, a área urbana edificada e a mancha de inundação correspondente a um cenário extremo de cheia (5 m acima da calha do rio). A população foi redistribuída proporcionalmente às áreas urbanizada e inundada, assumindo distribuição homogênea no interior de cada setor censitário.</w:t>
      </w:r>
    </w:p>
    <w:p w14:paraId="48D23919" w14:textId="185B826E" w:rsidR="000E2809" w:rsidRDefault="000E2809" w:rsidP="007E4BBF">
      <w:pPr>
        <w:spacing w:line="360" w:lineRule="auto"/>
        <w:jc w:val="both"/>
        <w:rPr>
          <w:rFonts w:eastAsiaTheme="minorEastAsia"/>
          <w:sz w:val="24"/>
        </w:rPr>
      </w:pPr>
      <w:r>
        <w:rPr>
          <w:rFonts w:eastAsiaTheme="minorEastAsia"/>
          <w:sz w:val="24"/>
        </w:rPr>
        <w:tab/>
        <w:t>Para determinar a população vulnerável à inundação extrema utilizando as camadas geradas, determinou-se a Equação 05:</w:t>
      </w:r>
    </w:p>
    <w:p w14:paraId="43E55C28" w14:textId="77777777" w:rsidR="000E2809" w:rsidRPr="003748D8" w:rsidRDefault="000E2809" w:rsidP="000E2809">
      <w:pPr>
        <w:jc w:val="both"/>
        <w:rPr>
          <w:rFonts w:eastAsiaTheme="minorEastAsia"/>
          <w:sz w:val="20"/>
          <w:szCs w:val="20"/>
        </w:rPr>
      </w:pPr>
      <m:oMathPara>
        <m:oMath>
          <m:r>
            <w:rPr>
              <w:rFonts w:ascii="Cambria Math" w:eastAsiaTheme="minorEastAsia" w:hAnsi="Cambria Math"/>
              <w:sz w:val="20"/>
              <w:szCs w:val="20"/>
            </w:rPr>
            <m:t xml:space="preserve">Pop_vuln_ext=  </m:t>
          </m:r>
          <m:f>
            <m:fPr>
              <m:ctrlPr>
                <w:rPr>
                  <w:rFonts w:ascii="Cambria Math" w:eastAsiaTheme="minorEastAsia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0"/>
                  <w:szCs w:val="20"/>
                </w:rPr>
                <m:t>Area_inud</m:t>
              </m:r>
            </m:num>
            <m:den>
              <m:r>
                <w:rPr>
                  <w:rFonts w:ascii="Cambria Math" w:eastAsiaTheme="minorEastAsia" w:hAnsi="Cambria Math"/>
                  <w:sz w:val="20"/>
                  <w:szCs w:val="20"/>
                </w:rPr>
                <m:t>Area_urb</m:t>
              </m:r>
            </m:den>
          </m:f>
          <m:r>
            <w:rPr>
              <w:rFonts w:ascii="Cambria Math" w:eastAsiaTheme="minorEastAsia" w:hAnsi="Cambria Math"/>
              <w:sz w:val="20"/>
              <w:szCs w:val="20"/>
            </w:rPr>
            <m:t xml:space="preserve">  × Pop_Urb (V001)</m:t>
          </m:r>
        </m:oMath>
      </m:oMathPara>
    </w:p>
    <w:p w14:paraId="78C6C9EB" w14:textId="1CCAE0BB" w:rsidR="00381802" w:rsidRPr="004B3DC6" w:rsidRDefault="000E2809" w:rsidP="004B3DC6">
      <w:pPr>
        <w:ind w:firstLine="708"/>
        <w:jc w:val="right"/>
        <w:rPr>
          <w:rFonts w:eastAsiaTheme="minorEastAsia"/>
          <w:sz w:val="24"/>
        </w:rPr>
      </w:pPr>
      <w:r>
        <w:rPr>
          <w:rFonts w:eastAsiaTheme="minorEastAsia"/>
          <w:sz w:val="24"/>
        </w:rPr>
        <w:t>(05)</w:t>
      </w:r>
    </w:p>
    <w:p w14:paraId="0AAFA7BD" w14:textId="24DE21E3" w:rsidR="000E2809" w:rsidRPr="00B36386" w:rsidRDefault="000E2809" w:rsidP="000E2809">
      <w:pPr>
        <w:jc w:val="both"/>
        <w:rPr>
          <w:b/>
          <w:bCs/>
          <w:sz w:val="24"/>
        </w:rPr>
      </w:pPr>
      <w:r w:rsidRPr="00B36386">
        <w:rPr>
          <w:b/>
          <w:bCs/>
          <w:sz w:val="24"/>
        </w:rPr>
        <w:t>Validação dos cálculos</w:t>
      </w:r>
    </w:p>
    <w:p w14:paraId="2F415CA2" w14:textId="77777777" w:rsidR="00381802" w:rsidRDefault="00381802" w:rsidP="000E2809">
      <w:pPr>
        <w:ind w:firstLine="708"/>
        <w:jc w:val="both"/>
        <w:rPr>
          <w:sz w:val="24"/>
        </w:rPr>
      </w:pPr>
    </w:p>
    <w:p w14:paraId="5A744219" w14:textId="7A5BD7B6" w:rsidR="00DC6641" w:rsidRDefault="000E2809" w:rsidP="003C79C3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A soma da população vulnerável deve ser menor que a soma da população urbana, validando assim, os cálculos realizados.</w:t>
      </w:r>
    </w:p>
    <w:p w14:paraId="3FB7E2FA" w14:textId="77777777" w:rsidR="007E4BBF" w:rsidRPr="002D4FEE" w:rsidRDefault="007E4BBF" w:rsidP="003C79C3">
      <w:pPr>
        <w:spacing w:line="360" w:lineRule="auto"/>
        <w:ind w:firstLine="709"/>
        <w:jc w:val="both"/>
        <w:rPr>
          <w:sz w:val="24"/>
        </w:rPr>
      </w:pPr>
    </w:p>
    <w:p w14:paraId="71573541" w14:textId="4E79BD08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Resultados e Discussão</w:t>
      </w:r>
    </w:p>
    <w:p w14:paraId="17495769" w14:textId="6C99D738" w:rsidR="00381802" w:rsidRDefault="00381802" w:rsidP="00381802">
      <w:pPr>
        <w:ind w:firstLine="708"/>
        <w:jc w:val="both"/>
        <w:rPr>
          <w:b/>
          <w:bCs/>
          <w:sz w:val="24"/>
        </w:rPr>
      </w:pPr>
      <w:r w:rsidRPr="00B36386">
        <w:rPr>
          <w:b/>
          <w:bCs/>
          <w:sz w:val="24"/>
        </w:rPr>
        <w:t>Estatística descritiva</w:t>
      </w:r>
    </w:p>
    <w:p w14:paraId="5BA964A1" w14:textId="77777777" w:rsidR="00381802" w:rsidRPr="00B36386" w:rsidRDefault="00381802" w:rsidP="00381802">
      <w:pPr>
        <w:ind w:firstLine="708"/>
        <w:jc w:val="both"/>
        <w:rPr>
          <w:b/>
          <w:bCs/>
          <w:sz w:val="24"/>
        </w:rPr>
      </w:pPr>
    </w:p>
    <w:p w14:paraId="6610CC00" w14:textId="760A28D8" w:rsidR="004B3DC6" w:rsidRPr="00DC6641" w:rsidRDefault="00DC6641" w:rsidP="00F22224">
      <w:pPr>
        <w:spacing w:line="360" w:lineRule="auto"/>
        <w:ind w:firstLine="709"/>
        <w:jc w:val="both"/>
        <w:rPr>
          <w:sz w:val="24"/>
          <w:szCs w:val="24"/>
        </w:rPr>
      </w:pPr>
      <w:r w:rsidRPr="00DC6641">
        <w:rPr>
          <w:sz w:val="24"/>
          <w:szCs w:val="24"/>
        </w:rPr>
        <w:t>O procedimento resultou em 1.165 feições espaciais correspondentes às porções urbanizadas dos setores censitários inseridas na área de alta suscetibilidade. A população vulnerável estimada totalizou 65.732 pessoas, com distribuição altamente assimétrica: os valores variaram de 0 a 865 indivíduos por feição, com média de 56,4 e mediana de 7. Esses resultados evidenciam a concentração espacial do risco, na qual poucas feições concentram elevados contingentes populacionais em áreas suscetíveis a eventos hidrológicos extremos.</w:t>
      </w:r>
      <w:r w:rsidR="00A35882" w:rsidRPr="00DC6641">
        <w:rPr>
          <w:sz w:val="24"/>
          <w:szCs w:val="24"/>
        </w:rPr>
        <w:t xml:space="preserve"> </w:t>
      </w:r>
    </w:p>
    <w:p w14:paraId="31A3E846" w14:textId="77777777" w:rsidR="00A35882" w:rsidRPr="004B3DC6" w:rsidRDefault="00A35882" w:rsidP="00A35882">
      <w:pPr>
        <w:ind w:firstLine="708"/>
        <w:jc w:val="both"/>
        <w:rPr>
          <w:sz w:val="24"/>
          <w:szCs w:val="24"/>
        </w:rPr>
      </w:pPr>
    </w:p>
    <w:p w14:paraId="4F8842D0" w14:textId="77777777" w:rsidR="00381802" w:rsidRDefault="00381802" w:rsidP="00381802">
      <w:pPr>
        <w:ind w:firstLine="708"/>
        <w:jc w:val="both"/>
        <w:rPr>
          <w:b/>
          <w:bCs/>
          <w:sz w:val="24"/>
        </w:rPr>
      </w:pPr>
      <w:r w:rsidRPr="00676CF5">
        <w:rPr>
          <w:b/>
          <w:bCs/>
          <w:sz w:val="24"/>
        </w:rPr>
        <w:t>A mancha de suscetibilidade alta à inundação</w:t>
      </w:r>
    </w:p>
    <w:p w14:paraId="4BF8F6D4" w14:textId="77777777" w:rsidR="003250C9" w:rsidRPr="00676CF5" w:rsidRDefault="003250C9" w:rsidP="00381802">
      <w:pPr>
        <w:ind w:firstLine="708"/>
        <w:jc w:val="both"/>
        <w:rPr>
          <w:b/>
          <w:bCs/>
          <w:sz w:val="24"/>
        </w:rPr>
      </w:pPr>
    </w:p>
    <w:p w14:paraId="47001A68" w14:textId="4FAA4C52" w:rsidR="002D4FEE" w:rsidRPr="002D4FEE" w:rsidRDefault="00FB6E60" w:rsidP="00F22224">
      <w:pPr>
        <w:spacing w:line="360" w:lineRule="auto"/>
        <w:ind w:firstLine="709"/>
        <w:jc w:val="both"/>
        <w:rPr>
          <w:sz w:val="24"/>
          <w:szCs w:val="24"/>
          <w:lang w:val="pt-BR"/>
        </w:rPr>
      </w:pPr>
      <w:r w:rsidRPr="00FB6E60">
        <w:rPr>
          <w:sz w:val="24"/>
          <w:szCs w:val="24"/>
        </w:rPr>
        <w:t xml:space="preserve">A mancha de alta suscetibilidade à inundação (Figura 4A), correspondente a eventos de até 5 m acima da borda da calha dos cursos d'água, concentra-se ao longo do rio Itajaí-Açu e de seus principais afluentes, refletindo a influência da rede hidrográfica e do relevo. Sua intersecção com os setores censitários (Figura 4B) evidencia elevada exposição da população, especialmente na região central, onde a área inundável coincide com extensas porções da malha </w:t>
      </w:r>
      <w:r w:rsidRPr="00FB6E60">
        <w:rPr>
          <w:sz w:val="24"/>
          <w:szCs w:val="24"/>
        </w:rPr>
        <w:lastRenderedPageBreak/>
        <w:t>urbana edificada, delimitando os setores críticos para a análise da população vulnerável.</w:t>
      </w:r>
    </w:p>
    <w:p w14:paraId="5D78031E" w14:textId="0B7F5BF9" w:rsidR="00434E60" w:rsidRPr="009C7BD7" w:rsidRDefault="00434E60" w:rsidP="002D4FEE">
      <w:pPr>
        <w:jc w:val="both"/>
        <w:rPr>
          <w:sz w:val="24"/>
          <w:szCs w:val="24"/>
        </w:rPr>
      </w:pPr>
    </w:p>
    <w:p w14:paraId="14E3B416" w14:textId="76E2DBA5" w:rsidR="003B6208" w:rsidRPr="003B6208" w:rsidRDefault="003B6208" w:rsidP="003B6208">
      <w:pPr>
        <w:pStyle w:val="Legenda"/>
        <w:keepNext/>
        <w:jc w:val="center"/>
        <w:rPr>
          <w:b/>
          <w:bCs/>
          <w:i w:val="0"/>
          <w:iCs w:val="0"/>
          <w:color w:val="000000" w:themeColor="text1"/>
          <w:sz w:val="20"/>
          <w:szCs w:val="20"/>
        </w:rPr>
      </w:pPr>
      <w:r w:rsidRPr="003B6208">
        <w:rPr>
          <w:b/>
          <w:bCs/>
          <w:i w:val="0"/>
          <w:iCs w:val="0"/>
          <w:color w:val="000000" w:themeColor="text1"/>
          <w:sz w:val="20"/>
          <w:szCs w:val="20"/>
        </w:rPr>
        <w:t xml:space="preserve">Figura </w:t>
      </w:r>
      <w:r w:rsidRPr="003B6208">
        <w:rPr>
          <w:b/>
          <w:bCs/>
          <w:i w:val="0"/>
          <w:iCs w:val="0"/>
          <w:color w:val="000000" w:themeColor="text1"/>
          <w:sz w:val="20"/>
          <w:szCs w:val="20"/>
        </w:rPr>
        <w:fldChar w:fldCharType="begin"/>
      </w:r>
      <w:r w:rsidRPr="003B6208">
        <w:rPr>
          <w:b/>
          <w:bCs/>
          <w:i w:val="0"/>
          <w:iCs w:val="0"/>
          <w:color w:val="000000" w:themeColor="text1"/>
          <w:sz w:val="20"/>
          <w:szCs w:val="20"/>
        </w:rPr>
        <w:instrText xml:space="preserve"> SEQ Figura \* ARABIC </w:instrText>
      </w:r>
      <w:r w:rsidRPr="003B6208">
        <w:rPr>
          <w:b/>
          <w:bCs/>
          <w:i w:val="0"/>
          <w:iCs w:val="0"/>
          <w:color w:val="000000" w:themeColor="text1"/>
          <w:sz w:val="20"/>
          <w:szCs w:val="20"/>
        </w:rPr>
        <w:fldChar w:fldCharType="separate"/>
      </w:r>
      <w:r w:rsidR="007F1B27">
        <w:rPr>
          <w:b/>
          <w:bCs/>
          <w:i w:val="0"/>
          <w:iCs w:val="0"/>
          <w:noProof/>
          <w:color w:val="000000" w:themeColor="text1"/>
          <w:sz w:val="20"/>
          <w:szCs w:val="20"/>
        </w:rPr>
        <w:t>2</w:t>
      </w:r>
      <w:r w:rsidRPr="003B6208">
        <w:rPr>
          <w:b/>
          <w:bCs/>
          <w:i w:val="0"/>
          <w:iCs w:val="0"/>
          <w:color w:val="000000" w:themeColor="text1"/>
          <w:sz w:val="20"/>
          <w:szCs w:val="20"/>
        </w:rPr>
        <w:fldChar w:fldCharType="end"/>
      </w:r>
      <w:r w:rsidRPr="003B6208">
        <w:rPr>
          <w:b/>
          <w:bCs/>
          <w:i w:val="0"/>
          <w:iCs w:val="0"/>
          <w:color w:val="000000" w:themeColor="text1"/>
          <w:sz w:val="20"/>
          <w:szCs w:val="20"/>
        </w:rPr>
        <w:t xml:space="preserve"> – (A) Mancha de inundação do município de Blumenau – SC (CPRM, 2013) e (B) Setores censitários do município (IBGE, 2022).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32"/>
        <w:gridCol w:w="4533"/>
      </w:tblGrid>
      <w:tr w:rsidR="00434E60" w14:paraId="38599199" w14:textId="77777777" w:rsidTr="003B6208">
        <w:trPr>
          <w:trHeight w:val="3196"/>
        </w:trPr>
        <w:tc>
          <w:tcPr>
            <w:tcW w:w="4352" w:type="dxa"/>
          </w:tcPr>
          <w:p w14:paraId="3DF59870" w14:textId="7869AE33" w:rsidR="00434E60" w:rsidRPr="00434E60" w:rsidRDefault="00F22224" w:rsidP="00F2222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F22224">
              <w:rPr>
                <w:b/>
                <w:bCs/>
                <w:noProof/>
              </w:rPr>
              <w:t>A</w:t>
            </w:r>
            <w:r w:rsidR="00434E60">
              <w:rPr>
                <w:noProof/>
              </w:rPr>
              <w:drawing>
                <wp:inline distT="0" distB="0" distL="0" distR="0" wp14:anchorId="261DDAD5" wp14:editId="13AD7BA6">
                  <wp:extent cx="2950703" cy="2086610"/>
                  <wp:effectExtent l="0" t="0" r="2540" b="8890"/>
                  <wp:docPr id="452605496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2333591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0703" cy="2086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3" w:type="dxa"/>
          </w:tcPr>
          <w:p w14:paraId="11E5CF97" w14:textId="39471E7F" w:rsidR="00434E60" w:rsidRDefault="00F22224" w:rsidP="00F22224">
            <w:pPr>
              <w:rPr>
                <w:color w:val="000000" w:themeColor="text1"/>
                <w:sz w:val="20"/>
                <w:szCs w:val="20"/>
              </w:rPr>
            </w:pPr>
            <w:r w:rsidRPr="00F22224">
              <w:rPr>
                <w:b/>
                <w:bCs/>
                <w:noProof/>
              </w:rPr>
              <w:t>B</w:t>
            </w:r>
            <w:r w:rsidR="00434E60">
              <w:rPr>
                <w:noProof/>
              </w:rPr>
              <w:drawing>
                <wp:inline distT="0" distB="0" distL="0" distR="0" wp14:anchorId="6F2ED541" wp14:editId="3F17EB5F">
                  <wp:extent cx="2950537" cy="2086610"/>
                  <wp:effectExtent l="0" t="0" r="2540" b="8890"/>
                  <wp:docPr id="55674098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8628711" name="Imagem 111862871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0537" cy="2086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302441" w14:textId="2BB732A2" w:rsidR="003250C9" w:rsidRPr="003B6208" w:rsidRDefault="003B6208" w:rsidP="003B6208">
      <w:pPr>
        <w:ind w:firstLine="708"/>
        <w:rPr>
          <w:b/>
          <w:bCs/>
          <w:color w:val="000000" w:themeColor="text1"/>
          <w:sz w:val="20"/>
          <w:szCs w:val="20"/>
        </w:rPr>
      </w:pPr>
      <w:r w:rsidRPr="003B6208">
        <w:rPr>
          <w:b/>
          <w:bCs/>
          <w:color w:val="000000" w:themeColor="text1"/>
          <w:sz w:val="20"/>
          <w:szCs w:val="20"/>
        </w:rPr>
        <w:t>Fonte: autores</w:t>
      </w:r>
      <w:r>
        <w:rPr>
          <w:b/>
          <w:bCs/>
          <w:color w:val="000000" w:themeColor="text1"/>
          <w:sz w:val="20"/>
          <w:szCs w:val="20"/>
        </w:rPr>
        <w:t>.</w:t>
      </w:r>
    </w:p>
    <w:p w14:paraId="10EB191D" w14:textId="77777777" w:rsidR="00381802" w:rsidRDefault="00381802" w:rsidP="00381802">
      <w:pPr>
        <w:ind w:firstLine="708"/>
        <w:jc w:val="both"/>
      </w:pPr>
    </w:p>
    <w:p w14:paraId="1AFD3B37" w14:textId="54EF04C5" w:rsidR="003250C9" w:rsidRDefault="00381802" w:rsidP="002D4FEE">
      <w:pPr>
        <w:jc w:val="both"/>
        <w:rPr>
          <w:b/>
          <w:bCs/>
          <w:sz w:val="24"/>
        </w:rPr>
      </w:pPr>
      <w:r w:rsidRPr="00676CF5">
        <w:rPr>
          <w:b/>
          <w:bCs/>
          <w:sz w:val="24"/>
        </w:rPr>
        <w:t>A classificação temática da população vulnerável</w:t>
      </w:r>
    </w:p>
    <w:p w14:paraId="241FCBC6" w14:textId="77777777" w:rsidR="004B3DC6" w:rsidRPr="00676CF5" w:rsidRDefault="004B3DC6" w:rsidP="002D4FEE">
      <w:pPr>
        <w:jc w:val="both"/>
        <w:rPr>
          <w:b/>
          <w:bCs/>
          <w:sz w:val="24"/>
        </w:rPr>
      </w:pPr>
    </w:p>
    <w:p w14:paraId="68D6B77D" w14:textId="77777777" w:rsidR="003748D8" w:rsidRDefault="00FB6E60" w:rsidP="003748D8">
      <w:pPr>
        <w:spacing w:line="360" w:lineRule="auto"/>
        <w:ind w:firstLine="709"/>
        <w:jc w:val="both"/>
        <w:rPr>
          <w:sz w:val="24"/>
          <w:szCs w:val="24"/>
        </w:rPr>
      </w:pPr>
      <w:r w:rsidRPr="00FB6E60">
        <w:rPr>
          <w:sz w:val="24"/>
          <w:szCs w:val="24"/>
        </w:rPr>
        <w:t>A população urbana vulnerável, estimada pela interseção entre áreas suscetíveis, malha edificada e setores censitários, foi classificada manualmente em quatro classes (Figura 4A), em função da forte assimetria dos dados (Figura 4B). Enquanto a maioria das feições apresenta baixa população exposta e distribuição dispersa, poucas concentram elevados contingentes em áreas mais adensadas. Essa classificação evitou a fragmentação dos intervalos inferiores, comum em métodos automáticos, preservando a legibilidade cartográfica e destacando os núcleos de alta e muito alta vulnerabilidade, onde se sobrepõem a suscetibilidade à inundação e a elevada densidade populacional.</w:t>
      </w:r>
    </w:p>
    <w:p w14:paraId="2A442ABB" w14:textId="7BE1835E" w:rsidR="00FA5669" w:rsidRPr="003748D8" w:rsidRDefault="00F94A9B" w:rsidP="003748D8">
      <w:pPr>
        <w:ind w:firstLine="709"/>
        <w:jc w:val="center"/>
        <w:rPr>
          <w:sz w:val="24"/>
          <w:szCs w:val="24"/>
        </w:rPr>
      </w:pPr>
      <w:r w:rsidRPr="003748D8">
        <w:rPr>
          <w:b/>
          <w:bCs/>
          <w:color w:val="000000" w:themeColor="text1"/>
          <w:sz w:val="20"/>
          <w:szCs w:val="20"/>
        </w:rPr>
        <w:t xml:space="preserve">Figura </w:t>
      </w:r>
      <w:r w:rsidRPr="003748D8">
        <w:rPr>
          <w:b/>
          <w:bCs/>
          <w:color w:val="000000" w:themeColor="text1"/>
          <w:sz w:val="20"/>
          <w:szCs w:val="20"/>
        </w:rPr>
        <w:fldChar w:fldCharType="begin"/>
      </w:r>
      <w:r w:rsidRPr="003748D8">
        <w:rPr>
          <w:b/>
          <w:bCs/>
          <w:color w:val="000000" w:themeColor="text1"/>
          <w:sz w:val="20"/>
          <w:szCs w:val="20"/>
        </w:rPr>
        <w:instrText xml:space="preserve"> SEQ Figura \* ARABIC </w:instrText>
      </w:r>
      <w:r w:rsidRPr="003748D8">
        <w:rPr>
          <w:b/>
          <w:bCs/>
          <w:color w:val="000000" w:themeColor="text1"/>
          <w:sz w:val="20"/>
          <w:szCs w:val="20"/>
        </w:rPr>
        <w:fldChar w:fldCharType="separate"/>
      </w:r>
      <w:r w:rsidR="007F1B27">
        <w:rPr>
          <w:b/>
          <w:bCs/>
          <w:noProof/>
          <w:color w:val="000000" w:themeColor="text1"/>
          <w:sz w:val="20"/>
          <w:szCs w:val="20"/>
        </w:rPr>
        <w:t>3</w:t>
      </w:r>
      <w:r w:rsidRPr="003748D8">
        <w:rPr>
          <w:b/>
          <w:bCs/>
          <w:color w:val="000000" w:themeColor="text1"/>
          <w:sz w:val="20"/>
          <w:szCs w:val="20"/>
        </w:rPr>
        <w:fldChar w:fldCharType="end"/>
      </w:r>
      <w:r w:rsidRPr="003748D8">
        <w:rPr>
          <w:b/>
          <w:bCs/>
          <w:color w:val="000000" w:themeColor="text1"/>
          <w:sz w:val="20"/>
          <w:szCs w:val="20"/>
        </w:rPr>
        <w:t xml:space="preserve"> – (A) População vulnerável dentro do município de Blumenau – SC, (B) - Distribuição do número de feições (esquerda) e do contingente de pessoas vulneráveis (direita) por classe de densidade populacional (habitantes por feição).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09"/>
        <w:gridCol w:w="4536"/>
      </w:tblGrid>
      <w:tr w:rsidR="00FA5669" w14:paraId="3A610CAD" w14:textId="77777777" w:rsidTr="003748D8">
        <w:trPr>
          <w:trHeight w:val="3010"/>
        </w:trPr>
        <w:tc>
          <w:tcPr>
            <w:tcW w:w="4509" w:type="dxa"/>
          </w:tcPr>
          <w:p w14:paraId="124F8AB8" w14:textId="4FBD4678" w:rsidR="00FA5669" w:rsidRDefault="00FA5669" w:rsidP="00A35882">
            <w:pPr>
              <w:rPr>
                <w:sz w:val="24"/>
                <w:szCs w:val="24"/>
              </w:rPr>
            </w:pPr>
            <w:r w:rsidRPr="00FA5669">
              <w:rPr>
                <w:b/>
                <w:bCs/>
                <w:sz w:val="24"/>
                <w:szCs w:val="24"/>
              </w:rPr>
              <w:t>A</w:t>
            </w:r>
            <w:r>
              <w:rPr>
                <w:noProof/>
              </w:rPr>
              <w:drawing>
                <wp:inline distT="0" distB="0" distL="0" distR="0" wp14:anchorId="69F04622" wp14:editId="71078C94">
                  <wp:extent cx="2619883" cy="1778360"/>
                  <wp:effectExtent l="0" t="0" r="0" b="0"/>
                  <wp:docPr id="1778656633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0270278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5224" cy="1795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1" w:type="dxa"/>
          </w:tcPr>
          <w:p w14:paraId="5EB7E446" w14:textId="606DD7EC" w:rsidR="00FA5669" w:rsidRPr="00F22224" w:rsidRDefault="00FA5669" w:rsidP="00F22224">
            <w:pPr>
              <w:rPr>
                <w:noProof/>
              </w:rPr>
            </w:pPr>
            <w:r>
              <w:rPr>
                <w:noProof/>
              </w:rPr>
              <w:t xml:space="preserve">   </w:t>
            </w:r>
            <w:r>
              <w:rPr>
                <w:b/>
                <w:bCs/>
                <w:sz w:val="24"/>
                <w:szCs w:val="24"/>
              </w:rPr>
              <w:t>B</w:t>
            </w:r>
          </w:p>
          <w:p w14:paraId="41C1B58D" w14:textId="77777777" w:rsidR="00FA5669" w:rsidRDefault="00FA5669" w:rsidP="00FA5669">
            <w:pPr>
              <w:rPr>
                <w:b/>
                <w:bCs/>
                <w:sz w:val="24"/>
                <w:szCs w:val="24"/>
              </w:rPr>
            </w:pPr>
          </w:p>
          <w:p w14:paraId="322A8EEC" w14:textId="77777777" w:rsidR="00FA5669" w:rsidRDefault="00FA5669" w:rsidP="00FA5669">
            <w:pPr>
              <w:rPr>
                <w:b/>
                <w:bCs/>
                <w:sz w:val="24"/>
                <w:szCs w:val="24"/>
              </w:rPr>
            </w:pPr>
          </w:p>
          <w:p w14:paraId="26663737" w14:textId="689607D8" w:rsidR="00FA5669" w:rsidRPr="00F94A9B" w:rsidRDefault="00FA5669" w:rsidP="00F94A9B">
            <w:pPr>
              <w:jc w:val="center"/>
              <w:rPr>
                <w:b/>
                <w:bCs/>
                <w:sz w:val="24"/>
                <w:szCs w:val="24"/>
              </w:rPr>
            </w:pPr>
            <w:r w:rsidRPr="00DE10D4">
              <w:rPr>
                <w:noProof/>
              </w:rPr>
              <w:drawing>
                <wp:inline distT="0" distB="0" distL="0" distR="0" wp14:anchorId="335185C0" wp14:editId="0F5759B4">
                  <wp:extent cx="2738357" cy="1147314"/>
                  <wp:effectExtent l="0" t="0" r="5080" b="0"/>
                  <wp:docPr id="2271594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257719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1755" cy="1157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B63332" w14:textId="1138FD76" w:rsidR="00F94A9B" w:rsidRPr="007C0E7B" w:rsidRDefault="007C0E7B" w:rsidP="007C0E7B">
      <w:pPr>
        <w:ind w:firstLine="708"/>
        <w:jc w:val="both"/>
        <w:rPr>
          <w:b/>
          <w:bCs/>
          <w:sz w:val="20"/>
          <w:szCs w:val="20"/>
        </w:rPr>
      </w:pPr>
      <w:r w:rsidRPr="007C0E7B">
        <w:rPr>
          <w:b/>
          <w:bCs/>
          <w:sz w:val="20"/>
          <w:szCs w:val="20"/>
        </w:rPr>
        <w:t>Fonte: autores</w:t>
      </w:r>
    </w:p>
    <w:p w14:paraId="07E2BFDD" w14:textId="77777777" w:rsidR="00FA5669" w:rsidRDefault="00FA5669" w:rsidP="00F94A9B">
      <w:pPr>
        <w:rPr>
          <w:lang w:val="pt-BR"/>
        </w:rPr>
      </w:pPr>
    </w:p>
    <w:p w14:paraId="75E0E6BA" w14:textId="77777777" w:rsidR="007E4BBF" w:rsidRDefault="007E4BBF" w:rsidP="00F94A9B">
      <w:pPr>
        <w:rPr>
          <w:lang w:val="pt-BR"/>
        </w:rPr>
      </w:pPr>
    </w:p>
    <w:p w14:paraId="3C23EF3B" w14:textId="77777777" w:rsidR="007E4BBF" w:rsidRDefault="007E4BBF" w:rsidP="00F94A9B">
      <w:pPr>
        <w:rPr>
          <w:lang w:val="pt-BR"/>
        </w:rPr>
      </w:pPr>
    </w:p>
    <w:p w14:paraId="3A21EC07" w14:textId="77777777" w:rsidR="007E4BBF" w:rsidRPr="00F94A9B" w:rsidRDefault="007E4BBF" w:rsidP="00F94A9B">
      <w:pPr>
        <w:rPr>
          <w:lang w:val="pt-BR"/>
        </w:rPr>
      </w:pPr>
    </w:p>
    <w:p w14:paraId="36BA1ACB" w14:textId="77777777" w:rsidR="00381802" w:rsidRPr="008B6367" w:rsidRDefault="00381802" w:rsidP="008B6367">
      <w:pPr>
        <w:jc w:val="both"/>
        <w:rPr>
          <w:b/>
          <w:bCs/>
          <w:sz w:val="28"/>
          <w:szCs w:val="28"/>
        </w:rPr>
      </w:pPr>
      <w:r w:rsidRPr="008B6367">
        <w:rPr>
          <w:b/>
          <w:bCs/>
          <w:sz w:val="28"/>
          <w:szCs w:val="28"/>
        </w:rPr>
        <w:t>CONCLUSÃO</w:t>
      </w:r>
    </w:p>
    <w:p w14:paraId="7DAF5926" w14:textId="77777777" w:rsidR="00C86DC4" w:rsidRPr="003B6208" w:rsidRDefault="00C86DC4" w:rsidP="00381802">
      <w:pPr>
        <w:ind w:firstLine="708"/>
        <w:jc w:val="both"/>
        <w:rPr>
          <w:b/>
          <w:bCs/>
          <w:sz w:val="24"/>
          <w:szCs w:val="24"/>
        </w:rPr>
      </w:pPr>
    </w:p>
    <w:p w14:paraId="4E4D2A6D" w14:textId="4DF77491" w:rsidR="00FB6E60" w:rsidRPr="00FB6E60" w:rsidRDefault="00FB6E60" w:rsidP="00FB6E60">
      <w:pPr>
        <w:spacing w:line="360" w:lineRule="auto"/>
        <w:ind w:firstLine="709"/>
        <w:jc w:val="both"/>
        <w:rPr>
          <w:sz w:val="24"/>
          <w:szCs w:val="24"/>
          <w:lang w:val="pt-BR"/>
        </w:rPr>
      </w:pPr>
      <w:r w:rsidRPr="00FB6E60">
        <w:rPr>
          <w:sz w:val="24"/>
          <w:szCs w:val="24"/>
          <w:lang w:val="pt-BR"/>
        </w:rPr>
        <w:t>Os resultados demonstram que a vulnerabilidade à inundação em Blumenau apresenta distribuição espacial concentrada e desigual, condicionada pela dinâmica hidrológica, pelo relevo e pelo histórico de ocupação urbana. A integração entre geoprocessamento e cálculos proporcionais permitiu identificar núcleos críticos, localizados principalmente ao longo do rio Itajaí-Açu e de seus afluentes, onde a alta suscetibilidade à inundação coincide com elevada densidade populacional, intensificando os impactos sociais e evidenciando padrões de ocupação incompatíveis com a dinâmica hidrográfica local.</w:t>
      </w:r>
    </w:p>
    <w:p w14:paraId="72B7C6E5" w14:textId="73A0C96A" w:rsidR="00DC6641" w:rsidRDefault="00FB6E60" w:rsidP="003C79C3">
      <w:pPr>
        <w:spacing w:line="360" w:lineRule="auto"/>
        <w:ind w:firstLine="709"/>
        <w:jc w:val="both"/>
        <w:rPr>
          <w:sz w:val="24"/>
          <w:szCs w:val="24"/>
          <w:lang w:val="pt-BR"/>
        </w:rPr>
      </w:pPr>
      <w:r w:rsidRPr="00FB6E60">
        <w:rPr>
          <w:sz w:val="24"/>
          <w:szCs w:val="24"/>
          <w:lang w:val="pt-BR"/>
        </w:rPr>
        <w:t>A classificação temática manual em quatro classes mostrou-se adequada para representar a assimetria dos dados, evidenciando os contrastes intraurbanos e os setores prioritários sem comprometer a legibilidade cartográfica. Dessa forma, a abordagem adotada mostrou-se eficaz para o mapeamento da vulnerabilidade socioambiental, fornecendo subsídios técnicos ao planejamento urbano, à defesa civil e à formulação de políticas públicas voltadas ao ordenamento territorial, à mitigação de impactos e ao fortalecimento da resiliência frente a eventos hidrológicos extremos.</w:t>
      </w:r>
    </w:p>
    <w:p w14:paraId="75D55E0D" w14:textId="77777777" w:rsidR="007E4BBF" w:rsidRPr="003C79C3" w:rsidRDefault="007E4BBF" w:rsidP="003C79C3">
      <w:pPr>
        <w:spacing w:line="360" w:lineRule="auto"/>
        <w:ind w:firstLine="709"/>
        <w:jc w:val="both"/>
        <w:rPr>
          <w:sz w:val="24"/>
          <w:szCs w:val="24"/>
          <w:lang w:val="pt-BR"/>
        </w:rPr>
      </w:pPr>
    </w:p>
    <w:p w14:paraId="46C53EB6" w14:textId="178C0EC9" w:rsidR="00624629" w:rsidRPr="005F70B0" w:rsidRDefault="00624629" w:rsidP="00F22224">
      <w:pPr>
        <w:pStyle w:val="Corpodetexto"/>
        <w:spacing w:line="360" w:lineRule="auto"/>
        <w:jc w:val="both"/>
        <w:rPr>
          <w:sz w:val="24"/>
          <w:szCs w:val="24"/>
        </w:rPr>
      </w:pPr>
      <w:r w:rsidRPr="005F70B0">
        <w:rPr>
          <w:b/>
          <w:bCs/>
          <w:sz w:val="28"/>
          <w:szCs w:val="28"/>
        </w:rPr>
        <w:t>Referências</w:t>
      </w:r>
    </w:p>
    <w:p w14:paraId="2940681E" w14:textId="26E70923" w:rsidR="00F22224" w:rsidRPr="003B6208" w:rsidRDefault="008B6367" w:rsidP="00F22224">
      <w:pPr>
        <w:pStyle w:val="Corpodetexto"/>
        <w:spacing w:line="360" w:lineRule="auto"/>
        <w:ind w:firstLine="720"/>
        <w:rPr>
          <w:sz w:val="24"/>
          <w:szCs w:val="24"/>
          <w:lang w:val="pt-BR"/>
        </w:rPr>
      </w:pPr>
      <w:r w:rsidRPr="003B6208">
        <w:rPr>
          <w:sz w:val="24"/>
          <w:szCs w:val="24"/>
          <w:lang w:val="pt-BR"/>
        </w:rPr>
        <w:t xml:space="preserve">CPRM – SERVIÇO GEOLÓGICO DO BRASIL. </w:t>
      </w:r>
      <w:r w:rsidRPr="003B6208">
        <w:rPr>
          <w:b/>
          <w:bCs/>
          <w:sz w:val="24"/>
          <w:szCs w:val="24"/>
          <w:lang w:val="pt-BR"/>
        </w:rPr>
        <w:t>Ação emergencial para delimitação de áreas em alto e muito alto risco a enchentes, inundações e movimentos de massa</w:t>
      </w:r>
      <w:r w:rsidRPr="003B6208">
        <w:rPr>
          <w:sz w:val="24"/>
          <w:szCs w:val="24"/>
          <w:lang w:val="pt-BR"/>
        </w:rPr>
        <w:t>: Blumenau, SC. Brasília: CPRM, 2013.</w:t>
      </w:r>
    </w:p>
    <w:p w14:paraId="2A9D574A" w14:textId="08564D13" w:rsidR="008B6367" w:rsidRPr="003B6208" w:rsidRDefault="008B6367" w:rsidP="00F22224">
      <w:pPr>
        <w:pStyle w:val="Corpodetexto"/>
        <w:spacing w:line="360" w:lineRule="auto"/>
        <w:ind w:firstLine="720"/>
        <w:rPr>
          <w:sz w:val="24"/>
          <w:szCs w:val="24"/>
          <w:lang w:val="pt-BR"/>
        </w:rPr>
      </w:pPr>
      <w:r w:rsidRPr="003B6208">
        <w:rPr>
          <w:sz w:val="24"/>
          <w:szCs w:val="24"/>
          <w:lang w:val="pt-BR"/>
        </w:rPr>
        <w:t xml:space="preserve">IBGE – INSTITUTO BRASILEIRO DE GEOGRAFIA E ESTATÍSTICA. </w:t>
      </w:r>
      <w:r w:rsidRPr="003B6208">
        <w:rPr>
          <w:b/>
          <w:bCs/>
          <w:sz w:val="24"/>
          <w:szCs w:val="24"/>
          <w:lang w:val="pt-BR"/>
        </w:rPr>
        <w:t>Base de informações do Censo Demográfico 2022</w:t>
      </w:r>
      <w:r w:rsidRPr="003B6208">
        <w:rPr>
          <w:sz w:val="24"/>
          <w:szCs w:val="24"/>
          <w:lang w:val="pt-BR"/>
        </w:rPr>
        <w:t>: resultados preliminares – setores censitários. Rio de Janeiro: IBGE, 2022.</w:t>
      </w:r>
    </w:p>
    <w:p w14:paraId="49DEE20C" w14:textId="71D77EB5" w:rsidR="008B6367" w:rsidRPr="003B6208" w:rsidRDefault="008B6367" w:rsidP="00F22224">
      <w:pPr>
        <w:pStyle w:val="Corpodetexto"/>
        <w:spacing w:line="360" w:lineRule="auto"/>
        <w:ind w:firstLine="720"/>
        <w:rPr>
          <w:sz w:val="24"/>
          <w:szCs w:val="24"/>
          <w:lang w:val="pt-BR"/>
        </w:rPr>
      </w:pPr>
      <w:r w:rsidRPr="003B6208">
        <w:rPr>
          <w:sz w:val="24"/>
          <w:szCs w:val="24"/>
          <w:lang w:val="pt-BR"/>
        </w:rPr>
        <w:t xml:space="preserve">MARENGO, J. A. et al. Eventos extremos e mudanças climáticas no Brasil. </w:t>
      </w:r>
      <w:r w:rsidRPr="003B6208">
        <w:rPr>
          <w:b/>
          <w:bCs/>
          <w:sz w:val="24"/>
          <w:szCs w:val="24"/>
          <w:lang w:val="pt-BR"/>
        </w:rPr>
        <w:t>Clima e Sociedade</w:t>
      </w:r>
      <w:r w:rsidRPr="003B6208">
        <w:rPr>
          <w:sz w:val="24"/>
          <w:szCs w:val="24"/>
          <w:lang w:val="pt-BR"/>
        </w:rPr>
        <w:t>, 2020.</w:t>
      </w:r>
    </w:p>
    <w:p w14:paraId="469F394E" w14:textId="7324D76B" w:rsidR="008B6367" w:rsidRPr="003B6208" w:rsidRDefault="008B6367" w:rsidP="00F22224">
      <w:pPr>
        <w:pStyle w:val="Corpodetexto"/>
        <w:spacing w:line="360" w:lineRule="auto"/>
        <w:ind w:firstLine="720"/>
        <w:rPr>
          <w:sz w:val="24"/>
          <w:szCs w:val="24"/>
          <w:lang w:val="pt-BR"/>
        </w:rPr>
      </w:pPr>
      <w:r w:rsidRPr="003B6208">
        <w:rPr>
          <w:sz w:val="24"/>
          <w:szCs w:val="24"/>
          <w:lang w:val="pt-BR"/>
        </w:rPr>
        <w:t xml:space="preserve">MENDONÇA, F.; LEITÃO, S. Riscos climáticos e vulnerabilidade socioambiental urbana no Brasil. </w:t>
      </w:r>
      <w:r w:rsidRPr="003B6208">
        <w:rPr>
          <w:b/>
          <w:bCs/>
          <w:sz w:val="24"/>
          <w:szCs w:val="24"/>
          <w:lang w:val="pt-BR"/>
        </w:rPr>
        <w:t>Revista Brasileira de Geografia Física</w:t>
      </w:r>
      <w:r w:rsidRPr="003B6208">
        <w:rPr>
          <w:sz w:val="24"/>
          <w:szCs w:val="24"/>
          <w:lang w:val="pt-BR"/>
        </w:rPr>
        <w:t>, 2020.</w:t>
      </w:r>
    </w:p>
    <w:p w14:paraId="0BA8C96F" w14:textId="0B88CA5D" w:rsidR="001C5BCC" w:rsidRDefault="008B6367" w:rsidP="00F22224">
      <w:pPr>
        <w:pStyle w:val="Corpodetexto"/>
        <w:spacing w:line="360" w:lineRule="auto"/>
        <w:ind w:firstLine="720"/>
      </w:pPr>
      <w:r w:rsidRPr="003B6208">
        <w:rPr>
          <w:sz w:val="24"/>
          <w:szCs w:val="24"/>
          <w:lang w:val="pt-BR"/>
        </w:rPr>
        <w:t xml:space="preserve">PREFEITURA MUNICIPAL DE BLUMENAU. </w:t>
      </w:r>
      <w:r w:rsidRPr="003B6208">
        <w:rPr>
          <w:b/>
          <w:bCs/>
          <w:sz w:val="24"/>
          <w:szCs w:val="24"/>
          <w:lang w:val="pt-BR"/>
        </w:rPr>
        <w:t>Dados geográficos</w:t>
      </w:r>
      <w:r w:rsidRPr="003B6208">
        <w:rPr>
          <w:sz w:val="24"/>
          <w:szCs w:val="24"/>
          <w:lang w:val="pt-BR"/>
        </w:rPr>
        <w:t xml:space="preserve">: hidrografia e principais cursos d’água. Blumenau, 2026. Disponível em: </w:t>
      </w:r>
      <w:hyperlink r:id="rId12" w:tgtFrame="_blank" w:history="1">
        <w:r w:rsidRPr="003B6208">
          <w:rPr>
            <w:rStyle w:val="Hyperlink"/>
            <w:sz w:val="24"/>
            <w:szCs w:val="24"/>
            <w:lang w:val="pt-BR"/>
          </w:rPr>
          <w:t>https://www.blumenau.sc.gov.br</w:t>
        </w:r>
      </w:hyperlink>
      <w:r w:rsidRPr="003B6208">
        <w:rPr>
          <w:sz w:val="24"/>
          <w:szCs w:val="24"/>
          <w:lang w:val="pt-BR"/>
        </w:rPr>
        <w:t xml:space="preserve">. </w:t>
      </w:r>
    </w:p>
    <w:sectPr w:rsidR="001C5BCC" w:rsidSect="008913F4">
      <w:headerReference w:type="default" r:id="rId13"/>
      <w:footerReference w:type="default" r:id="rId14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84991" w14:textId="77777777" w:rsidR="00F35891" w:rsidRDefault="00F35891">
      <w:r>
        <w:separator/>
      </w:r>
    </w:p>
  </w:endnote>
  <w:endnote w:type="continuationSeparator" w:id="0">
    <w:p w14:paraId="01421108" w14:textId="77777777" w:rsidR="00F35891" w:rsidRDefault="00F35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3BA7C" w14:textId="77777777" w:rsidR="00F35891" w:rsidRDefault="00F35891">
      <w:r>
        <w:separator/>
      </w:r>
    </w:p>
  </w:footnote>
  <w:footnote w:type="continuationSeparator" w:id="0">
    <w:p w14:paraId="430377EE" w14:textId="77777777" w:rsidR="00F35891" w:rsidRDefault="00F358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835E2" w14:textId="6B9B4E0D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01FEADD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6500" cy="1060450"/>
          <wp:effectExtent l="0" t="0" r="6350" b="635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4CDC">
      <w:rPr>
        <w:noProof/>
        <w:sz w:val="24"/>
        <w:szCs w:val="24"/>
        <w:lang w:val="pt-BR" w:eastAsia="pt-BR"/>
      </w:rPr>
      <w:drawing>
        <wp:inline distT="0" distB="0" distL="0" distR="0" wp14:anchorId="35FB35BF" wp14:editId="5F2A0F56">
          <wp:extent cx="5753100" cy="996950"/>
          <wp:effectExtent l="0" t="0" r="0" b="0"/>
          <wp:docPr id="5869802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9817059">
    <w:abstractNumId w:val="0"/>
  </w:num>
  <w:num w:numId="2" w16cid:durableId="949705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C"/>
    <w:rsid w:val="000449F4"/>
    <w:rsid w:val="000815CB"/>
    <w:rsid w:val="000E2809"/>
    <w:rsid w:val="001109CC"/>
    <w:rsid w:val="00157AC0"/>
    <w:rsid w:val="001C5BCC"/>
    <w:rsid w:val="001D4A86"/>
    <w:rsid w:val="00243512"/>
    <w:rsid w:val="002D4FEE"/>
    <w:rsid w:val="003250C9"/>
    <w:rsid w:val="00343CAF"/>
    <w:rsid w:val="0036697E"/>
    <w:rsid w:val="003748D8"/>
    <w:rsid w:val="00381802"/>
    <w:rsid w:val="0039240E"/>
    <w:rsid w:val="003B6208"/>
    <w:rsid w:val="003C79C3"/>
    <w:rsid w:val="00411178"/>
    <w:rsid w:val="00434E60"/>
    <w:rsid w:val="004A1472"/>
    <w:rsid w:val="004B3DC6"/>
    <w:rsid w:val="005259CE"/>
    <w:rsid w:val="005333FF"/>
    <w:rsid w:val="00593B42"/>
    <w:rsid w:val="00596AFB"/>
    <w:rsid w:val="005F70B0"/>
    <w:rsid w:val="00624446"/>
    <w:rsid w:val="00624629"/>
    <w:rsid w:val="00694319"/>
    <w:rsid w:val="00696CCE"/>
    <w:rsid w:val="006F1423"/>
    <w:rsid w:val="007561D8"/>
    <w:rsid w:val="007C0E7B"/>
    <w:rsid w:val="007E4BBF"/>
    <w:rsid w:val="007F1B27"/>
    <w:rsid w:val="00826B93"/>
    <w:rsid w:val="008858BD"/>
    <w:rsid w:val="008913F4"/>
    <w:rsid w:val="008B6367"/>
    <w:rsid w:val="009029FB"/>
    <w:rsid w:val="009C3618"/>
    <w:rsid w:val="009C4B75"/>
    <w:rsid w:val="009C7BD7"/>
    <w:rsid w:val="00A33E6F"/>
    <w:rsid w:val="00A35882"/>
    <w:rsid w:val="00AD22F1"/>
    <w:rsid w:val="00AF5124"/>
    <w:rsid w:val="00C44CDC"/>
    <w:rsid w:val="00C538C1"/>
    <w:rsid w:val="00C60F3C"/>
    <w:rsid w:val="00C801DF"/>
    <w:rsid w:val="00C86DC4"/>
    <w:rsid w:val="00CA2382"/>
    <w:rsid w:val="00CB7608"/>
    <w:rsid w:val="00CD14CA"/>
    <w:rsid w:val="00CD2BA0"/>
    <w:rsid w:val="00DC6641"/>
    <w:rsid w:val="00E3782C"/>
    <w:rsid w:val="00E66738"/>
    <w:rsid w:val="00EA25BE"/>
    <w:rsid w:val="00F135CC"/>
    <w:rsid w:val="00F22224"/>
    <w:rsid w:val="00F35891"/>
    <w:rsid w:val="00F94A9B"/>
    <w:rsid w:val="00FA5669"/>
    <w:rsid w:val="00FB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0E2809"/>
    <w:pPr>
      <w:widowControl/>
      <w:autoSpaceDE/>
      <w:autoSpaceDN/>
      <w:spacing w:after="200"/>
    </w:pPr>
    <w:rPr>
      <w:rFonts w:eastAsiaTheme="minorHAnsi" w:cstheme="minorBidi"/>
      <w:i/>
      <w:iCs/>
      <w:color w:val="1F497D" w:themeColor="text2"/>
      <w:kern w:val="2"/>
      <w:sz w:val="18"/>
      <w:szCs w:val="18"/>
      <w:lang w:val="pt-BR"/>
      <w14:ligatures w14:val="standardContextual"/>
    </w:rPr>
  </w:style>
  <w:style w:type="character" w:styleId="Hyperlink">
    <w:name w:val="Hyperlink"/>
    <w:basedOn w:val="Fontepargpadro"/>
    <w:uiPriority w:val="99"/>
    <w:unhideWhenUsed/>
    <w:rsid w:val="008B636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B6367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434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6673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blumenau.sc.gov.b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1815</Words>
  <Characters>9805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Alex Bley</cp:lastModifiedBy>
  <cp:revision>2</cp:revision>
  <cp:lastPrinted>2026-07-19T15:43:00Z</cp:lastPrinted>
  <dcterms:created xsi:type="dcterms:W3CDTF">2026-07-19T15:51:00Z</dcterms:created>
  <dcterms:modified xsi:type="dcterms:W3CDTF">2026-07-19T15:51:00Z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