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BUCAL EM PACIENTES COM TRANSTORNO DO ESPECTRO AUTISTA: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Eixo: Educação Multidisciplinar em Saúde Mental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Amanda Andressa de Souza Carvalho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Aluna do Mestrado em Odontologia do Projeto de Pós Graduação da Universidade Federal de Juiz de Fora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Alexia Cota Gomes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Aluna de graduação de Odontologia da Universidade Federal de Juiz de Fora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Aneliese Holetz de Toledo Lourenço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Professora Doutora da Universidade Federal de Juiz de Fora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saúde bucal de pacientes com Transtorno do Espectro Autista (TEA) requer atenção especial e personalizada. Muitos indivíduos com TEA podem enfrentar desafios na comunicação e na compreensão de rotinas de higiene bucal, o que torna essencial a adaptação de abordagens de cuidado oral.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da seguinte revisão é realizar uma busca da literatura recente acerca da saúde bucal de pacientes portadores do espectro autista para evidenciar quais as particularidades e riscos da condição para os tratamentos individualizados.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realizada entre janeiro e julho de 2023. A plataforma de busca dos artigos foi a "BVS Odontologia". Os critérios de inclusão foram artigos disponíveis na íntegra e artigos encontrados por meio dos descritores "odontologia" e "autismo". Já os critérios de exclusão foram artigos publicados anteriormente à 2021 e artigos que não apresentavam os termos odontologia e autismo no título. A pesquisa resultou em oito estudos, que foram então utilizados para a produção do presente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demonstram que os alimentos permanecem por mais tempo na cavidade oral de indivíduos com TEA devido a prejuízos na deglutição, o que associado a dificuldade de higienização, torna esses indivíduos mais suscetíveis a cárie dental (Ferrazzano et al. 2020). Além disso, respostas incomuns a estímulos sensoriais e a dificuldade em lidar com o estresse e a ansiedade são muito características do transtorno (Blomqvist et al. 2014). Dados estatísticos evidenciam que 70% a 90% dos pacientes com TEA são hipo ou hiper sensíveis ao toque, cheiro, som, sabor ou luz (Stein et al. 2013), o que pode influenciar, inclusive, no consumo de alimentos, que tende a ser com alto potencial cariogênico (Loo et al. 2008). Sendo assim, é evidente que os profissionais Cirurgiões-Dentistas devem trabalhar em estreita colaboração com cuidadores e pacientes, utilizando estratégias visuais, sensoriais e de reforço positivo para promover a escovação regular dos dentes e a visita às consultas odontológicas. Uma boa opção para o manejo odontológico de tais pacientes é a utilização de óculos de realidade virtual, que pode colaborar com o alívio de sintomas ansiosos durante as consultas odontológicas. Além disso, o uso de escovas elétricas pode facilitar e tornar mais eficiente a higienização bucal diária.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Pacientes com TEA apresentam dificuldades relacionadas ao manejo da saúde bucal, logo, é de suma importância uma abordagem holística e sensível às necessidades individuais, o que é possível de ser alcançado por meio de inovações tecnológicas, como o uso de dispositivos de realidade virtual e o uso de escovas elétricas.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Odontologia; Saúde Mental e Transtorno do Espectro Autista.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BALIAN, Araxi et al. A pedagogia visual é eficaz na melhoria da cooperação em matéria de higiene oral e cuidados dentários em crianças com perturbação do espectro do autismo? Uma revisão sistemática e meta-análise. Revista internacional de pesquisa ambiental e saúde pública , v. 18, n. 2, pág. 789, 2021.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KIND, LS et al. Satisfação dos pais com o atendimento odontológico de crianças holandesas com Transtorno do Espectro Autista. Arquivos Europeus de Odontopediatria , v. 22, p. 491-496, 2021.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PARRY, Jennifer Ann et al. Breve Relatório: Análise do tratamento odontológico realizado sob anestesia geral para crianças e adultos jovens com transtorno do espectro autista e identificação de desafios para os serviços odontológicos. Revista de Autismo e Transtornos do Desenvolvimento , v. 51, n. 12, pág. 4698-4703, 2021.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266700</wp:posOffset>
              </wp:positionV>
              <wp:extent cx="9370060" cy="431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67320" y="3570450"/>
                        <a:ext cx="9357360" cy="419100"/>
                      </a:xfrm>
                      <a:prstGeom prst="flowChartPunchedTape">
                        <a:avLst/>
                      </a:prstGeom>
                      <a:solidFill>
                        <a:srgbClr val="FFCCCC"/>
                      </a:solidFill>
                      <a:ln cap="flat" cmpd="sng" w="12700">
                        <a:solidFill>
                          <a:srgbClr val="FFCCC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266700</wp:posOffset>
              </wp:positionV>
              <wp:extent cx="9370060" cy="431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7006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-1247774</wp:posOffset>
          </wp:positionH>
          <wp:positionV relativeFrom="paragraph">
            <wp:posOffset>-450214</wp:posOffset>
          </wp:positionV>
          <wp:extent cx="9413240" cy="125158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3240" cy="1251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