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8AE43" w14:textId="77777777" w:rsidR="00A5636B" w:rsidRDefault="00A5636B">
      <w:pPr>
        <w:jc w:val="both"/>
        <w:rPr>
          <w:rFonts w:ascii="Calibri" w:eastAsia="Calibri" w:hAnsi="Calibri" w:cs="Calibri"/>
          <w:color w:val="000000"/>
        </w:rPr>
      </w:pPr>
    </w:p>
    <w:p w14:paraId="48121E26" w14:textId="77777777" w:rsidR="00A5636B" w:rsidRDefault="00A5636B">
      <w:pPr>
        <w:jc w:val="both"/>
        <w:rPr>
          <w:rFonts w:ascii="Calibri" w:eastAsia="Calibri" w:hAnsi="Calibri" w:cs="Calibri"/>
          <w:color w:val="000000"/>
        </w:rPr>
      </w:pPr>
    </w:p>
    <w:p w14:paraId="7A1B8186" w14:textId="77777777" w:rsidR="00A5636B" w:rsidRDefault="00000000">
      <w:pPr>
        <w:spacing w:after="120"/>
        <w:ind w:left="709" w:right="66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ECTOPIA DENTÁRIA E ANQUILOSE ASSOCIADO A TRAUMA EM ELEMENTO DECÍDUO: UM RELATO DE CASO</w:t>
      </w:r>
      <w:r>
        <w:rPr>
          <w:rFonts w:ascii="Calibri" w:eastAsia="Calibri" w:hAnsi="Calibri" w:cs="Calibri"/>
          <w:b/>
          <w:color w:val="000000"/>
          <w:sz w:val="28"/>
          <w:szCs w:val="28"/>
          <w:vertAlign w:val="superscript"/>
        </w:rPr>
        <w:footnoteReference w:id="1"/>
      </w:r>
    </w:p>
    <w:p w14:paraId="0C44FD33" w14:textId="77777777" w:rsidR="00A5636B" w:rsidRDefault="00A5636B">
      <w:pPr>
        <w:jc w:val="right"/>
        <w:rPr>
          <w:rFonts w:ascii="Cambria" w:eastAsia="Cambria" w:hAnsi="Cambria" w:cs="Cambria"/>
          <w:sz w:val="22"/>
          <w:szCs w:val="22"/>
        </w:rPr>
      </w:pPr>
    </w:p>
    <w:p w14:paraId="4DB24965" w14:textId="77777777" w:rsidR="00A5636B" w:rsidRDefault="00000000">
      <w:pPr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Monalisa Zaira de Carvalho Martins</w:t>
      </w:r>
      <w:r>
        <w:rPr>
          <w:rFonts w:ascii="Calibri" w:eastAsia="Calibri" w:hAnsi="Calibri" w:cs="Calibri"/>
          <w:sz w:val="22"/>
          <w:szCs w:val="22"/>
          <w:vertAlign w:val="superscript"/>
        </w:rPr>
        <w:footnoteReference w:id="2"/>
      </w:r>
    </w:p>
    <w:p w14:paraId="4BB6868D" w14:textId="77777777" w:rsidR="00A5636B" w:rsidRDefault="00000000">
      <w:pPr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Mayrla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Gabriella Campos Carneiro Amaral</w:t>
      </w:r>
      <w:r>
        <w:rPr>
          <w:rFonts w:ascii="Calibri" w:eastAsia="Calibri" w:hAnsi="Calibri" w:cs="Calibri"/>
          <w:sz w:val="22"/>
          <w:szCs w:val="22"/>
          <w:vertAlign w:val="superscript"/>
        </w:rPr>
        <w:footnoteReference w:id="3"/>
      </w:r>
    </w:p>
    <w:p w14:paraId="3454A76A" w14:textId="77777777" w:rsidR="00A5636B" w:rsidRDefault="00000000">
      <w:pPr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Neusa Barros Dantas Neta</w:t>
      </w:r>
      <w:r>
        <w:rPr>
          <w:rFonts w:ascii="Calibri" w:eastAsia="Calibri" w:hAnsi="Calibri" w:cs="Calibri"/>
          <w:sz w:val="22"/>
          <w:szCs w:val="22"/>
          <w:vertAlign w:val="superscript"/>
        </w:rPr>
        <w:footnoteReference w:id="4"/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2EA75F55" w14:textId="77777777" w:rsidR="00A5636B" w:rsidRDefault="00A5636B">
      <w:pPr>
        <w:spacing w:after="120"/>
        <w:ind w:left="709" w:right="665"/>
        <w:jc w:val="center"/>
        <w:rPr>
          <w:rFonts w:ascii="Calibri" w:eastAsia="Calibri" w:hAnsi="Calibri" w:cs="Calibri"/>
        </w:rPr>
      </w:pPr>
    </w:p>
    <w:p w14:paraId="660100D7" w14:textId="77777777" w:rsidR="00A5636B" w:rsidRDefault="00000000">
      <w:pPr>
        <w:spacing w:before="20" w:after="120"/>
        <w:ind w:right="66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RESUMO</w:t>
      </w:r>
    </w:p>
    <w:p w14:paraId="4F8A2473" w14:textId="485C8E5D" w:rsidR="00A5636B" w:rsidRPr="00EA4E99" w:rsidRDefault="00000000">
      <w:pPr>
        <w:spacing w:before="20"/>
        <w:jc w:val="both"/>
        <w:rPr>
          <w:rFonts w:ascii="Arial" w:eastAsia="Arial" w:hAnsi="Arial" w:cs="Arial"/>
        </w:rPr>
      </w:pPr>
      <w:r w:rsidRPr="00EA4E99">
        <w:rPr>
          <w:rFonts w:ascii="Arial" w:eastAsia="Arial" w:hAnsi="Arial" w:cs="Arial"/>
          <w:b/>
        </w:rPr>
        <w:t>INTRODUÇÃO</w:t>
      </w:r>
      <w:r w:rsidRPr="00EA4E99">
        <w:rPr>
          <w:rFonts w:ascii="Arial" w:eastAsia="Arial" w:hAnsi="Arial" w:cs="Arial"/>
        </w:rPr>
        <w:t xml:space="preserve">: </w:t>
      </w:r>
      <w:r w:rsidR="00EA4E99" w:rsidRPr="00EA4E99">
        <w:rPr>
          <w:rFonts w:ascii="Arial" w:eastAsia="Arial" w:hAnsi="Arial" w:cs="Arial"/>
        </w:rPr>
        <w:t>Os traumatismos dentários em dentes decíduos são frequentes na infância, com prevalência agregada de aproximadamente 26% no Brasil. Esses traumas podem impactar negativamente a qualidade de vida da criança, especialmente quando há complicações associadas. As lesões podem atingir estruturas dentárias, periodontais, ósseas e tecidos moles, afetando esmalte, dentina, polpa, ligamento periodontal e osso alveolar, o que pode resultar em distúrbios funcionais e estéticos. Clinicamente, a correta classificação do traumatismo é essencial para o planejamento terapêutico e definição do prognóstico.</w:t>
      </w:r>
      <w:r w:rsidR="00EA4E99" w:rsidRPr="00EA4E99">
        <w:rPr>
          <w:rFonts w:ascii="Arial" w:eastAsia="Arial" w:hAnsi="Arial" w:cs="Arial"/>
        </w:rPr>
        <w:t xml:space="preserve"> </w:t>
      </w:r>
      <w:r w:rsidR="00EA4E99" w:rsidRPr="00EA4E99">
        <w:rPr>
          <w:rFonts w:ascii="Arial" w:eastAsia="Arial" w:hAnsi="Arial" w:cs="Arial"/>
          <w:b/>
        </w:rPr>
        <w:t>RELATO</w:t>
      </w:r>
      <w:r w:rsidRPr="00EA4E99">
        <w:rPr>
          <w:rFonts w:ascii="Arial" w:eastAsia="Arial" w:hAnsi="Arial" w:cs="Arial"/>
          <w:b/>
        </w:rPr>
        <w:t xml:space="preserve"> DE CASO</w:t>
      </w:r>
      <w:r w:rsidRPr="00EA4E99">
        <w:rPr>
          <w:rFonts w:ascii="Arial" w:eastAsia="Arial" w:hAnsi="Arial" w:cs="Arial"/>
        </w:rPr>
        <w:t xml:space="preserve">: Paciente do sexo masculino de 7 anos foi atendido na clínica de </w:t>
      </w:r>
      <w:r w:rsidR="00EA4E99" w:rsidRPr="00EA4E99">
        <w:rPr>
          <w:rFonts w:ascii="Arial" w:eastAsia="Arial" w:hAnsi="Arial" w:cs="Arial"/>
        </w:rPr>
        <w:t>na clínica de Odontopediatria do Centro Universitário Santo Agostinho – UNIFSA</w:t>
      </w:r>
      <w:r w:rsidRPr="00EA4E99">
        <w:rPr>
          <w:rFonts w:ascii="Arial" w:eastAsia="Arial" w:hAnsi="Arial" w:cs="Arial"/>
        </w:rPr>
        <w:t xml:space="preserve">. No exame clínico notou-se escurecimento do elemento 51 e ectopia do elemento 11. </w:t>
      </w:r>
      <w:r w:rsidR="00EA4E99" w:rsidRPr="00EA4E99">
        <w:rPr>
          <w:rFonts w:ascii="Arial" w:eastAsia="Arial" w:hAnsi="Arial" w:cs="Arial"/>
        </w:rPr>
        <w:t>A avaliação radiográfica revelou reabsorção radicular irregular do elemento 51, permanência prolongada na cavidade oral e ausência de mobilidade, caracterizando anquilose. Como consequência, houve alteração no trajeto de erupção do dente permanente sucessor.</w:t>
      </w:r>
      <w:r w:rsidR="00EA4E99" w:rsidRPr="00EA4E99">
        <w:rPr>
          <w:rFonts w:ascii="Arial" w:eastAsia="Arial" w:hAnsi="Arial" w:cs="Arial"/>
        </w:rPr>
        <w:t xml:space="preserve"> </w:t>
      </w:r>
      <w:r w:rsidRPr="00EA4E99">
        <w:rPr>
          <w:rFonts w:ascii="Arial" w:eastAsia="Arial" w:hAnsi="Arial" w:cs="Arial"/>
        </w:rPr>
        <w:t xml:space="preserve">O plano de tratamento incluiu exodontia do elemento 51 e acompanhamento do elemento 11. </w:t>
      </w:r>
      <w:r w:rsidRPr="00EA4E99">
        <w:rPr>
          <w:rFonts w:ascii="Arial" w:eastAsia="Arial" w:hAnsi="Arial" w:cs="Arial"/>
          <w:b/>
        </w:rPr>
        <w:t>CONSIDERAÇÕES FINAIS</w:t>
      </w:r>
      <w:r w:rsidRPr="00EA4E99">
        <w:rPr>
          <w:rFonts w:ascii="Arial" w:eastAsia="Arial" w:hAnsi="Arial" w:cs="Arial"/>
        </w:rPr>
        <w:t>: O tratamento para reabilitação e acompanhamento das repercussões para a dentição decídua e permanente são importantes. Além disso, o diagnóstico preciso pelo cirurgião dentista é fundamental para orientar o plano de tratamento adequado, restaurando a saúde bucal do paciente e minimizando as sequelas decorrentes do trauma.</w:t>
      </w:r>
    </w:p>
    <w:p w14:paraId="01A542A6" w14:textId="77777777" w:rsidR="00A5636B" w:rsidRDefault="00000000">
      <w:pPr>
        <w:spacing w:before="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Descritores</w:t>
      </w:r>
      <w:r>
        <w:rPr>
          <w:rFonts w:ascii="Arial" w:eastAsia="Arial" w:hAnsi="Arial" w:cs="Arial"/>
        </w:rPr>
        <w:t>: Permanência prolongada. Odontopediatria. Trauma. Mostra de Casos Clínicos.</w:t>
      </w:r>
    </w:p>
    <w:p w14:paraId="3BFA78E0" w14:textId="77777777" w:rsidR="00A5636B" w:rsidRDefault="00A5636B">
      <w:pPr>
        <w:spacing w:before="20" w:after="30"/>
        <w:jc w:val="both"/>
        <w:rPr>
          <w:rFonts w:ascii="Arial" w:eastAsia="Arial" w:hAnsi="Arial" w:cs="Arial"/>
          <w:b/>
        </w:rPr>
      </w:pPr>
    </w:p>
    <w:p w14:paraId="12FC076A" w14:textId="77777777" w:rsidR="00A5636B" w:rsidRDefault="00A5636B">
      <w:pPr>
        <w:spacing w:after="120"/>
        <w:ind w:right="665"/>
        <w:jc w:val="both"/>
        <w:rPr>
          <w:rFonts w:ascii="Calibri" w:eastAsia="Calibri" w:hAnsi="Calibri" w:cs="Calibri"/>
        </w:rPr>
      </w:pPr>
    </w:p>
    <w:sectPr w:rsidR="00A5636B">
      <w:headerReference w:type="default" r:id="rId6"/>
      <w:footerReference w:type="default" r:id="rId7"/>
      <w:headerReference w:type="first" r:id="rId8"/>
      <w:pgSz w:w="11907" w:h="16840"/>
      <w:pgMar w:top="1134" w:right="1275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5D84F" w14:textId="77777777" w:rsidR="009C2230" w:rsidRDefault="009C2230">
      <w:r>
        <w:separator/>
      </w:r>
    </w:p>
  </w:endnote>
  <w:endnote w:type="continuationSeparator" w:id="0">
    <w:p w14:paraId="44E85ED3" w14:textId="77777777" w:rsidR="009C2230" w:rsidRDefault="009C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47CD9" w14:textId="77777777" w:rsidR="00A5636B" w:rsidRDefault="00A5636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b/>
        <w:color w:val="FFFFFF"/>
        <w:sz w:val="16"/>
        <w:szCs w:val="16"/>
      </w:rPr>
    </w:pPr>
  </w:p>
  <w:tbl>
    <w:tblPr>
      <w:tblStyle w:val="a"/>
      <w:tblpPr w:leftFromText="187" w:rightFromText="187" w:vertAnchor="text"/>
      <w:tblW w:w="9214" w:type="dxa"/>
      <w:tblInd w:w="0" w:type="dxa"/>
      <w:tblLayout w:type="fixed"/>
      <w:tblLook w:val="0400" w:firstRow="0" w:lastRow="0" w:firstColumn="0" w:lastColumn="0" w:noHBand="0" w:noVBand="1"/>
    </w:tblPr>
    <w:tblGrid>
      <w:gridCol w:w="7371"/>
      <w:gridCol w:w="1843"/>
    </w:tblGrid>
    <w:tr w:rsidR="00A5636B" w14:paraId="0DB46275" w14:textId="77777777">
      <w:trPr>
        <w:trHeight w:val="727"/>
      </w:trPr>
      <w:tc>
        <w:tcPr>
          <w:tcW w:w="7371" w:type="dxa"/>
          <w:tcBorders>
            <w:right w:val="single" w:sz="4" w:space="0" w:color="4F81BD"/>
          </w:tcBorders>
        </w:tcPr>
        <w:p w14:paraId="4EC64D86" w14:textId="77777777" w:rsidR="00A5636B" w:rsidRDefault="00A5636B">
          <w:pPr>
            <w:tabs>
              <w:tab w:val="left" w:pos="620"/>
              <w:tab w:val="center" w:pos="4320"/>
            </w:tabs>
            <w:jc w:val="right"/>
            <w:rPr>
              <w:rFonts w:ascii="Calibri" w:eastAsia="Calibri" w:hAnsi="Calibri" w:cs="Calibri"/>
              <w:b/>
              <w:color w:val="17365D"/>
              <w:sz w:val="20"/>
              <w:szCs w:val="20"/>
            </w:rPr>
          </w:pPr>
        </w:p>
      </w:tc>
      <w:tc>
        <w:tcPr>
          <w:tcW w:w="1843" w:type="dxa"/>
          <w:tcBorders>
            <w:left w:val="single" w:sz="4" w:space="0" w:color="4F81BD"/>
          </w:tcBorders>
        </w:tcPr>
        <w:p w14:paraId="2898EC77" w14:textId="77777777" w:rsidR="00A5636B" w:rsidRDefault="00000000">
          <w:pPr>
            <w:tabs>
              <w:tab w:val="left" w:pos="1490"/>
            </w:tabs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begin"/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instrText>PAGE</w:instrText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separate"/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end"/>
          </w:r>
        </w:p>
      </w:tc>
    </w:tr>
  </w:tbl>
  <w:p w14:paraId="5C31D215" w14:textId="77777777" w:rsidR="00A5636B" w:rsidRDefault="00A563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D3E78" w14:textId="77777777" w:rsidR="009C2230" w:rsidRDefault="009C2230">
      <w:r>
        <w:separator/>
      </w:r>
    </w:p>
  </w:footnote>
  <w:footnote w:type="continuationSeparator" w:id="0">
    <w:p w14:paraId="4ECB45D7" w14:textId="77777777" w:rsidR="009C2230" w:rsidRDefault="009C2230">
      <w:r>
        <w:continuationSeparator/>
      </w:r>
    </w:p>
  </w:footnote>
  <w:footnote w:id="1">
    <w:p w14:paraId="760C9977" w14:textId="77777777" w:rsidR="00A5636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Trabalho apresentado na V Jornada Acadêmica de Odontologia (JAO), promovida pelo Centro Universitário Santo Agostinho, nos dias 29 e 30 de maio de 2025.</w:t>
      </w:r>
    </w:p>
  </w:footnote>
  <w:footnote w:id="2">
    <w:p w14:paraId="5C685FF1" w14:textId="77777777" w:rsidR="00A5636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Autor. Estudante do curso de graduação em Odontologia no Centro Universitário Santo Agostinho (UNIFSA).  </w:t>
      </w:r>
    </w:p>
  </w:footnote>
  <w:footnote w:id="3">
    <w:p w14:paraId="2B35882E" w14:textId="77777777" w:rsidR="00A5636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Autor. Estudante do curso de graduação em Odontologia no Centro Universitário Santo Agostinho (UNIFSA).   </w:t>
      </w:r>
    </w:p>
  </w:footnote>
  <w:footnote w:id="4">
    <w:p w14:paraId="3FB60834" w14:textId="67756C7D" w:rsidR="00A5636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Doutora em Odontopediatria</w:t>
      </w:r>
      <w:r w:rsidR="00EA4E99">
        <w:rPr>
          <w:color w:val="000000"/>
          <w:sz w:val="20"/>
          <w:szCs w:val="20"/>
        </w:rPr>
        <w:t xml:space="preserve"> pela UFMG</w:t>
      </w:r>
      <w:r>
        <w:rPr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>Professora do Centro Universitário Santo Agostinho (UNIFSA). Orientadora da Pesquisa.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D88ED" w14:textId="77777777" w:rsidR="00A5636B" w:rsidRDefault="00A563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26EAA9B1" w14:textId="77777777" w:rsidR="00A5636B" w:rsidRDefault="00A563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</w:rPr>
    </w:pPr>
  </w:p>
  <w:p w14:paraId="137CAA9E" w14:textId="77777777" w:rsidR="00A5636B" w:rsidRDefault="00A563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75BA3" w14:textId="77777777" w:rsidR="00A563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29842DA" wp14:editId="76495346">
          <wp:simplePos x="0" y="0"/>
          <wp:positionH relativeFrom="column">
            <wp:posOffset>-662302</wp:posOffset>
          </wp:positionH>
          <wp:positionV relativeFrom="paragraph">
            <wp:posOffset>-307203</wp:posOffset>
          </wp:positionV>
          <wp:extent cx="7248500" cy="1484416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B3370A" w14:textId="77777777" w:rsidR="00A5636B" w:rsidRDefault="00A563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5E531E4C" w14:textId="77777777" w:rsidR="00A5636B" w:rsidRDefault="00A563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35BE3522" w14:textId="77777777" w:rsidR="00A5636B" w:rsidRDefault="00A563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5D0925ED" w14:textId="77777777" w:rsidR="00A5636B" w:rsidRDefault="00A563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4300E75D" w14:textId="77777777" w:rsidR="00A5636B" w:rsidRDefault="00A563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14B8B4B4" w14:textId="77777777" w:rsidR="00A5636B" w:rsidRDefault="00A563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CF90FAC" w14:textId="77777777" w:rsidR="00A5636B" w:rsidRDefault="00A563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49DAE864" w14:textId="77777777" w:rsidR="00A5636B" w:rsidRDefault="00A563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6E1212ED" w14:textId="77777777" w:rsidR="00A5636B" w:rsidRDefault="00A563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466CFCB1" w14:textId="77777777" w:rsidR="00A5636B" w:rsidRDefault="00A563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5E26F009" w14:textId="77777777" w:rsidR="00A5636B" w:rsidRDefault="00000000">
    <w:pPr>
      <w:pBdr>
        <w:top w:val="nil"/>
        <w:left w:val="nil"/>
        <w:bottom w:val="nil"/>
        <w:right w:val="nil"/>
        <w:between w:val="nil"/>
      </w:pBdr>
      <w:shd w:val="clear" w:color="auto" w:fill="366091"/>
      <w:tabs>
        <w:tab w:val="center" w:pos="4252"/>
        <w:tab w:val="right" w:pos="8504"/>
      </w:tabs>
      <w:ind w:left="-284" w:right="-284"/>
      <w:jc w:val="center"/>
      <w:rPr>
        <w:rFonts w:ascii="Calibri" w:eastAsia="Calibri" w:hAnsi="Calibri" w:cs="Calibri"/>
        <w:b/>
        <w:color w:val="FFFFFF"/>
        <w:sz w:val="16"/>
        <w:szCs w:val="16"/>
      </w:rPr>
    </w:pPr>
    <w:r>
      <w:rPr>
        <w:rFonts w:ascii="Calibri" w:eastAsia="Calibri" w:hAnsi="Calibri" w:cs="Calibri"/>
        <w:b/>
        <w:color w:val="FFFFFF"/>
        <w:sz w:val="16"/>
        <w:szCs w:val="16"/>
      </w:rPr>
      <w:t xml:space="preserve">ANAIS 5º JAO UNIFSA 2025 | 29 e 30 de maio de 2025 | Centro Universitário Santo Agostinho - Teresina – PI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36B"/>
    <w:rsid w:val="006B798F"/>
    <w:rsid w:val="009C2230"/>
    <w:rsid w:val="00A5636B"/>
    <w:rsid w:val="00EA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423D"/>
  <w15:docId w15:val="{4F9856CD-C648-488E-8EBD-FE047B2E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line="360" w:lineRule="auto"/>
      <w:jc w:val="both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line="360" w:lineRule="auto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Neusa Barros</dc:creator>
  <cp:lastModifiedBy>Neusa Barros</cp:lastModifiedBy>
  <cp:revision>2</cp:revision>
  <dcterms:created xsi:type="dcterms:W3CDTF">2025-05-23T04:49:00Z</dcterms:created>
  <dcterms:modified xsi:type="dcterms:W3CDTF">2025-05-23T04:49:00Z</dcterms:modified>
</cp:coreProperties>
</file>