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4014" w:rsidRDefault="00E64BAF">
      <w:r>
        <w:rPr>
          <w:noProof/>
          <w:lang w:eastAsia="pt-BR"/>
        </w:rPr>
        <w:drawing>
          <wp:inline distT="0" distB="0" distL="0" distR="0">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rsidR="00DB17C8" w:rsidRPr="00C3185F" w:rsidRDefault="00DB17C8" w:rsidP="00DB17C8">
      <w:pPr>
        <w:spacing w:after="0" w:line="240" w:lineRule="auto"/>
        <w:jc w:val="center"/>
        <w:rPr>
          <w:rStyle w:val="Forte"/>
          <w:rFonts w:ascii="Times New Roman" w:hAnsi="Times New Roman" w:cs="Times New Roman"/>
          <w:sz w:val="24"/>
          <w:szCs w:val="24"/>
        </w:rPr>
      </w:pPr>
      <w:r w:rsidRPr="00C3185F">
        <w:rPr>
          <w:rStyle w:val="Forte"/>
          <w:rFonts w:ascii="Times New Roman" w:hAnsi="Times New Roman" w:cs="Times New Roman"/>
          <w:sz w:val="24"/>
          <w:szCs w:val="24"/>
        </w:rPr>
        <w:t>NIVELAMENTO ACADÊMICO COMO POLÍTICA DE ATENDIMENTO AOS ESTUDANTES: POSSIBILIDADES, FINALIDADES E</w:t>
      </w:r>
      <w:r>
        <w:rPr>
          <w:rStyle w:val="Forte"/>
          <w:rFonts w:ascii="Times New Roman" w:hAnsi="Times New Roman" w:cs="Times New Roman"/>
          <w:sz w:val="24"/>
          <w:szCs w:val="24"/>
        </w:rPr>
        <w:t xml:space="preserve"> </w:t>
      </w:r>
      <w:r w:rsidRPr="00C3185F">
        <w:rPr>
          <w:rStyle w:val="Forte"/>
          <w:rFonts w:ascii="Times New Roman" w:hAnsi="Times New Roman" w:cs="Times New Roman"/>
          <w:sz w:val="24"/>
          <w:szCs w:val="24"/>
        </w:rPr>
        <w:t>CONTRIBUIÇÕES</w:t>
      </w:r>
    </w:p>
    <w:p w:rsidR="00DB17C8" w:rsidRDefault="00DB17C8" w:rsidP="00342DF4">
      <w:pPr>
        <w:spacing w:after="0" w:line="240" w:lineRule="auto"/>
        <w:jc w:val="center"/>
        <w:rPr>
          <w:rFonts w:ascii="Times New Roman" w:eastAsia="Times New Roman" w:hAnsi="Times New Roman" w:cs="Times New Roman"/>
          <w:b/>
          <w:bCs/>
          <w:sz w:val="24"/>
          <w:szCs w:val="24"/>
          <w:lang w:eastAsia="pt-BR"/>
        </w:rPr>
      </w:pPr>
    </w:p>
    <w:p w:rsidR="00342DF4" w:rsidRDefault="00342DF4" w:rsidP="00342DF4">
      <w:pPr>
        <w:spacing w:after="0" w:line="240" w:lineRule="auto"/>
        <w:jc w:val="right"/>
        <w:rPr>
          <w:rFonts w:ascii="Times New Roman" w:eastAsia="Times New Roman" w:hAnsi="Times New Roman" w:cs="Times New Roman"/>
          <w:bCs/>
          <w:sz w:val="24"/>
          <w:szCs w:val="24"/>
          <w:lang w:eastAsia="pt-BR"/>
        </w:rPr>
      </w:pPr>
    </w:p>
    <w:p w:rsidR="00342DF4" w:rsidRDefault="00DB17C8" w:rsidP="00342DF4">
      <w:pPr>
        <w:spacing w:after="0" w:line="240" w:lineRule="auto"/>
        <w:jc w:val="right"/>
        <w:rPr>
          <w:rFonts w:ascii="Times New Roman" w:eastAsia="Times New Roman" w:hAnsi="Times New Roman" w:cs="Times New Roman"/>
          <w:bCs/>
          <w:sz w:val="24"/>
          <w:szCs w:val="24"/>
          <w:lang w:eastAsia="pt-BR"/>
        </w:rPr>
      </w:pPr>
      <w:proofErr w:type="spellStart"/>
      <w:r>
        <w:rPr>
          <w:rFonts w:ascii="Times New Roman" w:eastAsia="Times New Roman" w:hAnsi="Times New Roman" w:cs="Times New Roman"/>
          <w:bCs/>
          <w:sz w:val="24"/>
          <w:szCs w:val="24"/>
          <w:lang w:eastAsia="pt-BR"/>
        </w:rPr>
        <w:t>Geusiani</w:t>
      </w:r>
      <w:proofErr w:type="spellEnd"/>
      <w:r>
        <w:rPr>
          <w:rFonts w:ascii="Times New Roman" w:eastAsia="Times New Roman" w:hAnsi="Times New Roman" w:cs="Times New Roman"/>
          <w:bCs/>
          <w:sz w:val="24"/>
          <w:szCs w:val="24"/>
          <w:lang w:eastAsia="pt-BR"/>
        </w:rPr>
        <w:t xml:space="preserve"> Pereira Silva e Nascimento</w:t>
      </w:r>
    </w:p>
    <w:p w:rsidR="00342DF4" w:rsidRDefault="00DB17C8"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Curso de Serviço Social / Universidade Estadual de Montes Claros (</w:t>
      </w:r>
      <w:proofErr w:type="spellStart"/>
      <w:r>
        <w:rPr>
          <w:rFonts w:ascii="Times New Roman" w:eastAsia="Times New Roman" w:hAnsi="Times New Roman" w:cs="Times New Roman"/>
          <w:sz w:val="24"/>
          <w:szCs w:val="24"/>
          <w:lang w:eastAsia="pt-BR"/>
        </w:rPr>
        <w:t>Unimontes</w:t>
      </w:r>
      <w:proofErr w:type="spellEnd"/>
      <w:r>
        <w:rPr>
          <w:rFonts w:ascii="Times New Roman" w:eastAsia="Times New Roman" w:hAnsi="Times New Roman" w:cs="Times New Roman"/>
          <w:sz w:val="24"/>
          <w:szCs w:val="24"/>
          <w:lang w:eastAsia="pt-BR"/>
        </w:rPr>
        <w:t>)</w:t>
      </w:r>
    </w:p>
    <w:p w:rsidR="00DB17C8" w:rsidRDefault="00DB17C8"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Doutoranda em educação pela Universidade de Brasília (UnB)</w:t>
      </w:r>
    </w:p>
    <w:p w:rsidR="00342DF4" w:rsidRDefault="00342DF4"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E-mail</w:t>
      </w:r>
      <w:r w:rsidR="00DB17C8">
        <w:rPr>
          <w:rFonts w:ascii="Times New Roman" w:eastAsia="Times New Roman" w:hAnsi="Times New Roman" w:cs="Times New Roman"/>
          <w:sz w:val="24"/>
          <w:szCs w:val="24"/>
          <w:lang w:eastAsia="pt-BR"/>
        </w:rPr>
        <w:t>: geusiani.nascimento@unimontes.br</w:t>
      </w:r>
    </w:p>
    <w:p w:rsidR="00DB17C8" w:rsidRDefault="00DB17C8" w:rsidP="00342DF4">
      <w:pPr>
        <w:spacing w:after="0" w:line="240" w:lineRule="auto"/>
        <w:jc w:val="right"/>
        <w:rPr>
          <w:rFonts w:ascii="Times New Roman" w:eastAsia="Times New Roman" w:hAnsi="Times New Roman" w:cs="Times New Roman"/>
          <w:sz w:val="24"/>
          <w:szCs w:val="24"/>
          <w:lang w:eastAsia="pt-BR"/>
        </w:rPr>
      </w:pPr>
    </w:p>
    <w:p w:rsidR="00DB17C8" w:rsidRDefault="00DB17C8" w:rsidP="00342DF4">
      <w:pPr>
        <w:spacing w:after="0" w:line="240" w:lineRule="auto"/>
        <w:jc w:val="right"/>
        <w:rPr>
          <w:rFonts w:ascii="Times New Roman" w:eastAsia="Times New Roman" w:hAnsi="Times New Roman" w:cs="Times New Roman"/>
          <w:sz w:val="24"/>
          <w:szCs w:val="24"/>
          <w:lang w:eastAsia="pt-BR"/>
        </w:rPr>
      </w:pPr>
    </w:p>
    <w:p w:rsidR="00342DF4" w:rsidRPr="00DB17C8" w:rsidRDefault="00342DF4" w:rsidP="00342DF4">
      <w:pPr>
        <w:spacing w:after="0" w:line="240" w:lineRule="auto"/>
        <w:jc w:val="right"/>
        <w:rPr>
          <w:rFonts w:ascii="Times New Roman" w:eastAsia="Times New Roman" w:hAnsi="Times New Roman" w:cs="Times New Roman"/>
          <w:b/>
          <w:bCs/>
          <w:color w:val="000000" w:themeColor="text1"/>
          <w:sz w:val="24"/>
          <w:szCs w:val="24"/>
          <w:lang w:eastAsia="pt-BR"/>
        </w:rPr>
      </w:pPr>
      <w:r w:rsidRPr="00DB17C8">
        <w:rPr>
          <w:rFonts w:ascii="Times New Roman" w:eastAsia="Times New Roman" w:hAnsi="Times New Roman" w:cs="Times New Roman"/>
          <w:b/>
          <w:bCs/>
          <w:color w:val="000000" w:themeColor="text1"/>
          <w:sz w:val="24"/>
          <w:szCs w:val="24"/>
          <w:lang w:eastAsia="pt-BR"/>
        </w:rPr>
        <w:t>Eixo</w:t>
      </w:r>
      <w:r w:rsidR="00DB17C8">
        <w:rPr>
          <w:rFonts w:ascii="Times New Roman" w:eastAsia="Times New Roman" w:hAnsi="Times New Roman" w:cs="Times New Roman"/>
          <w:b/>
          <w:bCs/>
          <w:color w:val="000000" w:themeColor="text1"/>
          <w:sz w:val="24"/>
          <w:szCs w:val="24"/>
          <w:lang w:eastAsia="pt-BR"/>
        </w:rPr>
        <w:t xml:space="preserve"> 3:</w:t>
      </w:r>
      <w:r w:rsidR="00DB17C8" w:rsidRPr="00DB17C8">
        <w:rPr>
          <w:rFonts w:ascii="Times New Roman" w:eastAsia="Times New Roman" w:hAnsi="Times New Roman" w:cs="Times New Roman"/>
          <w:b/>
          <w:bCs/>
          <w:color w:val="000000" w:themeColor="text1"/>
          <w:sz w:val="24"/>
          <w:szCs w:val="24"/>
          <w:lang w:eastAsia="pt-BR"/>
        </w:rPr>
        <w:t xml:space="preserve"> </w:t>
      </w:r>
      <w:r w:rsidR="00DB17C8" w:rsidRPr="00DB17C8">
        <w:rPr>
          <w:rStyle w:val="Forte"/>
          <w:rFonts w:ascii="Times New Roman" w:hAnsi="Times New Roman" w:cs="Times New Roman"/>
          <w:color w:val="000000" w:themeColor="text1"/>
          <w:sz w:val="24"/>
          <w:szCs w:val="24"/>
          <w:shd w:val="clear" w:color="auto" w:fill="F7F9FA"/>
        </w:rPr>
        <w:t>Políticas Públicas e Gestão Educacional na Perspectiva Inclusiva</w:t>
      </w:r>
    </w:p>
    <w:p w:rsidR="00DB17C8" w:rsidRPr="00B30250" w:rsidRDefault="00342DF4" w:rsidP="00DB17C8">
      <w:pPr>
        <w:spacing w:after="0" w:line="240" w:lineRule="auto"/>
        <w:jc w:val="right"/>
        <w:rPr>
          <w:rStyle w:val="Forte"/>
          <w:rFonts w:ascii="Times New Roman" w:hAnsi="Times New Roman" w:cs="Times New Roman"/>
          <w:b w:val="0"/>
          <w:sz w:val="24"/>
          <w:szCs w:val="24"/>
        </w:rPr>
      </w:pPr>
      <w:r>
        <w:rPr>
          <w:rFonts w:ascii="Times New Roman" w:eastAsia="Times New Roman" w:hAnsi="Times New Roman" w:cs="Times New Roman"/>
          <w:b/>
          <w:sz w:val="24"/>
          <w:szCs w:val="24"/>
          <w:lang w:eastAsia="pt-BR"/>
        </w:rPr>
        <w:t>Palavras-chave:</w:t>
      </w:r>
      <w:r w:rsidR="00DC79A8">
        <w:rPr>
          <w:rFonts w:ascii="Times New Roman" w:eastAsia="Times New Roman" w:hAnsi="Times New Roman" w:cs="Times New Roman"/>
          <w:b/>
          <w:sz w:val="24"/>
          <w:szCs w:val="24"/>
          <w:lang w:eastAsia="pt-BR"/>
        </w:rPr>
        <w:t xml:space="preserve"> </w:t>
      </w:r>
      <w:r w:rsidR="00DB17C8" w:rsidRPr="00B30250">
        <w:rPr>
          <w:rStyle w:val="Forte"/>
          <w:rFonts w:ascii="Times New Roman" w:hAnsi="Times New Roman" w:cs="Times New Roman"/>
          <w:b w:val="0"/>
          <w:sz w:val="24"/>
          <w:szCs w:val="24"/>
        </w:rPr>
        <w:t>Nivelamento acadêmico</w:t>
      </w:r>
      <w:r w:rsidR="00DB17C8">
        <w:rPr>
          <w:rStyle w:val="Forte"/>
          <w:rFonts w:ascii="Times New Roman" w:hAnsi="Times New Roman" w:cs="Times New Roman"/>
          <w:b w:val="0"/>
          <w:sz w:val="24"/>
          <w:szCs w:val="24"/>
        </w:rPr>
        <w:t xml:space="preserve">. </w:t>
      </w:r>
      <w:r w:rsidR="00DB17C8" w:rsidRPr="00B30250">
        <w:rPr>
          <w:rStyle w:val="Forte"/>
          <w:rFonts w:ascii="Times New Roman" w:hAnsi="Times New Roman" w:cs="Times New Roman"/>
          <w:b w:val="0"/>
          <w:sz w:val="24"/>
          <w:szCs w:val="24"/>
        </w:rPr>
        <w:t xml:space="preserve">Políticas de </w:t>
      </w:r>
      <w:r w:rsidR="00DB17C8">
        <w:rPr>
          <w:rStyle w:val="Forte"/>
          <w:rFonts w:ascii="Times New Roman" w:hAnsi="Times New Roman" w:cs="Times New Roman"/>
          <w:b w:val="0"/>
          <w:sz w:val="24"/>
          <w:szCs w:val="24"/>
        </w:rPr>
        <w:t xml:space="preserve">atendimento ao estudante. Educação superior. Permanência estudantil. </w:t>
      </w:r>
      <w:r w:rsidR="00DB17C8" w:rsidRPr="00B30250">
        <w:rPr>
          <w:rStyle w:val="Forte"/>
          <w:rFonts w:ascii="Times New Roman" w:hAnsi="Times New Roman" w:cs="Times New Roman"/>
          <w:b w:val="0"/>
          <w:sz w:val="24"/>
          <w:szCs w:val="24"/>
        </w:rPr>
        <w:t>Materialismo histórico</w:t>
      </w:r>
      <w:r w:rsidR="00DB17C8">
        <w:rPr>
          <w:rStyle w:val="Forte"/>
          <w:rFonts w:ascii="Times New Roman" w:hAnsi="Times New Roman" w:cs="Times New Roman"/>
          <w:b w:val="0"/>
          <w:sz w:val="24"/>
          <w:szCs w:val="24"/>
        </w:rPr>
        <w:t xml:space="preserve"> </w:t>
      </w:r>
      <w:r w:rsidR="00DB17C8" w:rsidRPr="00B30250">
        <w:rPr>
          <w:rStyle w:val="Forte"/>
          <w:rFonts w:ascii="Times New Roman" w:hAnsi="Times New Roman" w:cs="Times New Roman"/>
          <w:b w:val="0"/>
          <w:sz w:val="24"/>
          <w:szCs w:val="24"/>
        </w:rPr>
        <w:t>dialético</w:t>
      </w:r>
      <w:r w:rsidR="00DB17C8">
        <w:rPr>
          <w:rStyle w:val="Forte"/>
          <w:rFonts w:ascii="Times New Roman" w:hAnsi="Times New Roman" w:cs="Times New Roman"/>
          <w:b w:val="0"/>
          <w:sz w:val="24"/>
          <w:szCs w:val="24"/>
        </w:rPr>
        <w:t>.</w:t>
      </w:r>
    </w:p>
    <w:p w:rsidR="00DB17C8" w:rsidRDefault="00DB17C8"/>
    <w:p w:rsidR="00DB17C8" w:rsidRDefault="00DB17C8"/>
    <w:p w:rsidR="00131A12" w:rsidRDefault="00131A12" w:rsidP="00131A12">
      <w:pPr>
        <w:spacing w:after="0" w:line="240" w:lineRule="auto"/>
        <w:jc w:val="both"/>
        <w:rPr>
          <w:rStyle w:val="Forte"/>
          <w:rFonts w:ascii="Times New Roman" w:hAnsi="Times New Roman" w:cs="Times New Roman"/>
          <w:b w:val="0"/>
          <w:sz w:val="24"/>
          <w:szCs w:val="24"/>
        </w:rPr>
      </w:pPr>
      <w:r w:rsidRPr="00972BFA">
        <w:rPr>
          <w:rStyle w:val="Forte"/>
          <w:rFonts w:ascii="Times New Roman" w:hAnsi="Times New Roman" w:cs="Times New Roman"/>
          <w:sz w:val="24"/>
          <w:szCs w:val="24"/>
        </w:rPr>
        <w:t>Introdução</w:t>
      </w:r>
      <w:r>
        <w:rPr>
          <w:rStyle w:val="Forte"/>
          <w:rFonts w:ascii="Times New Roman" w:hAnsi="Times New Roman" w:cs="Times New Roman"/>
          <w:sz w:val="24"/>
          <w:szCs w:val="24"/>
        </w:rPr>
        <w:t xml:space="preserve">: </w:t>
      </w:r>
      <w:r w:rsidRPr="00972BFA">
        <w:rPr>
          <w:rFonts w:ascii="Times New Roman" w:hAnsi="Times New Roman" w:cs="Times New Roman"/>
          <w:sz w:val="24"/>
          <w:szCs w:val="24"/>
        </w:rPr>
        <w:t>Embora a expansão e a massificação da educação superior</w:t>
      </w:r>
      <w:r>
        <w:rPr>
          <w:rFonts w:ascii="Times New Roman" w:hAnsi="Times New Roman" w:cs="Times New Roman"/>
          <w:sz w:val="24"/>
          <w:szCs w:val="24"/>
        </w:rPr>
        <w:t xml:space="preserve"> (</w:t>
      </w:r>
      <w:r w:rsidRPr="00972BFA">
        <w:rPr>
          <w:rFonts w:ascii="Times New Roman" w:hAnsi="Times New Roman" w:cs="Times New Roman"/>
          <w:sz w:val="24"/>
          <w:szCs w:val="24"/>
        </w:rPr>
        <w:t>desde a década de 1990</w:t>
      </w:r>
      <w:r>
        <w:rPr>
          <w:rFonts w:ascii="Times New Roman" w:hAnsi="Times New Roman" w:cs="Times New Roman"/>
          <w:sz w:val="24"/>
          <w:szCs w:val="24"/>
        </w:rPr>
        <w:t>)</w:t>
      </w:r>
      <w:r w:rsidRPr="00972BFA">
        <w:rPr>
          <w:rFonts w:ascii="Times New Roman" w:hAnsi="Times New Roman" w:cs="Times New Roman"/>
          <w:sz w:val="24"/>
          <w:szCs w:val="24"/>
        </w:rPr>
        <w:t>, representem avanços n</w:t>
      </w:r>
      <w:r>
        <w:rPr>
          <w:rFonts w:ascii="Times New Roman" w:hAnsi="Times New Roman" w:cs="Times New Roman"/>
          <w:sz w:val="24"/>
          <w:szCs w:val="24"/>
        </w:rPr>
        <w:t>a</w:t>
      </w:r>
      <w:r w:rsidRPr="00972BFA">
        <w:rPr>
          <w:rFonts w:ascii="Times New Roman" w:hAnsi="Times New Roman" w:cs="Times New Roman"/>
          <w:sz w:val="24"/>
          <w:szCs w:val="24"/>
        </w:rPr>
        <w:t xml:space="preserve"> democratização do sistema</w:t>
      </w:r>
      <w:r>
        <w:rPr>
          <w:rFonts w:ascii="Times New Roman" w:hAnsi="Times New Roman" w:cs="Times New Roman"/>
          <w:sz w:val="24"/>
          <w:szCs w:val="24"/>
        </w:rPr>
        <w:t xml:space="preserve"> educacional brasileiro</w:t>
      </w:r>
      <w:r w:rsidRPr="00972BFA">
        <w:rPr>
          <w:rFonts w:ascii="Times New Roman" w:hAnsi="Times New Roman" w:cs="Times New Roman"/>
          <w:sz w:val="24"/>
          <w:szCs w:val="24"/>
        </w:rPr>
        <w:t>, tais medidas não garantiram</w:t>
      </w:r>
      <w:r>
        <w:rPr>
          <w:rFonts w:ascii="Times New Roman" w:hAnsi="Times New Roman" w:cs="Times New Roman"/>
          <w:sz w:val="24"/>
          <w:szCs w:val="24"/>
        </w:rPr>
        <w:t xml:space="preserve">, </w:t>
      </w:r>
      <w:r w:rsidRPr="00972BFA">
        <w:rPr>
          <w:rFonts w:ascii="Times New Roman" w:hAnsi="Times New Roman" w:cs="Times New Roman"/>
          <w:sz w:val="24"/>
          <w:szCs w:val="24"/>
        </w:rPr>
        <w:t>e ainda não garantem, a inclusão efetiva das camadas historicamente excluídas do acesso à universidade.</w:t>
      </w:r>
      <w:r>
        <w:rPr>
          <w:rFonts w:ascii="Times New Roman" w:hAnsi="Times New Roman" w:cs="Times New Roman"/>
          <w:sz w:val="24"/>
          <w:szCs w:val="24"/>
        </w:rPr>
        <w:t xml:space="preserve"> </w:t>
      </w:r>
      <w:r w:rsidRPr="000A73A4">
        <w:rPr>
          <w:rFonts w:ascii="Times New Roman" w:eastAsia="Times New Roman" w:hAnsi="Times New Roman" w:cs="Times New Roman"/>
          <w:sz w:val="24"/>
          <w:szCs w:val="24"/>
          <w:lang w:eastAsia="pt-BR"/>
        </w:rPr>
        <w:t xml:space="preserve">Mesmo com novas vagas, formas de ingresso </w:t>
      </w:r>
      <w:r>
        <w:rPr>
          <w:rFonts w:ascii="Times New Roman" w:eastAsia="Times New Roman" w:hAnsi="Times New Roman" w:cs="Times New Roman"/>
          <w:sz w:val="24"/>
          <w:szCs w:val="24"/>
          <w:lang w:eastAsia="pt-BR"/>
        </w:rPr>
        <w:t xml:space="preserve">ampliadas </w:t>
      </w:r>
      <w:r w:rsidRPr="000A73A4">
        <w:rPr>
          <w:rFonts w:ascii="Times New Roman" w:eastAsia="Times New Roman" w:hAnsi="Times New Roman" w:cs="Times New Roman"/>
          <w:sz w:val="24"/>
          <w:szCs w:val="24"/>
          <w:lang w:eastAsia="pt-BR"/>
        </w:rPr>
        <w:t xml:space="preserve">e a reserva de cotas para grupos </w:t>
      </w:r>
      <w:r>
        <w:rPr>
          <w:rFonts w:ascii="Times New Roman" w:eastAsia="Times New Roman" w:hAnsi="Times New Roman" w:cs="Times New Roman"/>
          <w:sz w:val="24"/>
          <w:szCs w:val="24"/>
          <w:lang w:eastAsia="pt-BR"/>
        </w:rPr>
        <w:t>vulnerabilizados</w:t>
      </w:r>
      <w:r w:rsidRPr="000A73A4">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persistem</w:t>
      </w:r>
      <w:r w:rsidRPr="000A73A4">
        <w:rPr>
          <w:rFonts w:ascii="Times New Roman" w:eastAsia="Times New Roman" w:hAnsi="Times New Roman" w:cs="Times New Roman"/>
          <w:sz w:val="24"/>
          <w:szCs w:val="24"/>
          <w:lang w:eastAsia="pt-BR"/>
        </w:rPr>
        <w:t xml:space="preserve"> barreiras significativas de ordem material e acadêmica, </w:t>
      </w:r>
      <w:r>
        <w:rPr>
          <w:rFonts w:ascii="Times New Roman" w:eastAsia="Times New Roman" w:hAnsi="Times New Roman" w:cs="Times New Roman"/>
          <w:sz w:val="24"/>
          <w:szCs w:val="24"/>
          <w:lang w:eastAsia="pt-BR"/>
        </w:rPr>
        <w:t>derivadas</w:t>
      </w:r>
      <w:r w:rsidRPr="000A73A4">
        <w:rPr>
          <w:rFonts w:ascii="Times New Roman" w:eastAsia="Times New Roman" w:hAnsi="Times New Roman" w:cs="Times New Roman"/>
          <w:sz w:val="24"/>
          <w:szCs w:val="24"/>
          <w:lang w:eastAsia="pt-BR"/>
        </w:rPr>
        <w:t xml:space="preserve"> da educação básica </w:t>
      </w:r>
      <w:r>
        <w:rPr>
          <w:rFonts w:ascii="Times New Roman" w:eastAsia="Times New Roman" w:hAnsi="Times New Roman" w:cs="Times New Roman"/>
          <w:sz w:val="24"/>
          <w:szCs w:val="24"/>
          <w:lang w:eastAsia="pt-BR"/>
        </w:rPr>
        <w:t>das</w:t>
      </w:r>
      <w:r w:rsidRPr="000A73A4">
        <w:rPr>
          <w:rFonts w:ascii="Times New Roman" w:eastAsia="Times New Roman" w:hAnsi="Times New Roman" w:cs="Times New Roman"/>
          <w:sz w:val="24"/>
          <w:szCs w:val="24"/>
          <w:lang w:eastAsia="pt-BR"/>
        </w:rPr>
        <w:t xml:space="preserve"> condições </w:t>
      </w:r>
      <w:r>
        <w:rPr>
          <w:rFonts w:ascii="Times New Roman" w:eastAsia="Times New Roman" w:hAnsi="Times New Roman" w:cs="Times New Roman"/>
          <w:sz w:val="24"/>
          <w:szCs w:val="24"/>
          <w:lang w:eastAsia="pt-BR"/>
        </w:rPr>
        <w:t>socio</w:t>
      </w:r>
      <w:r w:rsidRPr="000A73A4">
        <w:rPr>
          <w:rFonts w:ascii="Times New Roman" w:eastAsia="Times New Roman" w:hAnsi="Times New Roman" w:cs="Times New Roman"/>
          <w:sz w:val="24"/>
          <w:szCs w:val="24"/>
          <w:lang w:eastAsia="pt-BR"/>
        </w:rPr>
        <w:t xml:space="preserve">econômicas </w:t>
      </w:r>
      <w:r>
        <w:rPr>
          <w:rFonts w:ascii="Times New Roman" w:eastAsia="Times New Roman" w:hAnsi="Times New Roman" w:cs="Times New Roman"/>
          <w:sz w:val="24"/>
          <w:szCs w:val="24"/>
          <w:lang w:eastAsia="pt-BR"/>
        </w:rPr>
        <w:t>dos(as)</w:t>
      </w:r>
      <w:r w:rsidRPr="000A73A4">
        <w:rPr>
          <w:rFonts w:ascii="Times New Roman" w:eastAsia="Times New Roman" w:hAnsi="Times New Roman" w:cs="Times New Roman"/>
          <w:sz w:val="24"/>
          <w:szCs w:val="24"/>
          <w:lang w:eastAsia="pt-BR"/>
        </w:rPr>
        <w:t xml:space="preserve"> estudantes</w:t>
      </w:r>
      <w:r>
        <w:rPr>
          <w:rFonts w:ascii="Times New Roman" w:eastAsia="Times New Roman" w:hAnsi="Times New Roman" w:cs="Times New Roman"/>
          <w:sz w:val="24"/>
          <w:szCs w:val="24"/>
          <w:lang w:eastAsia="pt-BR"/>
        </w:rPr>
        <w:t xml:space="preserve"> (Paula, 2017; Ristoff, 2011). Muitos(as) ingressam </w:t>
      </w:r>
      <w:r w:rsidRPr="000A73A4">
        <w:rPr>
          <w:rFonts w:ascii="Times New Roman" w:eastAsia="Times New Roman" w:hAnsi="Times New Roman" w:cs="Times New Roman"/>
          <w:sz w:val="24"/>
          <w:szCs w:val="24"/>
          <w:lang w:eastAsia="pt-BR"/>
        </w:rPr>
        <w:t>na universidade, mas</w:t>
      </w:r>
      <w:r>
        <w:rPr>
          <w:rFonts w:ascii="Times New Roman" w:eastAsia="Times New Roman" w:hAnsi="Times New Roman" w:cs="Times New Roman"/>
          <w:sz w:val="24"/>
          <w:szCs w:val="24"/>
          <w:lang w:eastAsia="pt-BR"/>
        </w:rPr>
        <w:t xml:space="preserve">, número expressivo </w:t>
      </w:r>
      <w:r w:rsidRPr="000A73A4">
        <w:rPr>
          <w:rFonts w:ascii="Times New Roman" w:eastAsia="Times New Roman" w:hAnsi="Times New Roman" w:cs="Times New Roman"/>
          <w:sz w:val="24"/>
          <w:szCs w:val="24"/>
          <w:lang w:eastAsia="pt-BR"/>
        </w:rPr>
        <w:t xml:space="preserve">não </w:t>
      </w:r>
      <w:r>
        <w:rPr>
          <w:rFonts w:ascii="Times New Roman" w:eastAsia="Times New Roman" w:hAnsi="Times New Roman" w:cs="Times New Roman"/>
          <w:sz w:val="24"/>
          <w:szCs w:val="24"/>
          <w:lang w:eastAsia="pt-BR"/>
        </w:rPr>
        <w:t>consegue se formar dentro do tempo institucionalmente esperado. D</w:t>
      </w:r>
      <w:r w:rsidRPr="000A73A4">
        <w:rPr>
          <w:rFonts w:ascii="Times New Roman" w:eastAsia="Times New Roman" w:hAnsi="Times New Roman" w:cs="Times New Roman"/>
          <w:sz w:val="24"/>
          <w:szCs w:val="24"/>
          <w:lang w:eastAsia="pt-BR"/>
        </w:rPr>
        <w:t xml:space="preserve">ados mostram que </w:t>
      </w:r>
      <w:r>
        <w:rPr>
          <w:rFonts w:ascii="Times New Roman" w:eastAsia="Times New Roman" w:hAnsi="Times New Roman" w:cs="Times New Roman"/>
          <w:sz w:val="24"/>
          <w:szCs w:val="24"/>
          <w:lang w:eastAsia="pt-BR"/>
        </w:rPr>
        <w:t>essas</w:t>
      </w:r>
      <w:r w:rsidRPr="000A73A4">
        <w:rPr>
          <w:rFonts w:ascii="Times New Roman" w:eastAsia="Times New Roman" w:hAnsi="Times New Roman" w:cs="Times New Roman"/>
          <w:sz w:val="24"/>
          <w:szCs w:val="24"/>
          <w:lang w:eastAsia="pt-BR"/>
        </w:rPr>
        <w:t xml:space="preserve"> desigualdades se reproduzem </w:t>
      </w:r>
      <w:r>
        <w:rPr>
          <w:rFonts w:ascii="Times New Roman" w:eastAsia="Times New Roman" w:hAnsi="Times New Roman" w:cs="Times New Roman"/>
          <w:sz w:val="24"/>
          <w:szCs w:val="24"/>
          <w:lang w:eastAsia="pt-BR"/>
        </w:rPr>
        <w:t>e aprofundam na educação</w:t>
      </w:r>
      <w:r w:rsidRPr="000A73A4">
        <w:rPr>
          <w:rFonts w:ascii="Times New Roman" w:eastAsia="Times New Roman" w:hAnsi="Times New Roman" w:cs="Times New Roman"/>
          <w:sz w:val="24"/>
          <w:szCs w:val="24"/>
          <w:lang w:eastAsia="pt-BR"/>
        </w:rPr>
        <w:t xml:space="preserve"> superior</w:t>
      </w:r>
      <w:r>
        <w:rPr>
          <w:rFonts w:ascii="Times New Roman" w:eastAsia="Times New Roman" w:hAnsi="Times New Roman" w:cs="Times New Roman"/>
          <w:sz w:val="24"/>
          <w:szCs w:val="24"/>
          <w:lang w:eastAsia="pt-BR"/>
        </w:rPr>
        <w:t xml:space="preserve">, principalmente quando são consideradas a mudança do perfil dos(as) estudantes em curso (Ristoff, 2014). </w:t>
      </w:r>
      <w:r w:rsidRPr="000A73A4">
        <w:rPr>
          <w:rFonts w:ascii="Times New Roman" w:eastAsia="Times New Roman" w:hAnsi="Times New Roman" w:cs="Times New Roman"/>
          <w:sz w:val="24"/>
          <w:szCs w:val="24"/>
          <w:lang w:eastAsia="pt-BR"/>
        </w:rPr>
        <w:t>Diante d</w:t>
      </w:r>
      <w:r>
        <w:rPr>
          <w:rFonts w:ascii="Times New Roman" w:eastAsia="Times New Roman" w:hAnsi="Times New Roman" w:cs="Times New Roman"/>
          <w:sz w:val="24"/>
          <w:szCs w:val="24"/>
          <w:lang w:eastAsia="pt-BR"/>
        </w:rPr>
        <w:t>isso</w:t>
      </w:r>
      <w:r w:rsidRPr="000A73A4">
        <w:rPr>
          <w:rFonts w:ascii="Times New Roman" w:eastAsia="Times New Roman" w:hAnsi="Times New Roman" w:cs="Times New Roman"/>
          <w:sz w:val="24"/>
          <w:szCs w:val="24"/>
          <w:lang w:eastAsia="pt-BR"/>
        </w:rPr>
        <w:t xml:space="preserve">, torna-se evidente a importância </w:t>
      </w:r>
      <w:r>
        <w:rPr>
          <w:rFonts w:ascii="Times New Roman" w:eastAsia="Times New Roman" w:hAnsi="Times New Roman" w:cs="Times New Roman"/>
          <w:sz w:val="24"/>
          <w:szCs w:val="24"/>
          <w:lang w:eastAsia="pt-BR"/>
        </w:rPr>
        <w:t>de</w:t>
      </w:r>
      <w:r w:rsidRPr="000A73A4">
        <w:rPr>
          <w:rFonts w:ascii="Times New Roman" w:eastAsia="Times New Roman" w:hAnsi="Times New Roman" w:cs="Times New Roman"/>
          <w:sz w:val="24"/>
          <w:szCs w:val="24"/>
          <w:lang w:eastAsia="pt-BR"/>
        </w:rPr>
        <w:t xml:space="preserve"> ações de nivelamento acadêmico</w:t>
      </w:r>
      <w:r>
        <w:rPr>
          <w:rFonts w:ascii="Times New Roman" w:eastAsia="Times New Roman" w:hAnsi="Times New Roman" w:cs="Times New Roman"/>
          <w:sz w:val="24"/>
          <w:szCs w:val="24"/>
          <w:lang w:eastAsia="pt-BR"/>
        </w:rPr>
        <w:t xml:space="preserve"> que também são listadas em instrumentos que referenciam o Sistema Nacional de Avaliação da Educação Superior (Sinaes) como política de atendimento aos estudantes. </w:t>
      </w:r>
      <w:r w:rsidRPr="00CB3649">
        <w:rPr>
          <w:rFonts w:ascii="Times New Roman" w:eastAsia="Times New Roman" w:hAnsi="Times New Roman" w:cs="Times New Roman"/>
          <w:b/>
          <w:sz w:val="24"/>
          <w:szCs w:val="24"/>
          <w:lang w:eastAsia="pt-BR"/>
        </w:rPr>
        <w:t>Fundamentos teóricos:</w:t>
      </w:r>
      <w:r w:rsidRPr="00CB3649">
        <w:rPr>
          <w:rFonts w:ascii="Times New Roman" w:eastAsia="Times New Roman" w:hAnsi="Times New Roman" w:cs="Times New Roman"/>
          <w:sz w:val="24"/>
          <w:szCs w:val="24"/>
          <w:lang w:eastAsia="pt-BR"/>
        </w:rPr>
        <w:t xml:space="preserve"> </w:t>
      </w:r>
      <w:r w:rsidRPr="00131A12">
        <w:rPr>
          <w:rStyle w:val="Forte"/>
          <w:rFonts w:ascii="Times New Roman" w:hAnsi="Times New Roman" w:cs="Times New Roman"/>
          <w:b w:val="0"/>
          <w:sz w:val="24"/>
          <w:szCs w:val="24"/>
        </w:rPr>
        <w:t xml:space="preserve">O Sinaes, aprovado pela Lei nº 10.861/2004, é uma política integrativa que rompe com as práticas de avaliação, predominantemente regulatórias, anteriormente instituídas no Brasil. Seu objetivo é contribuir com a melhoria da qualidade da educação superior orientando, também, a expansão da sua oferta. Materializa-se por meio de avaliações internas (no âmbito das IES), das avaliações externas (relacionadas aos processos de credenciamento e recredenciamento das IES e reconhecimentos dos cursos) e do Exame Nacional de Desempenho dos Estudantes (Enade). </w:t>
      </w:r>
      <w:r w:rsidRPr="00CB3649">
        <w:rPr>
          <w:rFonts w:ascii="Times New Roman" w:hAnsi="Times New Roman" w:cs="Times New Roman"/>
          <w:sz w:val="24"/>
          <w:szCs w:val="24"/>
        </w:rPr>
        <w:t>Articuladas, essas avaliações evidenciam informações que legitimam a educação superior.</w:t>
      </w:r>
      <w:r>
        <w:rPr>
          <w:rFonts w:ascii="Times New Roman" w:hAnsi="Times New Roman" w:cs="Times New Roman"/>
          <w:sz w:val="24"/>
          <w:szCs w:val="24"/>
        </w:rPr>
        <w:t xml:space="preserve"> </w:t>
      </w:r>
      <w:r w:rsidRPr="00131A12">
        <w:rPr>
          <w:rStyle w:val="Forte"/>
          <w:rFonts w:ascii="Times New Roman" w:hAnsi="Times New Roman" w:cs="Times New Roman"/>
          <w:b w:val="0"/>
          <w:sz w:val="24"/>
          <w:szCs w:val="24"/>
        </w:rPr>
        <w:t>Com a institucionalização do Sinaes,</w:t>
      </w:r>
      <w:r w:rsidRPr="00CB3649">
        <w:rPr>
          <w:rStyle w:val="Forte"/>
          <w:rFonts w:ascii="Times New Roman" w:hAnsi="Times New Roman" w:cs="Times New Roman"/>
          <w:sz w:val="24"/>
          <w:szCs w:val="24"/>
        </w:rPr>
        <w:t xml:space="preserve"> </w:t>
      </w:r>
      <w:r w:rsidRPr="00CB3649">
        <w:rPr>
          <w:rFonts w:ascii="Times New Roman" w:eastAsia="Times New Roman" w:hAnsi="Times New Roman" w:cs="Times New Roman"/>
          <w:color w:val="000000" w:themeColor="text1"/>
          <w:sz w:val="24"/>
          <w:szCs w:val="24"/>
          <w:lang w:eastAsia="pt-BR"/>
        </w:rPr>
        <w:t xml:space="preserve">10 (dez) dimensões passaram a orientar as avaliações institucionais, destacando-se a nona relativa à política de atendimento aos estudantes. O Ministério da Educação - MEC e pela </w:t>
      </w:r>
      <w:r w:rsidRPr="00CB3649">
        <w:rPr>
          <w:rFonts w:ascii="Times New Roman" w:hAnsi="Times New Roman" w:cs="Times New Roman"/>
          <w:sz w:val="24"/>
          <w:szCs w:val="24"/>
        </w:rPr>
        <w:t xml:space="preserve">Comissão Nacional de Avaliação da Educação Superior – </w:t>
      </w:r>
      <w:proofErr w:type="spellStart"/>
      <w:r w:rsidRPr="00CB3649">
        <w:rPr>
          <w:rFonts w:ascii="Times New Roman" w:eastAsia="Times New Roman" w:hAnsi="Times New Roman" w:cs="Times New Roman"/>
          <w:color w:val="000000" w:themeColor="text1"/>
          <w:sz w:val="24"/>
          <w:szCs w:val="24"/>
          <w:lang w:eastAsia="pt-BR"/>
        </w:rPr>
        <w:t>Conaes</w:t>
      </w:r>
      <w:proofErr w:type="spellEnd"/>
      <w:r w:rsidRPr="00CB3649">
        <w:rPr>
          <w:rFonts w:ascii="Times New Roman" w:eastAsia="Times New Roman" w:hAnsi="Times New Roman" w:cs="Times New Roman"/>
          <w:color w:val="000000" w:themeColor="text1"/>
          <w:sz w:val="24"/>
          <w:szCs w:val="24"/>
          <w:lang w:eastAsia="pt-BR"/>
        </w:rPr>
        <w:t xml:space="preserve"> (2004) indicam que as ações e políticas de acesso e permanência devem ser detalhadas, incluindo </w:t>
      </w:r>
      <w:r w:rsidRPr="00CB3649">
        <w:rPr>
          <w:rFonts w:ascii="Times New Roman" w:hAnsi="Times New Roman" w:cs="Times New Roman"/>
          <w:sz w:val="24"/>
          <w:szCs w:val="24"/>
        </w:rPr>
        <w:t xml:space="preserve">mecanismos </w:t>
      </w:r>
      <w:r w:rsidRPr="00CB3649">
        <w:rPr>
          <w:rFonts w:ascii="Times New Roman" w:hAnsi="Times New Roman" w:cs="Times New Roman"/>
          <w:sz w:val="24"/>
          <w:szCs w:val="24"/>
        </w:rPr>
        <w:lastRenderedPageBreak/>
        <w:t>de apoio acadêmico e acompanhamento de estudantes com dificuldades. Também é relevante criar indicadores de resultados estudantis. No instrumento de reconhecimento de cursos, por exemplo, é o indicador 1.12 que avalia o apoio ao discente, considerando ações como acolhimento, monitoria, nivelamento, apoio psicopedagógico e intermediação de estágios (MEC; Inep; Daes, 2017).</w:t>
      </w:r>
      <w:r>
        <w:rPr>
          <w:rFonts w:ascii="Times New Roman" w:hAnsi="Times New Roman" w:cs="Times New Roman"/>
          <w:sz w:val="24"/>
          <w:szCs w:val="24"/>
        </w:rPr>
        <w:t xml:space="preserve"> </w:t>
      </w:r>
      <w:r w:rsidRPr="00131A12">
        <w:rPr>
          <w:rStyle w:val="Forte"/>
          <w:rFonts w:ascii="Times New Roman" w:hAnsi="Times New Roman" w:cs="Times New Roman"/>
          <w:b w:val="0"/>
          <w:sz w:val="24"/>
          <w:szCs w:val="24"/>
        </w:rPr>
        <w:t>A análise desses elementos evidencia que a política de atendimento aos estudantes vai além da assistência estudantil prestada com a concessão de auxílios financeiros. À política de atendimento e apoio aos discentes integram diferentes ações, projetos e programas que objetivam qualificar a formação deste público, ampliando as possibilidades de permanência e conclusão exitosa dos cursos. Dentre essas ações situam-se as propostas que favorecem e promovem o nivelamento acadêmico. A expansão da educação superior no Brasil, especialmente com a implementação de políticas afirmativas, tem promovido o ingresso de estudantes com diferentes condições socioeconômicas e trajetórias formativas. Contudo, a ampliação do acesso discente desacompanhada das políticas indispensáveis para sua qualificação evidenciou o agravamento de desigualdades socio educacionais que podem comprometer o desempenho e a permanência destes públicos na educação superior (Paula, 2017; Ristoff, 2011).</w:t>
      </w:r>
      <w:r>
        <w:rPr>
          <w:rStyle w:val="Forte"/>
          <w:rFonts w:ascii="Times New Roman" w:hAnsi="Times New Roman" w:cs="Times New Roman"/>
          <w:sz w:val="24"/>
          <w:szCs w:val="24"/>
        </w:rPr>
        <w:t xml:space="preserve"> </w:t>
      </w:r>
      <w:r w:rsidRPr="00CB3649">
        <w:rPr>
          <w:rFonts w:ascii="Times New Roman" w:eastAsia="Times New Roman" w:hAnsi="Times New Roman" w:cs="Times New Roman"/>
          <w:sz w:val="24"/>
          <w:szCs w:val="24"/>
          <w:lang w:eastAsia="pt-BR"/>
        </w:rPr>
        <w:t>Assim, o nivelamento acadêmico é uma necessidade socio</w:t>
      </w:r>
      <w:r>
        <w:rPr>
          <w:rFonts w:ascii="Times New Roman" w:eastAsia="Times New Roman" w:hAnsi="Times New Roman" w:cs="Times New Roman"/>
          <w:sz w:val="24"/>
          <w:szCs w:val="24"/>
          <w:lang w:eastAsia="pt-BR"/>
        </w:rPr>
        <w:t xml:space="preserve"> </w:t>
      </w:r>
      <w:r w:rsidRPr="00CB3649">
        <w:rPr>
          <w:rFonts w:ascii="Times New Roman" w:eastAsia="Times New Roman" w:hAnsi="Times New Roman" w:cs="Times New Roman"/>
          <w:sz w:val="24"/>
          <w:szCs w:val="24"/>
          <w:lang w:eastAsia="pt-BR"/>
        </w:rPr>
        <w:t>educacional a ser viabilizada pelos cursos e IES.</w:t>
      </w:r>
      <w:r>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b/>
          <w:sz w:val="24"/>
          <w:szCs w:val="24"/>
          <w:lang w:eastAsia="pt-BR"/>
        </w:rPr>
        <w:t>M</w:t>
      </w:r>
      <w:r w:rsidRPr="00337E2A">
        <w:rPr>
          <w:rFonts w:ascii="Times New Roman" w:eastAsia="Times New Roman" w:hAnsi="Times New Roman" w:cs="Times New Roman"/>
          <w:b/>
          <w:sz w:val="24"/>
          <w:szCs w:val="24"/>
          <w:lang w:eastAsia="pt-BR"/>
        </w:rPr>
        <w:t>etodologia empregada</w:t>
      </w:r>
      <w:r>
        <w:rPr>
          <w:rFonts w:ascii="Times New Roman" w:eastAsia="Times New Roman" w:hAnsi="Times New Roman" w:cs="Times New Roman"/>
          <w:b/>
          <w:sz w:val="24"/>
          <w:szCs w:val="24"/>
          <w:lang w:eastAsia="pt-BR"/>
        </w:rPr>
        <w:t xml:space="preserve">: </w:t>
      </w:r>
      <w:r w:rsidRPr="00337E2A">
        <w:rPr>
          <w:rFonts w:ascii="Times New Roman" w:eastAsia="Times New Roman" w:hAnsi="Times New Roman" w:cs="Times New Roman"/>
          <w:sz w:val="24"/>
          <w:szCs w:val="24"/>
          <w:lang w:eastAsia="pt-BR"/>
        </w:rPr>
        <w:t>Este trabalho</w:t>
      </w:r>
      <w:r>
        <w:rPr>
          <w:rFonts w:ascii="Times New Roman" w:eastAsia="Times New Roman" w:hAnsi="Times New Roman" w:cs="Times New Roman"/>
          <w:sz w:val="24"/>
          <w:szCs w:val="24"/>
          <w:lang w:eastAsia="pt-BR"/>
        </w:rPr>
        <w:t xml:space="preserve"> adota abordagem qualitativa,</w:t>
      </w:r>
      <w:r w:rsidRPr="00337E2A">
        <w:rPr>
          <w:rFonts w:ascii="Times New Roman" w:eastAsia="Times New Roman" w:hAnsi="Times New Roman" w:cs="Times New Roman"/>
          <w:sz w:val="24"/>
          <w:szCs w:val="24"/>
          <w:lang w:eastAsia="pt-BR"/>
        </w:rPr>
        <w:t xml:space="preserve"> resulta</w:t>
      </w:r>
      <w:r>
        <w:rPr>
          <w:rFonts w:ascii="Times New Roman" w:eastAsia="Times New Roman" w:hAnsi="Times New Roman" w:cs="Times New Roman"/>
          <w:sz w:val="24"/>
          <w:szCs w:val="24"/>
          <w:lang w:eastAsia="pt-BR"/>
        </w:rPr>
        <w:t>nte</w:t>
      </w:r>
      <w:r w:rsidRPr="00337E2A">
        <w:rPr>
          <w:rFonts w:ascii="Times New Roman" w:eastAsia="Times New Roman" w:hAnsi="Times New Roman" w:cs="Times New Roman"/>
          <w:sz w:val="24"/>
          <w:szCs w:val="24"/>
          <w:lang w:eastAsia="pt-BR"/>
        </w:rPr>
        <w:t xml:space="preserve"> de pesquisas bibliográficas realizadas</w:t>
      </w:r>
      <w:r>
        <w:rPr>
          <w:rFonts w:ascii="Times New Roman" w:eastAsia="Times New Roman" w:hAnsi="Times New Roman" w:cs="Times New Roman"/>
          <w:sz w:val="24"/>
          <w:szCs w:val="24"/>
          <w:lang w:eastAsia="pt-BR"/>
        </w:rPr>
        <w:t xml:space="preserve"> entre 2023 a 2025, no</w:t>
      </w:r>
      <w:r w:rsidRPr="00337E2A">
        <w:rPr>
          <w:rFonts w:ascii="Times New Roman" w:eastAsia="Times New Roman" w:hAnsi="Times New Roman" w:cs="Times New Roman"/>
          <w:sz w:val="24"/>
          <w:szCs w:val="24"/>
          <w:lang w:eastAsia="pt-BR"/>
        </w:rPr>
        <w:t xml:space="preserve"> doutoramento em ed</w:t>
      </w:r>
      <w:r w:rsidRPr="000B31B5">
        <w:rPr>
          <w:rFonts w:ascii="Times New Roman" w:eastAsia="Times New Roman" w:hAnsi="Times New Roman" w:cs="Times New Roman"/>
          <w:sz w:val="24"/>
          <w:szCs w:val="24"/>
          <w:lang w:eastAsia="pt-BR"/>
        </w:rPr>
        <w:t>ucação.</w:t>
      </w:r>
      <w:r w:rsidRPr="000B31B5">
        <w:rPr>
          <w:rFonts w:ascii="Times New Roman" w:eastAsia="Times New Roman" w:hAnsi="Times New Roman" w:cs="Times New Roman"/>
          <w:b/>
          <w:sz w:val="24"/>
          <w:szCs w:val="24"/>
          <w:lang w:eastAsia="pt-BR"/>
        </w:rPr>
        <w:t xml:space="preserve"> </w:t>
      </w:r>
      <w:r w:rsidRPr="000B31B5">
        <w:rPr>
          <w:rFonts w:ascii="Times New Roman" w:eastAsia="Times New Roman" w:hAnsi="Times New Roman" w:cs="Times New Roman"/>
          <w:sz w:val="24"/>
          <w:szCs w:val="24"/>
          <w:lang w:eastAsia="pt-BR"/>
        </w:rPr>
        <w:t xml:space="preserve">Sustenta-se no materialismo histórico dialético como método de pesquisa e análise, </w:t>
      </w:r>
      <w:r>
        <w:rPr>
          <w:rFonts w:ascii="Times New Roman" w:eastAsia="Times New Roman" w:hAnsi="Times New Roman" w:cs="Times New Roman"/>
          <w:sz w:val="24"/>
          <w:szCs w:val="24"/>
          <w:lang w:eastAsia="pt-BR"/>
        </w:rPr>
        <w:t>com</w:t>
      </w:r>
      <w:r w:rsidRPr="000B31B5">
        <w:rPr>
          <w:rFonts w:ascii="Times New Roman" w:eastAsia="Times New Roman" w:hAnsi="Times New Roman" w:cs="Times New Roman"/>
          <w:sz w:val="24"/>
          <w:szCs w:val="24"/>
          <w:lang w:eastAsia="pt-BR"/>
        </w:rPr>
        <w:t xml:space="preserve"> fundamentação em Marx </w:t>
      </w:r>
      <w:r w:rsidRPr="00131A12">
        <w:rPr>
          <w:rFonts w:ascii="Times New Roman" w:eastAsia="Times New Roman" w:hAnsi="Times New Roman" w:cs="Times New Roman"/>
          <w:sz w:val="24"/>
          <w:szCs w:val="24"/>
          <w:lang w:eastAsia="pt-BR"/>
        </w:rPr>
        <w:t>(</w:t>
      </w:r>
      <w:r w:rsidRPr="00131A12">
        <w:rPr>
          <w:rStyle w:val="Forte"/>
          <w:rFonts w:ascii="Times New Roman" w:hAnsi="Times New Roman" w:cs="Times New Roman"/>
          <w:b w:val="0"/>
          <w:sz w:val="24"/>
          <w:szCs w:val="24"/>
        </w:rPr>
        <w:t>2013; 1975; 1980),</w:t>
      </w:r>
      <w:r>
        <w:rPr>
          <w:rStyle w:val="Forte"/>
          <w:rFonts w:ascii="Times New Roman" w:hAnsi="Times New Roman" w:cs="Times New Roman"/>
          <w:sz w:val="24"/>
          <w:szCs w:val="24"/>
        </w:rPr>
        <w:t xml:space="preserve"> </w:t>
      </w:r>
      <w:r w:rsidRPr="000B31B5">
        <w:rPr>
          <w:rFonts w:ascii="Times New Roman" w:eastAsia="Times New Roman" w:hAnsi="Times New Roman" w:cs="Times New Roman"/>
          <w:sz w:val="24"/>
          <w:szCs w:val="24"/>
          <w:lang w:eastAsia="pt-BR"/>
        </w:rPr>
        <w:t xml:space="preserve">Engels (2008), entre outros autores. </w:t>
      </w:r>
      <w:r w:rsidRPr="000B31B5">
        <w:rPr>
          <w:rFonts w:ascii="Times New Roman" w:eastAsia="Times New Roman" w:hAnsi="Times New Roman" w:cs="Times New Roman"/>
          <w:b/>
          <w:sz w:val="24"/>
          <w:szCs w:val="24"/>
          <w:lang w:eastAsia="pt-BR"/>
        </w:rPr>
        <w:t xml:space="preserve">Análise de dados: </w:t>
      </w:r>
      <w:r w:rsidRPr="00131A12">
        <w:rPr>
          <w:rStyle w:val="Forte"/>
          <w:rFonts w:ascii="Times New Roman" w:hAnsi="Times New Roman" w:cs="Times New Roman"/>
          <w:b w:val="0"/>
          <w:sz w:val="24"/>
          <w:szCs w:val="24"/>
        </w:rPr>
        <w:t>À luz do materialismo histórico dialético, a política de atendimento aos estudantes é compreendida como mediação possível, resultante dos tensionamentos sociais. As ações de nivelamento são reconhecidas como estratégias para superar dificuldades socio educacionais da formação anterior. Sob tais bases, compreende-se que às classes que vivem do trabalho (Antunes, 2000) são limitadas ou negadas as condições efetivas para acesso aos meios de produção, ao conhecimento e à formação superior. Nesse cenário, d</w:t>
      </w:r>
      <w:r w:rsidRPr="001B49AA">
        <w:rPr>
          <w:rFonts w:ascii="Times New Roman" w:eastAsia="Times New Roman" w:hAnsi="Times New Roman" w:cs="Times New Roman"/>
          <w:sz w:val="24"/>
          <w:szCs w:val="24"/>
          <w:lang w:eastAsia="pt-BR"/>
        </w:rPr>
        <w:t>efesas por educação equitativa e justa (Fraser, 2007)</w:t>
      </w:r>
      <w:r>
        <w:rPr>
          <w:rFonts w:ascii="Times New Roman" w:eastAsia="Times New Roman" w:hAnsi="Times New Roman" w:cs="Times New Roman"/>
          <w:sz w:val="24"/>
          <w:szCs w:val="24"/>
          <w:lang w:eastAsia="pt-BR"/>
        </w:rPr>
        <w:t>, então,</w:t>
      </w:r>
      <w:r w:rsidRPr="001B49AA">
        <w:rPr>
          <w:rFonts w:ascii="Times New Roman" w:eastAsia="Times New Roman" w:hAnsi="Times New Roman" w:cs="Times New Roman"/>
          <w:sz w:val="24"/>
          <w:szCs w:val="24"/>
          <w:lang w:eastAsia="pt-BR"/>
        </w:rPr>
        <w:t xml:space="preserve"> tornam-se essenciais.</w:t>
      </w:r>
      <w:r>
        <w:rPr>
          <w:rFonts w:ascii="Times New Roman" w:eastAsia="Times New Roman" w:hAnsi="Times New Roman" w:cs="Times New Roman"/>
          <w:sz w:val="24"/>
          <w:szCs w:val="24"/>
          <w:lang w:eastAsia="pt-BR"/>
        </w:rPr>
        <w:t xml:space="preserve"> </w:t>
      </w:r>
      <w:r w:rsidRPr="00131A12">
        <w:rPr>
          <w:rStyle w:val="Forte"/>
          <w:rFonts w:ascii="Times New Roman" w:hAnsi="Times New Roman" w:cs="Times New Roman"/>
          <w:b w:val="0"/>
          <w:sz w:val="24"/>
          <w:szCs w:val="24"/>
        </w:rPr>
        <w:t xml:space="preserve">A universidade pública pode tanto reproduzir desigualdades quanto contribuir para superação das contradições sociais. A partir das pesquisas bibliográficas realizadas verificou-se que as contradições socioeconômicas ampliam e/ou restringem as possibilidades e oportunidades sociais de muitos indivíduos. O nivelamento acadêmico é parte de uma política pedagógica que mitiga desigualdades educacionais, </w:t>
      </w:r>
      <w:r w:rsidRPr="001B49AA">
        <w:rPr>
          <w:rFonts w:ascii="Times New Roman" w:eastAsia="Times New Roman" w:hAnsi="Times New Roman" w:cs="Times New Roman"/>
          <w:sz w:val="24"/>
          <w:szCs w:val="24"/>
          <w:lang w:eastAsia="pt-BR"/>
        </w:rPr>
        <w:t>reduz lacunas formativas e apoia a permanência estudantil. Operacionalmente</w:t>
      </w:r>
      <w:r w:rsidRPr="00131A12">
        <w:rPr>
          <w:rFonts w:ascii="Times New Roman" w:eastAsia="Times New Roman" w:hAnsi="Times New Roman" w:cs="Times New Roman"/>
          <w:sz w:val="24"/>
          <w:szCs w:val="24"/>
          <w:lang w:eastAsia="pt-BR"/>
        </w:rPr>
        <w:t>,</w:t>
      </w:r>
      <w:r w:rsidRPr="00131A12">
        <w:rPr>
          <w:rFonts w:ascii="Times New Roman" w:eastAsia="Times New Roman" w:hAnsi="Times New Roman" w:cs="Times New Roman"/>
          <w:b/>
          <w:sz w:val="24"/>
          <w:szCs w:val="24"/>
          <w:lang w:eastAsia="pt-BR"/>
        </w:rPr>
        <w:t xml:space="preserve"> </w:t>
      </w:r>
      <w:r w:rsidRPr="00131A12">
        <w:rPr>
          <w:rStyle w:val="Forte"/>
          <w:rFonts w:ascii="Times New Roman" w:hAnsi="Times New Roman" w:cs="Times New Roman"/>
          <w:b w:val="0"/>
          <w:sz w:val="24"/>
          <w:szCs w:val="24"/>
        </w:rPr>
        <w:t>as ações de nivelamento viabilizam as condições mínimas para o acompanhamento das atividades acadêmicas, por meio de estratégias de apoio em áreas fundamentais (como leitura, escrita, oralidade, apreensão de conteúdos indispensáveis às formações superiores específicas, raciocínio lógico, entre outras que perpassam as demais áreas que integram o ensino, como a pesquisa e extensão universitária). Além de cursos, oficinas, ciclos de estudos, oferta de monitorias e tutorias entre pares e criação de ambientes específicos conforme demandas e necessidades socio educacionais, pode-se ofertar atendimento personalizado por meio de plantões pedagógicos e das atividades desenvolvidas por núcleos de apoio psicopedagógico (para casos em que a dificuldade não é só cognitiva, mas envolve barreiras emocionais, sociais ou de inclusão). Considerando as adversidades e contradições postas, e à luz da perspectiva crítica adotada, entende-se que o nivelamento acadêmico não pode ser reduzido a uma ação pontual e desarticulada. Não pode ser vista apenas como forma de compensação das fragilidades educacionais advindas da formação básica.</w:t>
      </w:r>
      <w:r w:rsidRPr="000B51CD">
        <w:rPr>
          <w:rStyle w:val="Forte"/>
          <w:rFonts w:ascii="Times New Roman" w:hAnsi="Times New Roman" w:cs="Times New Roman"/>
          <w:sz w:val="24"/>
          <w:szCs w:val="24"/>
        </w:rPr>
        <w:t xml:space="preserve"> </w:t>
      </w:r>
      <w:r w:rsidRPr="00BC0034">
        <w:rPr>
          <w:rFonts w:ascii="Times New Roman" w:eastAsia="Times New Roman" w:hAnsi="Times New Roman" w:cs="Times New Roman"/>
          <w:sz w:val="24"/>
          <w:szCs w:val="24"/>
          <w:lang w:eastAsia="pt-BR"/>
        </w:rPr>
        <w:t>No contexto neoliberal,</w:t>
      </w:r>
      <w:r>
        <w:rPr>
          <w:rFonts w:ascii="Times New Roman" w:eastAsia="Times New Roman" w:hAnsi="Times New Roman" w:cs="Times New Roman"/>
          <w:sz w:val="24"/>
          <w:szCs w:val="24"/>
          <w:lang w:eastAsia="pt-BR"/>
        </w:rPr>
        <w:t xml:space="preserve"> é preciso situar as questões que perpassam a oferta de uma educação básica de qualidade e o fato do Estado </w:t>
      </w:r>
      <w:r w:rsidRPr="00131A12">
        <w:rPr>
          <w:rStyle w:val="Forte"/>
          <w:rFonts w:ascii="Times New Roman" w:hAnsi="Times New Roman" w:cs="Times New Roman"/>
          <w:b w:val="0"/>
          <w:sz w:val="24"/>
          <w:szCs w:val="24"/>
        </w:rPr>
        <w:t>relegar</w:t>
      </w:r>
      <w:r w:rsidRPr="000B51CD">
        <w:rPr>
          <w:rFonts w:ascii="Times New Roman" w:eastAsia="Times New Roman" w:hAnsi="Times New Roman" w:cs="Times New Roman"/>
          <w:sz w:val="24"/>
          <w:szCs w:val="24"/>
          <w:lang w:eastAsia="pt-BR"/>
        </w:rPr>
        <w:t xml:space="preserve"> outros níveis como d</w:t>
      </w:r>
      <w:r w:rsidRPr="0053402F">
        <w:rPr>
          <w:rFonts w:ascii="Times New Roman" w:eastAsia="Times New Roman" w:hAnsi="Times New Roman" w:cs="Times New Roman"/>
          <w:sz w:val="24"/>
          <w:szCs w:val="24"/>
          <w:lang w:eastAsia="pt-BR"/>
        </w:rPr>
        <w:t xml:space="preserve">a educação superior a uma </w:t>
      </w:r>
      <w:r w:rsidRPr="0053402F">
        <w:rPr>
          <w:rFonts w:ascii="Times New Roman" w:eastAsia="Times New Roman" w:hAnsi="Times New Roman" w:cs="Times New Roman"/>
          <w:sz w:val="24"/>
          <w:szCs w:val="24"/>
          <w:lang w:eastAsia="pt-BR"/>
        </w:rPr>
        <w:lastRenderedPageBreak/>
        <w:t xml:space="preserve">posição secundária nas políticas sociais. </w:t>
      </w:r>
      <w:r w:rsidRPr="0057378B">
        <w:rPr>
          <w:rFonts w:ascii="Times New Roman" w:eastAsia="Times New Roman" w:hAnsi="Times New Roman" w:cs="Times New Roman"/>
          <w:b/>
          <w:sz w:val="24"/>
          <w:szCs w:val="24"/>
          <w:lang w:eastAsia="pt-BR"/>
        </w:rPr>
        <w:t>Conclusões:</w:t>
      </w:r>
      <w:r>
        <w:rPr>
          <w:rFonts w:ascii="Times New Roman" w:eastAsia="Times New Roman" w:hAnsi="Times New Roman" w:cs="Times New Roman"/>
          <w:sz w:val="24"/>
          <w:szCs w:val="24"/>
          <w:lang w:eastAsia="pt-BR"/>
        </w:rPr>
        <w:t xml:space="preserve"> </w:t>
      </w:r>
      <w:r w:rsidRPr="00BC0034">
        <w:rPr>
          <w:rFonts w:ascii="Times New Roman" w:eastAsia="Times New Roman" w:hAnsi="Times New Roman" w:cs="Times New Roman"/>
          <w:sz w:val="24"/>
          <w:szCs w:val="24"/>
          <w:lang w:eastAsia="pt-BR"/>
        </w:rPr>
        <w:t xml:space="preserve">As ações de nivelamento, embora muitas vezes paliativas frente às contradições de um sistema </w:t>
      </w:r>
      <w:r>
        <w:rPr>
          <w:rFonts w:ascii="Times New Roman" w:eastAsia="Times New Roman" w:hAnsi="Times New Roman" w:cs="Times New Roman"/>
          <w:sz w:val="24"/>
          <w:szCs w:val="24"/>
          <w:lang w:eastAsia="pt-BR"/>
        </w:rPr>
        <w:t xml:space="preserve">capitalista </w:t>
      </w:r>
      <w:r w:rsidRPr="00BC0034">
        <w:rPr>
          <w:rFonts w:ascii="Times New Roman" w:eastAsia="Times New Roman" w:hAnsi="Times New Roman" w:cs="Times New Roman"/>
          <w:sz w:val="24"/>
          <w:szCs w:val="24"/>
          <w:lang w:eastAsia="pt-BR"/>
        </w:rPr>
        <w:t xml:space="preserve">que transforma direitos em mercadorias, são fundamentais. </w:t>
      </w:r>
      <w:r>
        <w:rPr>
          <w:rFonts w:ascii="Times New Roman" w:eastAsia="Times New Roman" w:hAnsi="Times New Roman" w:cs="Times New Roman"/>
          <w:sz w:val="24"/>
          <w:szCs w:val="24"/>
          <w:lang w:eastAsia="pt-BR"/>
        </w:rPr>
        <w:t xml:space="preserve">Ao atentar-se para a diversidade do público atendido, e suas diferentes trajetórias educacionais, é preciso que as ações de nivelamento </w:t>
      </w:r>
      <w:r w:rsidRPr="00131A12">
        <w:rPr>
          <w:rStyle w:val="Forte"/>
          <w:rFonts w:ascii="Times New Roman" w:hAnsi="Times New Roman" w:cs="Times New Roman"/>
          <w:b w:val="0"/>
          <w:sz w:val="24"/>
          <w:szCs w:val="24"/>
        </w:rPr>
        <w:t>sejam listadas e acompanhadas a partir das previsões do Plano de Desenvolvimento Institucional (PDI) da IES. Frente às defesas de democratização da educação superior, as ações de nivelamento, quando bem estruturadas, vão se constituindo como um direito pedagógico. Deixa de ser um tipo de reforço educacional tardio e passa a ser estratégia de democratização do saber universitário, respeitando a diversidade social e cultural existente, fortalecendo a função social da universidade. Mais do que ações pontuais, as ações de nivelamento, como parte da política de atendimento aos discentes, podem ser referência de articulação de dimensões importantes como a pedagógica, financeira, cultural e social.</w:t>
      </w:r>
    </w:p>
    <w:p w:rsidR="00131A12" w:rsidRDefault="00131A12" w:rsidP="00131A12">
      <w:pPr>
        <w:spacing w:after="0" w:line="240" w:lineRule="auto"/>
        <w:jc w:val="both"/>
        <w:rPr>
          <w:rStyle w:val="Forte"/>
          <w:rFonts w:ascii="Times New Roman" w:hAnsi="Times New Roman" w:cs="Times New Roman"/>
          <w:b w:val="0"/>
          <w:sz w:val="24"/>
          <w:szCs w:val="24"/>
        </w:rPr>
      </w:pPr>
    </w:p>
    <w:p w:rsidR="00131A12" w:rsidRPr="00131A12" w:rsidRDefault="00131A12" w:rsidP="00131A12">
      <w:pPr>
        <w:spacing w:after="0" w:line="240" w:lineRule="auto"/>
        <w:jc w:val="both"/>
        <w:rPr>
          <w:rStyle w:val="Forte"/>
          <w:rFonts w:ascii="Times New Roman" w:hAnsi="Times New Roman" w:cs="Times New Roman"/>
          <w:b w:val="0"/>
          <w:i/>
          <w:color w:val="000000" w:themeColor="text1"/>
          <w:sz w:val="24"/>
          <w:szCs w:val="24"/>
        </w:rPr>
      </w:pPr>
      <w:r w:rsidRPr="00275865">
        <w:rPr>
          <w:rFonts w:ascii="Times New Roman" w:eastAsia="Times New Roman" w:hAnsi="Times New Roman" w:cs="Times New Roman"/>
          <w:b/>
          <w:color w:val="000000" w:themeColor="text1"/>
          <w:sz w:val="24"/>
          <w:szCs w:val="24"/>
          <w:lang w:eastAsia="pt-BR"/>
        </w:rPr>
        <w:t xml:space="preserve">Agradecemos à </w:t>
      </w:r>
      <w:r w:rsidRPr="00131A12">
        <w:rPr>
          <w:rStyle w:val="nfase"/>
          <w:rFonts w:ascii="Times New Roman" w:hAnsi="Times New Roman" w:cs="Times New Roman"/>
          <w:b/>
          <w:bCs/>
          <w:i w:val="0"/>
          <w:color w:val="000000" w:themeColor="text1"/>
          <w:sz w:val="24"/>
          <w:szCs w:val="24"/>
          <w:shd w:val="clear" w:color="auto" w:fill="FFFFFF"/>
        </w:rPr>
        <w:t>Fundação de Amparo à Pesquisa do Estado de Minas Gerais (FAPEMIG) pelo apoio técnico e financeiro à realização dos estudos e pesquisas.</w:t>
      </w:r>
    </w:p>
    <w:p w:rsidR="00131A12" w:rsidRDefault="00131A12" w:rsidP="00131A12">
      <w:pPr>
        <w:spacing w:after="0" w:line="240" w:lineRule="auto"/>
        <w:jc w:val="both"/>
        <w:rPr>
          <w:rStyle w:val="Forte"/>
          <w:rFonts w:ascii="Times New Roman" w:hAnsi="Times New Roman" w:cs="Times New Roman"/>
          <w:b w:val="0"/>
          <w:sz w:val="24"/>
          <w:szCs w:val="24"/>
        </w:rPr>
      </w:pPr>
    </w:p>
    <w:p w:rsidR="00131A12" w:rsidRDefault="00131A12" w:rsidP="00131A12">
      <w:pPr>
        <w:spacing w:after="0" w:line="240" w:lineRule="auto"/>
        <w:jc w:val="both"/>
        <w:rPr>
          <w:rStyle w:val="Forte"/>
          <w:rFonts w:ascii="Times New Roman" w:hAnsi="Times New Roman" w:cs="Times New Roman"/>
          <w:b w:val="0"/>
          <w:sz w:val="24"/>
          <w:szCs w:val="24"/>
        </w:rPr>
      </w:pPr>
    </w:p>
    <w:p w:rsidR="00131A12" w:rsidRPr="000B51CD" w:rsidRDefault="00131A12" w:rsidP="00131A12">
      <w:pPr>
        <w:spacing w:after="0" w:line="240" w:lineRule="auto"/>
        <w:jc w:val="both"/>
        <w:rPr>
          <w:rStyle w:val="Forte"/>
          <w:rFonts w:ascii="Times New Roman" w:hAnsi="Times New Roman" w:cs="Times New Roman"/>
          <w:sz w:val="24"/>
          <w:szCs w:val="24"/>
        </w:rPr>
      </w:pPr>
      <w:r w:rsidRPr="000B51CD">
        <w:rPr>
          <w:rStyle w:val="Forte"/>
          <w:rFonts w:ascii="Times New Roman" w:hAnsi="Times New Roman" w:cs="Times New Roman"/>
          <w:sz w:val="24"/>
          <w:szCs w:val="24"/>
        </w:rPr>
        <w:t>Referências</w:t>
      </w:r>
    </w:p>
    <w:p w:rsidR="00131A12" w:rsidRPr="000B51CD" w:rsidRDefault="00131A12" w:rsidP="00131A12">
      <w:pPr>
        <w:spacing w:after="0" w:line="240" w:lineRule="auto"/>
        <w:jc w:val="both"/>
        <w:rPr>
          <w:rStyle w:val="Forte"/>
          <w:rFonts w:ascii="Times New Roman" w:hAnsi="Times New Roman" w:cs="Times New Roman"/>
          <w:b w:val="0"/>
          <w:sz w:val="24"/>
          <w:szCs w:val="24"/>
        </w:rPr>
      </w:pPr>
    </w:p>
    <w:p w:rsidR="00131A12" w:rsidRDefault="00131A12" w:rsidP="00131A12">
      <w:pPr>
        <w:spacing w:after="0"/>
        <w:rPr>
          <w:rFonts w:ascii="Times New Roman" w:hAnsi="Times New Roman" w:cs="Times New Roman"/>
          <w:sz w:val="24"/>
          <w:szCs w:val="24"/>
        </w:rPr>
      </w:pPr>
      <w:r w:rsidRPr="00275865">
        <w:rPr>
          <w:rFonts w:ascii="Times New Roman" w:hAnsi="Times New Roman" w:cs="Times New Roman"/>
          <w:sz w:val="24"/>
          <w:szCs w:val="24"/>
        </w:rPr>
        <w:t xml:space="preserve">ANTUNES, R. </w:t>
      </w:r>
      <w:r w:rsidRPr="00CB7B64">
        <w:rPr>
          <w:rStyle w:val="Forte"/>
          <w:rFonts w:ascii="Times New Roman" w:hAnsi="Times New Roman" w:cs="Times New Roman"/>
          <w:b w:val="0"/>
          <w:sz w:val="24"/>
          <w:szCs w:val="24"/>
        </w:rPr>
        <w:t>Trabalho e precarização numa ordem neoliberal.</w:t>
      </w:r>
      <w:r w:rsidRPr="00275865">
        <w:rPr>
          <w:rFonts w:ascii="Times New Roman" w:hAnsi="Times New Roman" w:cs="Times New Roman"/>
          <w:sz w:val="24"/>
          <w:szCs w:val="24"/>
        </w:rPr>
        <w:t xml:space="preserve"> In: CLACSO (org.). </w:t>
      </w:r>
      <w:r w:rsidRPr="00275865">
        <w:rPr>
          <w:rStyle w:val="Forte"/>
          <w:rFonts w:ascii="Times New Roman" w:hAnsi="Times New Roman" w:cs="Times New Roman"/>
          <w:sz w:val="24"/>
          <w:szCs w:val="24"/>
        </w:rPr>
        <w:t xml:space="preserve">La </w:t>
      </w:r>
      <w:proofErr w:type="spellStart"/>
      <w:r w:rsidRPr="00275865">
        <w:rPr>
          <w:rStyle w:val="Forte"/>
          <w:rFonts w:ascii="Times New Roman" w:hAnsi="Times New Roman" w:cs="Times New Roman"/>
          <w:sz w:val="24"/>
          <w:szCs w:val="24"/>
        </w:rPr>
        <w:t>ciudadanía</w:t>
      </w:r>
      <w:proofErr w:type="spellEnd"/>
      <w:r w:rsidRPr="00275865">
        <w:rPr>
          <w:rStyle w:val="Forte"/>
          <w:rFonts w:ascii="Times New Roman" w:hAnsi="Times New Roman" w:cs="Times New Roman"/>
          <w:sz w:val="24"/>
          <w:szCs w:val="24"/>
        </w:rPr>
        <w:t xml:space="preserve"> negada: </w:t>
      </w:r>
      <w:r w:rsidRPr="001416B8">
        <w:rPr>
          <w:rStyle w:val="Forte"/>
          <w:rFonts w:ascii="Times New Roman" w:hAnsi="Times New Roman" w:cs="Times New Roman"/>
          <w:sz w:val="24"/>
          <w:szCs w:val="24"/>
        </w:rPr>
        <w:t xml:space="preserve">políticas de </w:t>
      </w:r>
      <w:proofErr w:type="spellStart"/>
      <w:r w:rsidRPr="001416B8">
        <w:rPr>
          <w:rStyle w:val="Forte"/>
          <w:rFonts w:ascii="Times New Roman" w:hAnsi="Times New Roman" w:cs="Times New Roman"/>
          <w:sz w:val="24"/>
          <w:szCs w:val="24"/>
        </w:rPr>
        <w:t>exclusión</w:t>
      </w:r>
      <w:proofErr w:type="spellEnd"/>
      <w:r w:rsidRPr="001416B8">
        <w:rPr>
          <w:rStyle w:val="Forte"/>
          <w:rFonts w:ascii="Times New Roman" w:hAnsi="Times New Roman" w:cs="Times New Roman"/>
          <w:sz w:val="24"/>
          <w:szCs w:val="24"/>
        </w:rPr>
        <w:t xml:space="preserve"> </w:t>
      </w:r>
      <w:proofErr w:type="spellStart"/>
      <w:r w:rsidRPr="001416B8">
        <w:rPr>
          <w:rStyle w:val="Forte"/>
          <w:rFonts w:ascii="Times New Roman" w:hAnsi="Times New Roman" w:cs="Times New Roman"/>
          <w:sz w:val="24"/>
          <w:szCs w:val="24"/>
        </w:rPr>
        <w:t>en</w:t>
      </w:r>
      <w:proofErr w:type="spellEnd"/>
      <w:r w:rsidRPr="001416B8">
        <w:rPr>
          <w:rStyle w:val="Forte"/>
          <w:rFonts w:ascii="Times New Roman" w:hAnsi="Times New Roman" w:cs="Times New Roman"/>
          <w:sz w:val="24"/>
          <w:szCs w:val="24"/>
        </w:rPr>
        <w:t xml:space="preserve"> </w:t>
      </w:r>
      <w:proofErr w:type="spellStart"/>
      <w:r w:rsidRPr="001416B8">
        <w:rPr>
          <w:rStyle w:val="Forte"/>
          <w:rFonts w:ascii="Times New Roman" w:hAnsi="Times New Roman" w:cs="Times New Roman"/>
          <w:sz w:val="24"/>
          <w:szCs w:val="24"/>
        </w:rPr>
        <w:t>la</w:t>
      </w:r>
      <w:proofErr w:type="spellEnd"/>
      <w:r w:rsidRPr="001416B8">
        <w:rPr>
          <w:rStyle w:val="Forte"/>
          <w:rFonts w:ascii="Times New Roman" w:hAnsi="Times New Roman" w:cs="Times New Roman"/>
          <w:sz w:val="24"/>
          <w:szCs w:val="24"/>
        </w:rPr>
        <w:t xml:space="preserve"> </w:t>
      </w:r>
      <w:proofErr w:type="spellStart"/>
      <w:r w:rsidRPr="001416B8">
        <w:rPr>
          <w:rStyle w:val="Forte"/>
          <w:rFonts w:ascii="Times New Roman" w:hAnsi="Times New Roman" w:cs="Times New Roman"/>
          <w:sz w:val="24"/>
          <w:szCs w:val="24"/>
        </w:rPr>
        <w:t>educación</w:t>
      </w:r>
      <w:proofErr w:type="spellEnd"/>
      <w:r w:rsidRPr="001416B8">
        <w:rPr>
          <w:rStyle w:val="Forte"/>
          <w:rFonts w:ascii="Times New Roman" w:hAnsi="Times New Roman" w:cs="Times New Roman"/>
          <w:sz w:val="24"/>
          <w:szCs w:val="24"/>
        </w:rPr>
        <w:t xml:space="preserve"> y </w:t>
      </w:r>
      <w:proofErr w:type="spellStart"/>
      <w:r w:rsidRPr="001416B8">
        <w:rPr>
          <w:rStyle w:val="Forte"/>
          <w:rFonts w:ascii="Times New Roman" w:hAnsi="Times New Roman" w:cs="Times New Roman"/>
          <w:sz w:val="24"/>
          <w:szCs w:val="24"/>
        </w:rPr>
        <w:t>el</w:t>
      </w:r>
      <w:proofErr w:type="spellEnd"/>
      <w:r w:rsidRPr="001416B8">
        <w:rPr>
          <w:rStyle w:val="Forte"/>
          <w:rFonts w:ascii="Times New Roman" w:hAnsi="Times New Roman" w:cs="Times New Roman"/>
          <w:sz w:val="24"/>
          <w:szCs w:val="24"/>
        </w:rPr>
        <w:t xml:space="preserve"> </w:t>
      </w:r>
      <w:proofErr w:type="spellStart"/>
      <w:r w:rsidRPr="001416B8">
        <w:rPr>
          <w:rStyle w:val="Forte"/>
          <w:rFonts w:ascii="Times New Roman" w:hAnsi="Times New Roman" w:cs="Times New Roman"/>
          <w:sz w:val="24"/>
          <w:szCs w:val="24"/>
        </w:rPr>
        <w:t>trabajo</w:t>
      </w:r>
      <w:proofErr w:type="spellEnd"/>
      <w:r w:rsidRPr="00275865">
        <w:rPr>
          <w:rStyle w:val="Forte"/>
          <w:rFonts w:ascii="Times New Roman" w:hAnsi="Times New Roman" w:cs="Times New Roman"/>
          <w:sz w:val="24"/>
          <w:szCs w:val="24"/>
        </w:rPr>
        <w:t>.</w:t>
      </w:r>
      <w:r w:rsidRPr="00275865">
        <w:rPr>
          <w:rFonts w:ascii="Times New Roman" w:hAnsi="Times New Roman" w:cs="Times New Roman"/>
          <w:sz w:val="24"/>
          <w:szCs w:val="24"/>
        </w:rPr>
        <w:t xml:space="preserve"> Buenos Aires: CLACSO, 2000. p. 35-48. Disponível em: https://biblioteca.clacso.edu.ar/clacso/gt/20101010021549/3antunes.pdf. Acesso em: 14 maio 2025.</w:t>
      </w:r>
    </w:p>
    <w:p w:rsidR="00131A12" w:rsidRPr="00275865" w:rsidRDefault="00131A12" w:rsidP="00131A12">
      <w:pPr>
        <w:spacing w:after="0"/>
        <w:rPr>
          <w:rFonts w:ascii="Times New Roman" w:hAnsi="Times New Roman" w:cs="Times New Roman"/>
          <w:sz w:val="24"/>
          <w:szCs w:val="24"/>
        </w:rPr>
      </w:pPr>
    </w:p>
    <w:p w:rsidR="00131A12" w:rsidRDefault="00131A12" w:rsidP="00131A12">
      <w:pPr>
        <w:spacing w:after="0"/>
        <w:rPr>
          <w:rFonts w:ascii="Times New Roman" w:hAnsi="Times New Roman" w:cs="Times New Roman"/>
          <w:sz w:val="24"/>
          <w:szCs w:val="24"/>
        </w:rPr>
      </w:pPr>
      <w:r w:rsidRPr="00275865">
        <w:rPr>
          <w:rFonts w:ascii="Times New Roman" w:hAnsi="Times New Roman" w:cs="Times New Roman"/>
          <w:sz w:val="24"/>
          <w:szCs w:val="24"/>
        </w:rPr>
        <w:t xml:space="preserve">BRASIL. Lei nº 10.861, de 14 de abril de 2004. Institui o Sistema Nacional de Avaliação da Educação Superior (SINAES). </w:t>
      </w:r>
      <w:r w:rsidRPr="00275865">
        <w:rPr>
          <w:rStyle w:val="Forte"/>
          <w:rFonts w:ascii="Times New Roman" w:hAnsi="Times New Roman" w:cs="Times New Roman"/>
          <w:sz w:val="24"/>
          <w:szCs w:val="24"/>
        </w:rPr>
        <w:t xml:space="preserve">Diário Oficial da União: </w:t>
      </w:r>
      <w:r w:rsidRPr="00CB7B64">
        <w:rPr>
          <w:rStyle w:val="Forte"/>
          <w:rFonts w:ascii="Times New Roman" w:hAnsi="Times New Roman" w:cs="Times New Roman"/>
          <w:b w:val="0"/>
          <w:sz w:val="24"/>
          <w:szCs w:val="24"/>
        </w:rPr>
        <w:t>seção 1</w:t>
      </w:r>
      <w:r w:rsidRPr="00CB7B64">
        <w:rPr>
          <w:rFonts w:ascii="Times New Roman" w:hAnsi="Times New Roman" w:cs="Times New Roman"/>
          <w:b/>
          <w:sz w:val="24"/>
          <w:szCs w:val="24"/>
        </w:rPr>
        <w:t>,</w:t>
      </w:r>
      <w:r w:rsidRPr="00275865">
        <w:rPr>
          <w:rFonts w:ascii="Times New Roman" w:hAnsi="Times New Roman" w:cs="Times New Roman"/>
          <w:sz w:val="24"/>
          <w:szCs w:val="24"/>
        </w:rPr>
        <w:t xml:space="preserve"> Brasília, DF, 15 abr. 2004. Disponível em: </w:t>
      </w:r>
      <w:r w:rsidRPr="001416B8">
        <w:rPr>
          <w:rFonts w:ascii="Times New Roman" w:hAnsi="Times New Roman" w:cs="Times New Roman"/>
          <w:sz w:val="24"/>
          <w:szCs w:val="24"/>
        </w:rPr>
        <w:t>http://www.planalto.gov.br/ccivil_03/leis/2004/l10.861.htm</w:t>
      </w:r>
      <w:r w:rsidRPr="00275865">
        <w:rPr>
          <w:rFonts w:ascii="Times New Roman" w:hAnsi="Times New Roman" w:cs="Times New Roman"/>
          <w:sz w:val="24"/>
          <w:szCs w:val="24"/>
        </w:rPr>
        <w:t>. Acesso em: 3 set. 2025.</w:t>
      </w:r>
    </w:p>
    <w:p w:rsidR="00131A12" w:rsidRPr="00275865" w:rsidRDefault="00131A12" w:rsidP="00131A12">
      <w:pPr>
        <w:spacing w:after="0"/>
        <w:rPr>
          <w:rFonts w:ascii="Times New Roman" w:hAnsi="Times New Roman" w:cs="Times New Roman"/>
          <w:sz w:val="24"/>
          <w:szCs w:val="24"/>
        </w:rPr>
      </w:pPr>
    </w:p>
    <w:p w:rsidR="00131A12" w:rsidRDefault="00131A12" w:rsidP="00131A12">
      <w:pPr>
        <w:spacing w:after="0"/>
        <w:rPr>
          <w:rFonts w:ascii="Times New Roman" w:hAnsi="Times New Roman" w:cs="Times New Roman"/>
          <w:sz w:val="24"/>
          <w:szCs w:val="24"/>
        </w:rPr>
      </w:pPr>
      <w:r w:rsidRPr="00275865">
        <w:rPr>
          <w:rFonts w:ascii="Times New Roman" w:hAnsi="Times New Roman" w:cs="Times New Roman"/>
          <w:sz w:val="24"/>
          <w:szCs w:val="24"/>
        </w:rPr>
        <w:t xml:space="preserve">BRASIL. Ministério da Educação. Instituto Nacional de Estudos e Pesquisas Educacionais Anísio Teixeira. Diretoria de Avaliação da Educação Superior. </w:t>
      </w:r>
      <w:r w:rsidRPr="00275865">
        <w:rPr>
          <w:rStyle w:val="Forte"/>
          <w:rFonts w:ascii="Times New Roman" w:hAnsi="Times New Roman" w:cs="Times New Roman"/>
          <w:sz w:val="24"/>
          <w:szCs w:val="24"/>
        </w:rPr>
        <w:t xml:space="preserve">Instrumento de avaliação de cursos de graduação presencial e a distância: </w:t>
      </w:r>
      <w:r w:rsidRPr="00CB7B64">
        <w:rPr>
          <w:rStyle w:val="Forte"/>
          <w:rFonts w:ascii="Times New Roman" w:hAnsi="Times New Roman" w:cs="Times New Roman"/>
          <w:b w:val="0"/>
          <w:sz w:val="24"/>
          <w:szCs w:val="24"/>
        </w:rPr>
        <w:t>reconhecimento e renovação de reconhecimento.</w:t>
      </w:r>
      <w:r w:rsidRPr="001416B8">
        <w:rPr>
          <w:rFonts w:ascii="Times New Roman" w:hAnsi="Times New Roman" w:cs="Times New Roman"/>
          <w:b/>
          <w:sz w:val="24"/>
          <w:szCs w:val="24"/>
        </w:rPr>
        <w:t xml:space="preserve"> </w:t>
      </w:r>
      <w:r w:rsidRPr="00275865">
        <w:rPr>
          <w:rFonts w:ascii="Times New Roman" w:hAnsi="Times New Roman" w:cs="Times New Roman"/>
          <w:sz w:val="24"/>
          <w:szCs w:val="24"/>
        </w:rPr>
        <w:t xml:space="preserve">Brasília: MEC/INEP/DAES, 2017. Disponível em: </w:t>
      </w:r>
      <w:r w:rsidRPr="001416B8">
        <w:rPr>
          <w:rFonts w:ascii="Times New Roman" w:hAnsi="Times New Roman" w:cs="Times New Roman"/>
          <w:sz w:val="24"/>
          <w:szCs w:val="24"/>
        </w:rPr>
        <w:t>https://download.inep.gov.br/educacao_superior/avaliacao_cursos_graduacao/instrumentos/2017/curso_reconhecimento.pdf</w:t>
      </w:r>
      <w:r w:rsidRPr="00275865">
        <w:rPr>
          <w:rFonts w:ascii="Times New Roman" w:hAnsi="Times New Roman" w:cs="Times New Roman"/>
          <w:sz w:val="24"/>
          <w:szCs w:val="24"/>
        </w:rPr>
        <w:t>. Acesso em: 10 set. 2025.</w:t>
      </w:r>
    </w:p>
    <w:p w:rsidR="00131A12" w:rsidRPr="00275865" w:rsidRDefault="00131A12" w:rsidP="00131A12">
      <w:pPr>
        <w:spacing w:after="0"/>
        <w:rPr>
          <w:rFonts w:ascii="Times New Roman" w:hAnsi="Times New Roman" w:cs="Times New Roman"/>
          <w:sz w:val="24"/>
          <w:szCs w:val="24"/>
        </w:rPr>
      </w:pPr>
    </w:p>
    <w:p w:rsidR="00131A12" w:rsidRDefault="00131A12" w:rsidP="00131A12">
      <w:pPr>
        <w:spacing w:after="0"/>
        <w:rPr>
          <w:rFonts w:ascii="Times New Roman" w:hAnsi="Times New Roman" w:cs="Times New Roman"/>
          <w:sz w:val="24"/>
          <w:szCs w:val="24"/>
        </w:rPr>
      </w:pPr>
      <w:r w:rsidRPr="00275865">
        <w:rPr>
          <w:rFonts w:ascii="Times New Roman" w:hAnsi="Times New Roman" w:cs="Times New Roman"/>
          <w:sz w:val="24"/>
          <w:szCs w:val="24"/>
        </w:rPr>
        <w:t xml:space="preserve">ENGELS, F. </w:t>
      </w:r>
      <w:r w:rsidRPr="00275865">
        <w:rPr>
          <w:rStyle w:val="Forte"/>
          <w:rFonts w:ascii="Times New Roman" w:hAnsi="Times New Roman" w:cs="Times New Roman"/>
          <w:sz w:val="24"/>
          <w:szCs w:val="24"/>
        </w:rPr>
        <w:t>A situação da classe trabalhadora na Inglaterra.</w:t>
      </w:r>
      <w:r w:rsidRPr="00275865">
        <w:rPr>
          <w:rFonts w:ascii="Times New Roman" w:hAnsi="Times New Roman" w:cs="Times New Roman"/>
          <w:sz w:val="24"/>
          <w:szCs w:val="24"/>
        </w:rPr>
        <w:t xml:space="preserve"> São Paulo: </w:t>
      </w:r>
      <w:proofErr w:type="spellStart"/>
      <w:r w:rsidRPr="00275865">
        <w:rPr>
          <w:rFonts w:ascii="Times New Roman" w:hAnsi="Times New Roman" w:cs="Times New Roman"/>
          <w:sz w:val="24"/>
          <w:szCs w:val="24"/>
        </w:rPr>
        <w:t>Boitempo</w:t>
      </w:r>
      <w:proofErr w:type="spellEnd"/>
      <w:r w:rsidRPr="00275865">
        <w:rPr>
          <w:rFonts w:ascii="Times New Roman" w:hAnsi="Times New Roman" w:cs="Times New Roman"/>
          <w:sz w:val="24"/>
          <w:szCs w:val="24"/>
        </w:rPr>
        <w:t>, 2008.</w:t>
      </w:r>
    </w:p>
    <w:p w:rsidR="00131A12" w:rsidRPr="00275865" w:rsidRDefault="00131A12" w:rsidP="00131A12">
      <w:pPr>
        <w:spacing w:after="0"/>
        <w:rPr>
          <w:rFonts w:ascii="Times New Roman" w:hAnsi="Times New Roman" w:cs="Times New Roman"/>
          <w:sz w:val="24"/>
          <w:szCs w:val="24"/>
        </w:rPr>
      </w:pPr>
    </w:p>
    <w:p w:rsidR="00131A12" w:rsidRDefault="00131A12" w:rsidP="00131A12">
      <w:pPr>
        <w:spacing w:after="0"/>
        <w:rPr>
          <w:rFonts w:ascii="Times New Roman" w:hAnsi="Times New Roman" w:cs="Times New Roman"/>
          <w:sz w:val="24"/>
          <w:szCs w:val="24"/>
        </w:rPr>
      </w:pPr>
      <w:r w:rsidRPr="00275865">
        <w:rPr>
          <w:rFonts w:ascii="Times New Roman" w:hAnsi="Times New Roman" w:cs="Times New Roman"/>
          <w:sz w:val="24"/>
          <w:szCs w:val="24"/>
        </w:rPr>
        <w:t xml:space="preserve">FRASER, N. </w:t>
      </w:r>
      <w:r w:rsidRPr="00CB7B64">
        <w:rPr>
          <w:rStyle w:val="Forte"/>
          <w:rFonts w:ascii="Times New Roman" w:hAnsi="Times New Roman" w:cs="Times New Roman"/>
          <w:b w:val="0"/>
          <w:sz w:val="24"/>
          <w:szCs w:val="24"/>
        </w:rPr>
        <w:t>Reconhecimento sem ética?</w:t>
      </w:r>
      <w:r w:rsidRPr="00CB7B64">
        <w:rPr>
          <w:rFonts w:ascii="Times New Roman" w:hAnsi="Times New Roman" w:cs="Times New Roman"/>
          <w:b/>
          <w:sz w:val="24"/>
          <w:szCs w:val="24"/>
        </w:rPr>
        <w:t xml:space="preserve"> </w:t>
      </w:r>
      <w:r w:rsidRPr="00CB7B64">
        <w:rPr>
          <w:rStyle w:val="nfase"/>
          <w:rFonts w:ascii="Times New Roman" w:hAnsi="Times New Roman" w:cs="Times New Roman"/>
          <w:b/>
          <w:i w:val="0"/>
          <w:sz w:val="24"/>
          <w:szCs w:val="24"/>
        </w:rPr>
        <w:t>Lua Nova:</w:t>
      </w:r>
      <w:r w:rsidRPr="00CB7B64">
        <w:rPr>
          <w:rStyle w:val="nfase"/>
          <w:rFonts w:ascii="Times New Roman" w:hAnsi="Times New Roman" w:cs="Times New Roman"/>
          <w:i w:val="0"/>
          <w:sz w:val="24"/>
          <w:szCs w:val="24"/>
        </w:rPr>
        <w:t xml:space="preserve"> </w:t>
      </w:r>
      <w:r w:rsidRPr="00CB7B64">
        <w:rPr>
          <w:rStyle w:val="nfase"/>
          <w:rFonts w:ascii="Times New Roman" w:hAnsi="Times New Roman" w:cs="Times New Roman"/>
          <w:b/>
          <w:i w:val="0"/>
          <w:sz w:val="24"/>
          <w:szCs w:val="24"/>
        </w:rPr>
        <w:t>revista de cultura e política</w:t>
      </w:r>
      <w:r w:rsidRPr="00275865">
        <w:rPr>
          <w:rFonts w:ascii="Times New Roman" w:hAnsi="Times New Roman" w:cs="Times New Roman"/>
          <w:sz w:val="24"/>
          <w:szCs w:val="24"/>
        </w:rPr>
        <w:t>, São Paulo, n. 70, p. 101-138, 2007. Disponível em: https://www.scielo.br/j/ln/a/JwvFBqdKJnvndHhSH6C5ngr/?format=pdf&amp;lang=pt. Acesso em: 16 jun. 2025.</w:t>
      </w:r>
    </w:p>
    <w:p w:rsidR="00131A12" w:rsidRPr="00275865" w:rsidRDefault="00131A12" w:rsidP="00131A12">
      <w:pPr>
        <w:spacing w:after="0"/>
        <w:rPr>
          <w:rFonts w:ascii="Times New Roman" w:hAnsi="Times New Roman" w:cs="Times New Roman"/>
          <w:sz w:val="24"/>
          <w:szCs w:val="24"/>
        </w:rPr>
      </w:pPr>
    </w:p>
    <w:p w:rsidR="00131A12" w:rsidRDefault="00131A12" w:rsidP="00131A12">
      <w:pPr>
        <w:spacing w:after="0"/>
        <w:rPr>
          <w:rFonts w:ascii="Times New Roman" w:hAnsi="Times New Roman" w:cs="Times New Roman"/>
          <w:sz w:val="24"/>
          <w:szCs w:val="24"/>
        </w:rPr>
      </w:pPr>
      <w:r w:rsidRPr="00275865">
        <w:rPr>
          <w:rFonts w:ascii="Times New Roman" w:hAnsi="Times New Roman" w:cs="Times New Roman"/>
          <w:sz w:val="24"/>
          <w:szCs w:val="24"/>
        </w:rPr>
        <w:t xml:space="preserve">MARX, K. </w:t>
      </w:r>
      <w:r w:rsidRPr="00275865">
        <w:rPr>
          <w:rStyle w:val="Forte"/>
          <w:rFonts w:ascii="Times New Roman" w:hAnsi="Times New Roman" w:cs="Times New Roman"/>
          <w:sz w:val="24"/>
          <w:szCs w:val="24"/>
        </w:rPr>
        <w:t>Manuscritos econômico-filosóficos (1844).</w:t>
      </w:r>
      <w:r w:rsidRPr="00275865">
        <w:rPr>
          <w:rFonts w:ascii="Times New Roman" w:hAnsi="Times New Roman" w:cs="Times New Roman"/>
          <w:sz w:val="24"/>
          <w:szCs w:val="24"/>
        </w:rPr>
        <w:t xml:space="preserve"> São Paulo: Brasiliense, 1980.</w:t>
      </w:r>
    </w:p>
    <w:p w:rsidR="00131A12" w:rsidRPr="00275865" w:rsidRDefault="00131A12" w:rsidP="00131A12">
      <w:pPr>
        <w:spacing w:after="0"/>
        <w:rPr>
          <w:rFonts w:ascii="Times New Roman" w:hAnsi="Times New Roman" w:cs="Times New Roman"/>
          <w:sz w:val="24"/>
          <w:szCs w:val="24"/>
        </w:rPr>
      </w:pPr>
    </w:p>
    <w:p w:rsidR="00131A12" w:rsidRDefault="00131A12" w:rsidP="00131A12">
      <w:pPr>
        <w:spacing w:after="0"/>
        <w:rPr>
          <w:rFonts w:ascii="Times New Roman" w:hAnsi="Times New Roman" w:cs="Times New Roman"/>
          <w:sz w:val="24"/>
          <w:szCs w:val="24"/>
        </w:rPr>
      </w:pPr>
      <w:r w:rsidRPr="00275865">
        <w:rPr>
          <w:rFonts w:ascii="Times New Roman" w:hAnsi="Times New Roman" w:cs="Times New Roman"/>
          <w:sz w:val="24"/>
          <w:szCs w:val="24"/>
        </w:rPr>
        <w:t xml:space="preserve">MARX, K. </w:t>
      </w:r>
      <w:r w:rsidRPr="00275865">
        <w:rPr>
          <w:rStyle w:val="Forte"/>
          <w:rFonts w:ascii="Times New Roman" w:hAnsi="Times New Roman" w:cs="Times New Roman"/>
          <w:sz w:val="24"/>
          <w:szCs w:val="24"/>
        </w:rPr>
        <w:t>O capital: crítica da economia política.</w:t>
      </w:r>
      <w:r w:rsidRPr="00275865">
        <w:rPr>
          <w:rFonts w:ascii="Times New Roman" w:hAnsi="Times New Roman" w:cs="Times New Roman"/>
          <w:sz w:val="24"/>
          <w:szCs w:val="24"/>
        </w:rPr>
        <w:t xml:space="preserve"> Livro I. São Paulo: </w:t>
      </w:r>
      <w:proofErr w:type="spellStart"/>
      <w:r w:rsidRPr="00275865">
        <w:rPr>
          <w:rFonts w:ascii="Times New Roman" w:hAnsi="Times New Roman" w:cs="Times New Roman"/>
          <w:sz w:val="24"/>
          <w:szCs w:val="24"/>
        </w:rPr>
        <w:t>Boitempo</w:t>
      </w:r>
      <w:proofErr w:type="spellEnd"/>
      <w:r w:rsidRPr="00275865">
        <w:rPr>
          <w:rFonts w:ascii="Times New Roman" w:hAnsi="Times New Roman" w:cs="Times New Roman"/>
          <w:sz w:val="24"/>
          <w:szCs w:val="24"/>
        </w:rPr>
        <w:t>, 2013.</w:t>
      </w:r>
    </w:p>
    <w:p w:rsidR="00131A12" w:rsidRPr="00275865" w:rsidRDefault="00131A12" w:rsidP="00131A12">
      <w:pPr>
        <w:spacing w:after="0"/>
        <w:rPr>
          <w:rFonts w:ascii="Times New Roman" w:hAnsi="Times New Roman" w:cs="Times New Roman"/>
          <w:sz w:val="24"/>
          <w:szCs w:val="24"/>
        </w:rPr>
      </w:pPr>
    </w:p>
    <w:p w:rsidR="00131A12" w:rsidRDefault="00131A12" w:rsidP="00131A12">
      <w:pPr>
        <w:spacing w:after="0"/>
        <w:rPr>
          <w:rFonts w:ascii="Times New Roman" w:hAnsi="Times New Roman" w:cs="Times New Roman"/>
          <w:sz w:val="24"/>
          <w:szCs w:val="24"/>
        </w:rPr>
      </w:pPr>
      <w:r w:rsidRPr="00275865">
        <w:rPr>
          <w:rFonts w:ascii="Times New Roman" w:hAnsi="Times New Roman" w:cs="Times New Roman"/>
          <w:sz w:val="24"/>
          <w:szCs w:val="24"/>
        </w:rPr>
        <w:t xml:space="preserve">MARX, K. Prefácio à </w:t>
      </w:r>
      <w:r w:rsidRPr="00CB7B64">
        <w:rPr>
          <w:rStyle w:val="Forte"/>
          <w:rFonts w:ascii="Times New Roman" w:hAnsi="Times New Roman" w:cs="Times New Roman"/>
          <w:b w:val="0"/>
          <w:sz w:val="24"/>
          <w:szCs w:val="24"/>
        </w:rPr>
        <w:t>Contribuição à crítica da economia política</w:t>
      </w:r>
      <w:r w:rsidRPr="00275865">
        <w:rPr>
          <w:rStyle w:val="Forte"/>
          <w:rFonts w:ascii="Times New Roman" w:hAnsi="Times New Roman" w:cs="Times New Roman"/>
          <w:sz w:val="24"/>
          <w:szCs w:val="24"/>
        </w:rPr>
        <w:t>.</w:t>
      </w:r>
      <w:r w:rsidRPr="00275865">
        <w:rPr>
          <w:rFonts w:ascii="Times New Roman" w:hAnsi="Times New Roman" w:cs="Times New Roman"/>
          <w:sz w:val="24"/>
          <w:szCs w:val="24"/>
        </w:rPr>
        <w:t xml:space="preserve"> In: MARX, K.; ENGELS, F. </w:t>
      </w:r>
      <w:r w:rsidRPr="00275865">
        <w:rPr>
          <w:rStyle w:val="Forte"/>
          <w:rFonts w:ascii="Times New Roman" w:hAnsi="Times New Roman" w:cs="Times New Roman"/>
          <w:sz w:val="24"/>
          <w:szCs w:val="24"/>
        </w:rPr>
        <w:t>Obras escolhidas.</w:t>
      </w:r>
      <w:r w:rsidRPr="00275865">
        <w:rPr>
          <w:rFonts w:ascii="Times New Roman" w:hAnsi="Times New Roman" w:cs="Times New Roman"/>
          <w:sz w:val="24"/>
          <w:szCs w:val="24"/>
        </w:rPr>
        <w:t xml:space="preserve"> Rio de Janeiro: Civilização Brasileira, 1975.</w:t>
      </w:r>
    </w:p>
    <w:p w:rsidR="00131A12" w:rsidRPr="00275865" w:rsidRDefault="00131A12" w:rsidP="00131A12">
      <w:pPr>
        <w:spacing w:after="0"/>
        <w:rPr>
          <w:rFonts w:ascii="Times New Roman" w:hAnsi="Times New Roman" w:cs="Times New Roman"/>
          <w:sz w:val="24"/>
          <w:szCs w:val="24"/>
        </w:rPr>
      </w:pPr>
    </w:p>
    <w:p w:rsidR="00131A12" w:rsidRDefault="00131A12" w:rsidP="00131A12">
      <w:pPr>
        <w:spacing w:after="0"/>
        <w:rPr>
          <w:rFonts w:ascii="Times New Roman" w:hAnsi="Times New Roman" w:cs="Times New Roman"/>
          <w:sz w:val="24"/>
          <w:szCs w:val="24"/>
        </w:rPr>
      </w:pPr>
      <w:r w:rsidRPr="00275865">
        <w:rPr>
          <w:rFonts w:ascii="Times New Roman" w:hAnsi="Times New Roman" w:cs="Times New Roman"/>
          <w:sz w:val="24"/>
          <w:szCs w:val="24"/>
        </w:rPr>
        <w:t xml:space="preserve">MINISTÉRIO DA EDUCAÇÃO (Brasil). Comissão Nacional de Avaliação da Educação Superior. </w:t>
      </w:r>
      <w:r w:rsidRPr="00275865">
        <w:rPr>
          <w:rStyle w:val="Forte"/>
          <w:rFonts w:ascii="Times New Roman" w:hAnsi="Times New Roman" w:cs="Times New Roman"/>
          <w:sz w:val="24"/>
          <w:szCs w:val="24"/>
        </w:rPr>
        <w:t xml:space="preserve">SINAES: </w:t>
      </w:r>
      <w:r w:rsidRPr="00CB7B64">
        <w:rPr>
          <w:rStyle w:val="Forte"/>
          <w:rFonts w:ascii="Times New Roman" w:hAnsi="Times New Roman" w:cs="Times New Roman"/>
          <w:b w:val="0"/>
          <w:sz w:val="24"/>
          <w:szCs w:val="24"/>
        </w:rPr>
        <w:t>Sistema Nacional de Avaliação da Educação Superior: orientações gerais para o roteiro da autoavaliação das instituições.</w:t>
      </w:r>
      <w:r w:rsidRPr="00275865">
        <w:rPr>
          <w:rFonts w:ascii="Times New Roman" w:hAnsi="Times New Roman" w:cs="Times New Roman"/>
          <w:sz w:val="24"/>
          <w:szCs w:val="24"/>
        </w:rPr>
        <w:t xml:space="preserve"> Brasília: MEC/INEP/CONAES, 2004. Disponível em: </w:t>
      </w:r>
      <w:r w:rsidRPr="001416B8">
        <w:rPr>
          <w:rFonts w:ascii="Times New Roman" w:hAnsi="Times New Roman" w:cs="Times New Roman"/>
          <w:sz w:val="24"/>
          <w:szCs w:val="24"/>
        </w:rPr>
        <w:t>https://cpaufsc.paginas.ufsc.br/files/2014/09/Manual-de-Orienta%C3%A7%C3%A3o-Autoavalia%C3%A7%C3%A3o-Sinaes.pdf</w:t>
      </w:r>
      <w:r w:rsidRPr="00275865">
        <w:rPr>
          <w:rFonts w:ascii="Times New Roman" w:hAnsi="Times New Roman" w:cs="Times New Roman"/>
          <w:sz w:val="24"/>
          <w:szCs w:val="24"/>
        </w:rPr>
        <w:t>. Acesso em: 2 set. 2025.</w:t>
      </w:r>
    </w:p>
    <w:p w:rsidR="00131A12" w:rsidRPr="00275865" w:rsidRDefault="00131A12" w:rsidP="00131A12">
      <w:pPr>
        <w:spacing w:after="0"/>
        <w:rPr>
          <w:rFonts w:ascii="Times New Roman" w:hAnsi="Times New Roman" w:cs="Times New Roman"/>
          <w:sz w:val="24"/>
          <w:szCs w:val="24"/>
        </w:rPr>
      </w:pPr>
    </w:p>
    <w:p w:rsidR="00131A12" w:rsidRDefault="00131A12" w:rsidP="00131A12">
      <w:pPr>
        <w:spacing w:after="0"/>
        <w:rPr>
          <w:rFonts w:ascii="Times New Roman" w:hAnsi="Times New Roman" w:cs="Times New Roman"/>
          <w:sz w:val="24"/>
          <w:szCs w:val="24"/>
        </w:rPr>
      </w:pPr>
      <w:r w:rsidRPr="00275865">
        <w:rPr>
          <w:rFonts w:ascii="Times New Roman" w:hAnsi="Times New Roman" w:cs="Times New Roman"/>
          <w:sz w:val="24"/>
          <w:szCs w:val="24"/>
        </w:rPr>
        <w:t xml:space="preserve">PAULA, M. de F. C. </w:t>
      </w:r>
      <w:r w:rsidRPr="00CB7B64">
        <w:rPr>
          <w:rStyle w:val="Forte"/>
          <w:rFonts w:ascii="Times New Roman" w:hAnsi="Times New Roman" w:cs="Times New Roman"/>
          <w:b w:val="0"/>
          <w:sz w:val="24"/>
          <w:szCs w:val="24"/>
        </w:rPr>
        <w:t>Políticas de democratização da educação superior brasileira: limites e desafios para a próxima década.</w:t>
      </w:r>
      <w:r w:rsidRPr="00275865">
        <w:rPr>
          <w:rFonts w:ascii="Times New Roman" w:hAnsi="Times New Roman" w:cs="Times New Roman"/>
          <w:sz w:val="24"/>
          <w:szCs w:val="24"/>
        </w:rPr>
        <w:t xml:space="preserve"> </w:t>
      </w:r>
      <w:r w:rsidRPr="00CB7B64">
        <w:rPr>
          <w:rStyle w:val="nfase"/>
          <w:rFonts w:ascii="Times New Roman" w:hAnsi="Times New Roman" w:cs="Times New Roman"/>
          <w:b/>
          <w:i w:val="0"/>
          <w:sz w:val="24"/>
          <w:szCs w:val="24"/>
        </w:rPr>
        <w:t>Avaliação: Revista da Avaliação da Educação Superior (Campinas)</w:t>
      </w:r>
      <w:r w:rsidRPr="00CB7B64">
        <w:rPr>
          <w:rFonts w:ascii="Times New Roman" w:hAnsi="Times New Roman" w:cs="Times New Roman"/>
          <w:b/>
          <w:i/>
          <w:sz w:val="24"/>
          <w:szCs w:val="24"/>
        </w:rPr>
        <w:t>,</w:t>
      </w:r>
      <w:r w:rsidRPr="00CB7B64">
        <w:rPr>
          <w:rFonts w:ascii="Times New Roman" w:hAnsi="Times New Roman" w:cs="Times New Roman"/>
          <w:i/>
          <w:sz w:val="24"/>
          <w:szCs w:val="24"/>
        </w:rPr>
        <w:t xml:space="preserve"> </w:t>
      </w:r>
      <w:r w:rsidRPr="00275865">
        <w:rPr>
          <w:rFonts w:ascii="Times New Roman" w:hAnsi="Times New Roman" w:cs="Times New Roman"/>
          <w:sz w:val="24"/>
          <w:szCs w:val="24"/>
        </w:rPr>
        <w:t xml:space="preserve">Campinas, v. 22, n. 2, p. 301-315, maio 2017. Disponível em: </w:t>
      </w:r>
      <w:r w:rsidRPr="001416B8">
        <w:rPr>
          <w:rFonts w:ascii="Times New Roman" w:hAnsi="Times New Roman" w:cs="Times New Roman"/>
          <w:sz w:val="24"/>
          <w:szCs w:val="24"/>
        </w:rPr>
        <w:t>https://www.scielo.br/j/aval/a/KYs6H9L5YpppTCZHpHGd8SK/abstract/?lang=pt</w:t>
      </w:r>
      <w:r w:rsidRPr="00275865">
        <w:rPr>
          <w:rFonts w:ascii="Times New Roman" w:hAnsi="Times New Roman" w:cs="Times New Roman"/>
          <w:sz w:val="24"/>
          <w:szCs w:val="24"/>
        </w:rPr>
        <w:t>. Acesso em: 15 ago. 2025.</w:t>
      </w:r>
    </w:p>
    <w:p w:rsidR="00131A12" w:rsidRPr="00275865" w:rsidRDefault="00131A12" w:rsidP="00131A12">
      <w:pPr>
        <w:spacing w:after="0"/>
        <w:rPr>
          <w:rFonts w:ascii="Times New Roman" w:hAnsi="Times New Roman" w:cs="Times New Roman"/>
          <w:sz w:val="24"/>
          <w:szCs w:val="24"/>
        </w:rPr>
      </w:pPr>
    </w:p>
    <w:p w:rsidR="00131A12" w:rsidRDefault="00131A12" w:rsidP="00131A12">
      <w:pPr>
        <w:spacing w:after="0"/>
        <w:rPr>
          <w:rFonts w:ascii="Times New Roman" w:hAnsi="Times New Roman" w:cs="Times New Roman"/>
          <w:sz w:val="24"/>
          <w:szCs w:val="24"/>
        </w:rPr>
      </w:pPr>
      <w:r w:rsidRPr="00275865">
        <w:rPr>
          <w:rFonts w:ascii="Times New Roman" w:hAnsi="Times New Roman" w:cs="Times New Roman"/>
          <w:sz w:val="24"/>
          <w:szCs w:val="24"/>
        </w:rPr>
        <w:t xml:space="preserve">RISTOFF, D. </w:t>
      </w:r>
      <w:r w:rsidRPr="00CB7B64">
        <w:rPr>
          <w:rStyle w:val="Forte"/>
          <w:rFonts w:ascii="Times New Roman" w:hAnsi="Times New Roman" w:cs="Times New Roman"/>
          <w:b w:val="0"/>
          <w:sz w:val="24"/>
          <w:szCs w:val="24"/>
        </w:rPr>
        <w:t>A expansão da educação superior brasileira: tendências e desafios.</w:t>
      </w:r>
      <w:r w:rsidRPr="001416B8">
        <w:rPr>
          <w:rFonts w:ascii="Times New Roman" w:hAnsi="Times New Roman" w:cs="Times New Roman"/>
          <w:b/>
          <w:sz w:val="24"/>
          <w:szCs w:val="24"/>
        </w:rPr>
        <w:t xml:space="preserve"> </w:t>
      </w:r>
      <w:r w:rsidRPr="00275865">
        <w:rPr>
          <w:rFonts w:ascii="Times New Roman" w:hAnsi="Times New Roman" w:cs="Times New Roman"/>
          <w:sz w:val="24"/>
          <w:szCs w:val="24"/>
        </w:rPr>
        <w:t>In: PAULA, M. de F. C.; FERNÁNDEZ LAMARRA, N. (</w:t>
      </w:r>
      <w:proofErr w:type="spellStart"/>
      <w:r w:rsidRPr="00275865">
        <w:rPr>
          <w:rFonts w:ascii="Times New Roman" w:hAnsi="Times New Roman" w:cs="Times New Roman"/>
          <w:sz w:val="24"/>
          <w:szCs w:val="24"/>
        </w:rPr>
        <w:t>orgs</w:t>
      </w:r>
      <w:proofErr w:type="spellEnd"/>
      <w:r w:rsidRPr="00275865">
        <w:rPr>
          <w:rFonts w:ascii="Times New Roman" w:hAnsi="Times New Roman" w:cs="Times New Roman"/>
          <w:sz w:val="24"/>
          <w:szCs w:val="24"/>
        </w:rPr>
        <w:t xml:space="preserve">.). </w:t>
      </w:r>
      <w:r w:rsidRPr="00275865">
        <w:rPr>
          <w:rStyle w:val="Forte"/>
          <w:rFonts w:ascii="Times New Roman" w:hAnsi="Times New Roman" w:cs="Times New Roman"/>
          <w:sz w:val="24"/>
          <w:szCs w:val="24"/>
        </w:rPr>
        <w:t>Reformas e democratização da educação superior no Brasil e na América Latina.</w:t>
      </w:r>
      <w:r w:rsidRPr="00275865">
        <w:rPr>
          <w:rFonts w:ascii="Times New Roman" w:hAnsi="Times New Roman" w:cs="Times New Roman"/>
          <w:sz w:val="24"/>
          <w:szCs w:val="24"/>
        </w:rPr>
        <w:t xml:space="preserve"> Aparecida: </w:t>
      </w:r>
      <w:proofErr w:type="spellStart"/>
      <w:r w:rsidRPr="00275865">
        <w:rPr>
          <w:rFonts w:ascii="Times New Roman" w:hAnsi="Times New Roman" w:cs="Times New Roman"/>
          <w:sz w:val="24"/>
          <w:szCs w:val="24"/>
        </w:rPr>
        <w:t>Idéias</w:t>
      </w:r>
      <w:proofErr w:type="spellEnd"/>
      <w:r w:rsidRPr="00275865">
        <w:rPr>
          <w:rFonts w:ascii="Times New Roman" w:hAnsi="Times New Roman" w:cs="Times New Roman"/>
          <w:sz w:val="24"/>
          <w:szCs w:val="24"/>
        </w:rPr>
        <w:t xml:space="preserve"> &amp; Letras, 2011. p. 191-216.</w:t>
      </w:r>
    </w:p>
    <w:p w:rsidR="00131A12" w:rsidRDefault="00131A12" w:rsidP="00131A12">
      <w:pPr>
        <w:spacing w:after="0"/>
        <w:rPr>
          <w:rFonts w:ascii="Times New Roman" w:hAnsi="Times New Roman" w:cs="Times New Roman"/>
          <w:sz w:val="24"/>
          <w:szCs w:val="24"/>
        </w:rPr>
      </w:pPr>
    </w:p>
    <w:p w:rsidR="00131A12" w:rsidRPr="00523E43" w:rsidRDefault="00131A12" w:rsidP="00131A12">
      <w:pPr>
        <w:spacing w:after="0" w:line="240" w:lineRule="auto"/>
        <w:jc w:val="both"/>
        <w:rPr>
          <w:rFonts w:ascii="Times New Roman" w:hAnsi="Times New Roman" w:cs="Times New Roman"/>
          <w:color w:val="000000" w:themeColor="text1"/>
          <w:sz w:val="24"/>
          <w:szCs w:val="24"/>
        </w:rPr>
      </w:pPr>
      <w:r w:rsidRPr="00523E43">
        <w:rPr>
          <w:rFonts w:ascii="Times New Roman" w:hAnsi="Times New Roman" w:cs="Times New Roman"/>
          <w:color w:val="000000" w:themeColor="text1"/>
          <w:sz w:val="24"/>
          <w:szCs w:val="24"/>
        </w:rPr>
        <w:t xml:space="preserve">RISTOFF, D. O novo perfil do campus brasileiro: uma análise do perfil socioeconômico do estudante de graduação. </w:t>
      </w:r>
      <w:r w:rsidRPr="00523E43">
        <w:rPr>
          <w:rFonts w:ascii="Times New Roman" w:hAnsi="Times New Roman" w:cs="Times New Roman"/>
          <w:b/>
          <w:bCs/>
          <w:color w:val="000000" w:themeColor="text1"/>
          <w:sz w:val="24"/>
          <w:szCs w:val="24"/>
        </w:rPr>
        <w:t xml:space="preserve">Avaliação: </w:t>
      </w:r>
      <w:r w:rsidRPr="007768BF">
        <w:rPr>
          <w:rFonts w:ascii="Times New Roman" w:hAnsi="Times New Roman" w:cs="Times New Roman"/>
          <w:b/>
          <w:bCs/>
          <w:color w:val="000000" w:themeColor="text1"/>
          <w:sz w:val="24"/>
          <w:szCs w:val="24"/>
        </w:rPr>
        <w:t>Revista da Avaliação da Educação Superior</w:t>
      </w:r>
      <w:r>
        <w:rPr>
          <w:rFonts w:ascii="Times New Roman" w:hAnsi="Times New Roman" w:cs="Times New Roman"/>
          <w:b/>
          <w:bCs/>
          <w:color w:val="000000" w:themeColor="text1"/>
          <w:sz w:val="24"/>
          <w:szCs w:val="24"/>
        </w:rPr>
        <w:t xml:space="preserve"> </w:t>
      </w:r>
      <w:bookmarkStart w:id="0" w:name="_GoBack"/>
      <w:r w:rsidRPr="00CB7B64">
        <w:rPr>
          <w:rStyle w:val="nfase"/>
          <w:rFonts w:ascii="Times New Roman" w:hAnsi="Times New Roman" w:cs="Times New Roman"/>
          <w:b/>
          <w:i w:val="0"/>
          <w:sz w:val="24"/>
          <w:szCs w:val="24"/>
        </w:rPr>
        <w:t>(Campinas)</w:t>
      </w:r>
      <w:r w:rsidRPr="00CB7B64">
        <w:rPr>
          <w:rFonts w:ascii="Times New Roman" w:hAnsi="Times New Roman" w:cs="Times New Roman"/>
          <w:b/>
          <w:i/>
          <w:sz w:val="24"/>
          <w:szCs w:val="24"/>
        </w:rPr>
        <w:t>,</w:t>
      </w:r>
      <w:r w:rsidRPr="00523E43">
        <w:rPr>
          <w:rFonts w:ascii="Times New Roman" w:hAnsi="Times New Roman" w:cs="Times New Roman"/>
          <w:bCs/>
          <w:color w:val="000000" w:themeColor="text1"/>
          <w:sz w:val="24"/>
          <w:szCs w:val="24"/>
        </w:rPr>
        <w:t xml:space="preserve"> </w:t>
      </w:r>
      <w:bookmarkEnd w:id="0"/>
      <w:r w:rsidRPr="00523E43">
        <w:rPr>
          <w:rFonts w:ascii="Times New Roman" w:hAnsi="Times New Roman" w:cs="Times New Roman"/>
          <w:bCs/>
          <w:color w:val="000000" w:themeColor="text1"/>
          <w:sz w:val="24"/>
          <w:szCs w:val="24"/>
        </w:rPr>
        <w:t>Campinas; Sorocaba</w:t>
      </w:r>
      <w:r w:rsidRPr="00523E43">
        <w:rPr>
          <w:rFonts w:ascii="Times New Roman" w:hAnsi="Times New Roman" w:cs="Times New Roman"/>
          <w:color w:val="000000" w:themeColor="text1"/>
          <w:sz w:val="24"/>
          <w:szCs w:val="24"/>
        </w:rPr>
        <w:t>, v. 19, n. 3, p. 723–747, nov. 2014. Disponível em: https://www.scielo.br/j/aval/a/yQz6tVyGStDkzSMZcVpkTbT/abstract/?lang=pt#. Acesso em: 10 de fev. 2024.</w:t>
      </w:r>
    </w:p>
    <w:p w:rsidR="00131A12" w:rsidRDefault="00131A12"/>
    <w:sectPr w:rsidR="00131A1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131A12"/>
    <w:rsid w:val="00342DF4"/>
    <w:rsid w:val="003B3E13"/>
    <w:rsid w:val="00660186"/>
    <w:rsid w:val="00773D54"/>
    <w:rsid w:val="0092417C"/>
    <w:rsid w:val="00941F25"/>
    <w:rsid w:val="009B4014"/>
    <w:rsid w:val="00CB7B64"/>
    <w:rsid w:val="00DB17C8"/>
    <w:rsid w:val="00DC79A8"/>
    <w:rsid w:val="00E64BAF"/>
    <w:rsid w:val="00F955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D99C0"/>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character" w:styleId="Forte">
    <w:name w:val="Strong"/>
    <w:basedOn w:val="Fontepargpadro"/>
    <w:uiPriority w:val="22"/>
    <w:qFormat/>
    <w:rsid w:val="00DB17C8"/>
    <w:rPr>
      <w:b/>
      <w:bCs/>
    </w:rPr>
  </w:style>
  <w:style w:type="character" w:styleId="nfase">
    <w:name w:val="Emphasis"/>
    <w:basedOn w:val="Fontepargpadro"/>
    <w:uiPriority w:val="20"/>
    <w:qFormat/>
    <w:rsid w:val="00131A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1750</Words>
  <Characters>9451</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 </cp:lastModifiedBy>
  <cp:revision>4</cp:revision>
  <dcterms:created xsi:type="dcterms:W3CDTF">2025-09-15T11:58:00Z</dcterms:created>
  <dcterms:modified xsi:type="dcterms:W3CDTF">2025-09-15T14:45:00Z</dcterms:modified>
</cp:coreProperties>
</file>