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EB990" w14:textId="77777777" w:rsidR="008C3BD5" w:rsidRPr="008C3BD5" w:rsidRDefault="008C3BD5" w:rsidP="008C3BD5">
      <w:pPr>
        <w:spacing w:line="360" w:lineRule="auto"/>
        <w:jc w:val="center"/>
        <w:rPr>
          <w:sz w:val="24"/>
          <w:szCs w:val="24"/>
        </w:rPr>
      </w:pPr>
      <w:r w:rsidRPr="008C3BD5">
        <w:rPr>
          <w:b/>
          <w:bCs/>
          <w:sz w:val="24"/>
          <w:szCs w:val="24"/>
        </w:rPr>
        <w:t>ALÉM DO REPOUSO:</w:t>
      </w:r>
      <w:r w:rsidRPr="008C3BD5">
        <w:rPr>
          <w:sz w:val="24"/>
          <w:szCs w:val="24"/>
        </w:rPr>
        <w:t xml:space="preserve"> o papel da fisioterapia no tratamento da dengue</w:t>
      </w:r>
    </w:p>
    <w:p w14:paraId="3D119298" w14:textId="77777777" w:rsidR="008C3BD5" w:rsidRPr="008C3BD5" w:rsidRDefault="008C3BD5" w:rsidP="008C3BD5">
      <w:pPr>
        <w:tabs>
          <w:tab w:val="left" w:pos="1540"/>
        </w:tabs>
        <w:spacing w:line="360" w:lineRule="auto"/>
        <w:ind w:left="-360"/>
        <w:jc w:val="right"/>
        <w:rPr>
          <w:b/>
          <w:bCs/>
          <w:color w:val="000000" w:themeColor="text1"/>
          <w:sz w:val="24"/>
          <w:szCs w:val="24"/>
        </w:rPr>
      </w:pPr>
    </w:p>
    <w:p w14:paraId="66319D6B" w14:textId="41ABE092" w:rsidR="008C3BD5" w:rsidRPr="008C3BD5" w:rsidRDefault="00912172" w:rsidP="008C3BD5">
      <w:pPr>
        <w:tabs>
          <w:tab w:val="left" w:pos="1540"/>
        </w:tabs>
        <w:spacing w:line="360" w:lineRule="auto"/>
        <w:ind w:left="-360"/>
        <w:jc w:val="right"/>
        <w:rPr>
          <w:rFonts w:eastAsiaTheme="minorEastAsia"/>
          <w:sz w:val="24"/>
          <w:szCs w:val="24"/>
        </w:rPr>
      </w:pPr>
      <w:proofErr w:type="spellStart"/>
      <w:r>
        <w:rPr>
          <w:sz w:val="24"/>
          <w:szCs w:val="24"/>
        </w:rPr>
        <w:t>Henrico</w:t>
      </w:r>
      <w:proofErr w:type="spellEnd"/>
      <w:r>
        <w:rPr>
          <w:sz w:val="24"/>
          <w:szCs w:val="24"/>
        </w:rPr>
        <w:t xml:space="preserve"> Frota Cruz</w:t>
      </w:r>
      <w:r w:rsidR="008C3BD5" w:rsidRPr="008C3BD5">
        <w:rPr>
          <w:sz w:val="24"/>
          <w:szCs w:val="24"/>
          <w:vertAlign w:val="superscript"/>
        </w:rPr>
        <w:footnoteReference w:id="1"/>
      </w:r>
    </w:p>
    <w:p w14:paraId="55266F0B" w14:textId="32AEA27A" w:rsidR="00634157" w:rsidRPr="00DA677B" w:rsidRDefault="00912172" w:rsidP="00DA677B">
      <w:pPr>
        <w:spacing w:line="360" w:lineRule="auto"/>
        <w:jc w:val="right"/>
        <w:rPr>
          <w:sz w:val="24"/>
          <w:szCs w:val="24"/>
          <w:vertAlign w:val="superscript"/>
        </w:rPr>
      </w:pPr>
      <w:r>
        <w:rPr>
          <w:color w:val="000000" w:themeColor="text1"/>
          <w:sz w:val="24"/>
          <w:szCs w:val="24"/>
        </w:rPr>
        <w:t>Camila de Brito Magalhães</w:t>
      </w:r>
      <w:r w:rsidR="001F451B">
        <w:rPr>
          <w:sz w:val="24"/>
          <w:szCs w:val="24"/>
          <w:vertAlign w:val="superscript"/>
        </w:rPr>
        <w:t>1</w:t>
      </w:r>
    </w:p>
    <w:p w14:paraId="112DD342" w14:textId="278A9BC1" w:rsidR="00045C38" w:rsidRPr="00A3693B" w:rsidRDefault="008C3BD5" w:rsidP="008C3BD5">
      <w:pPr>
        <w:spacing w:line="360" w:lineRule="auto"/>
        <w:jc w:val="right"/>
        <w:rPr>
          <w:color w:val="000000" w:themeColor="text1"/>
          <w:sz w:val="24"/>
          <w:szCs w:val="24"/>
          <w:vertAlign w:val="superscript"/>
        </w:rPr>
      </w:pPr>
      <w:proofErr w:type="spellStart"/>
      <w:r w:rsidRPr="008C3BD5">
        <w:rPr>
          <w:color w:val="000000" w:themeColor="text1"/>
          <w:sz w:val="24"/>
          <w:szCs w:val="24"/>
        </w:rPr>
        <w:t>Gyzelli</w:t>
      </w:r>
      <w:proofErr w:type="spellEnd"/>
      <w:r w:rsidR="00D76659">
        <w:rPr>
          <w:color w:val="000000" w:themeColor="text1"/>
          <w:sz w:val="24"/>
          <w:szCs w:val="24"/>
        </w:rPr>
        <w:t xml:space="preserve"> dos </w:t>
      </w:r>
      <w:r w:rsidR="00692358">
        <w:rPr>
          <w:color w:val="000000" w:themeColor="text1"/>
          <w:sz w:val="24"/>
          <w:szCs w:val="24"/>
        </w:rPr>
        <w:t>S</w:t>
      </w:r>
      <w:r w:rsidR="00D76659">
        <w:rPr>
          <w:color w:val="000000" w:themeColor="text1"/>
          <w:sz w:val="24"/>
          <w:szCs w:val="24"/>
        </w:rPr>
        <w:t xml:space="preserve">antos </w:t>
      </w:r>
      <w:r w:rsidR="00692358">
        <w:rPr>
          <w:color w:val="000000" w:themeColor="text1"/>
          <w:sz w:val="24"/>
          <w:szCs w:val="24"/>
        </w:rPr>
        <w:t>L</w:t>
      </w:r>
      <w:r w:rsidR="00D76659">
        <w:rPr>
          <w:color w:val="000000" w:themeColor="text1"/>
          <w:sz w:val="24"/>
          <w:szCs w:val="24"/>
        </w:rPr>
        <w:t>ustosa</w:t>
      </w:r>
      <w:r w:rsidR="000213DD">
        <w:rPr>
          <w:color w:val="000000" w:themeColor="text1"/>
          <w:sz w:val="24"/>
          <w:szCs w:val="24"/>
          <w:vertAlign w:val="superscript"/>
        </w:rPr>
        <w:t>1</w:t>
      </w:r>
    </w:p>
    <w:p w14:paraId="433FA68D" w14:textId="674EB775" w:rsidR="008C3BD5" w:rsidRPr="008C3BD5" w:rsidRDefault="00045C38" w:rsidP="008C3BD5">
      <w:pPr>
        <w:spacing w:line="360" w:lineRule="auto"/>
        <w:jc w:val="right"/>
        <w:rPr>
          <w:color w:val="000000" w:themeColor="text1"/>
          <w:sz w:val="24"/>
          <w:szCs w:val="24"/>
        </w:rPr>
      </w:pPr>
      <w:proofErr w:type="spellStart"/>
      <w:r>
        <w:rPr>
          <w:color w:val="000000" w:themeColor="text1"/>
          <w:sz w:val="24"/>
          <w:szCs w:val="24"/>
        </w:rPr>
        <w:t>Brenna</w:t>
      </w:r>
      <w:proofErr w:type="spellEnd"/>
      <w:r>
        <w:rPr>
          <w:color w:val="000000" w:themeColor="text1"/>
          <w:sz w:val="24"/>
          <w:szCs w:val="24"/>
        </w:rPr>
        <w:t xml:space="preserve"> </w:t>
      </w:r>
      <w:proofErr w:type="spellStart"/>
      <w:r>
        <w:rPr>
          <w:color w:val="000000" w:themeColor="text1"/>
          <w:sz w:val="24"/>
          <w:szCs w:val="24"/>
        </w:rPr>
        <w:t>Heloyse</w:t>
      </w:r>
      <w:proofErr w:type="spellEnd"/>
      <w:r>
        <w:rPr>
          <w:color w:val="000000" w:themeColor="text1"/>
          <w:sz w:val="24"/>
          <w:szCs w:val="24"/>
        </w:rPr>
        <w:t xml:space="preserve"> Chaves Silva</w:t>
      </w:r>
      <w:r w:rsidR="001F451B">
        <w:rPr>
          <w:color w:val="000000" w:themeColor="text1"/>
          <w:sz w:val="24"/>
          <w:szCs w:val="24"/>
          <w:vertAlign w:val="superscript"/>
        </w:rPr>
        <w:t>1</w:t>
      </w:r>
    </w:p>
    <w:p w14:paraId="19A1F107" w14:textId="5FD62DD8" w:rsidR="00D64152" w:rsidRDefault="001F7AA9" w:rsidP="00950F24">
      <w:pPr>
        <w:spacing w:line="360" w:lineRule="auto"/>
        <w:jc w:val="right"/>
        <w:rPr>
          <w:color w:val="000000" w:themeColor="text1"/>
          <w:sz w:val="24"/>
          <w:szCs w:val="24"/>
          <w:vertAlign w:val="superscript"/>
        </w:rPr>
      </w:pPr>
      <w:r>
        <w:rPr>
          <w:color w:val="000000" w:themeColor="text1"/>
          <w:sz w:val="24"/>
          <w:szCs w:val="24"/>
        </w:rPr>
        <w:t xml:space="preserve">Guilherme </w:t>
      </w:r>
      <w:r w:rsidR="0095082D">
        <w:rPr>
          <w:color w:val="000000" w:themeColor="text1"/>
          <w:sz w:val="24"/>
          <w:szCs w:val="24"/>
        </w:rPr>
        <w:t>Ant</w:t>
      </w:r>
      <w:r w:rsidR="0054684C">
        <w:rPr>
          <w:color w:val="000000" w:themeColor="text1"/>
          <w:sz w:val="24"/>
          <w:szCs w:val="24"/>
        </w:rPr>
        <w:t xml:space="preserve">ônio </w:t>
      </w:r>
      <w:r>
        <w:rPr>
          <w:color w:val="000000" w:themeColor="text1"/>
          <w:sz w:val="24"/>
          <w:szCs w:val="24"/>
        </w:rPr>
        <w:t>Lopes</w:t>
      </w:r>
      <w:r w:rsidR="000142A6">
        <w:rPr>
          <w:color w:val="000000" w:themeColor="text1"/>
          <w:sz w:val="24"/>
          <w:szCs w:val="24"/>
        </w:rPr>
        <w:t xml:space="preserve"> </w:t>
      </w:r>
      <w:r w:rsidR="009D7732">
        <w:rPr>
          <w:color w:val="000000" w:themeColor="text1"/>
          <w:sz w:val="24"/>
          <w:szCs w:val="24"/>
        </w:rPr>
        <w:t>de Oliveira</w:t>
      </w:r>
      <w:r w:rsidR="00387309">
        <w:rPr>
          <w:color w:val="000000" w:themeColor="text1"/>
          <w:sz w:val="24"/>
          <w:szCs w:val="24"/>
          <w:vertAlign w:val="superscript"/>
        </w:rPr>
        <w:t>2</w:t>
      </w:r>
    </w:p>
    <w:p w14:paraId="00DAF4A8" w14:textId="12A62E47" w:rsidR="004B5F8E" w:rsidRDefault="004B5F8E" w:rsidP="00950F24">
      <w:pPr>
        <w:spacing w:line="360" w:lineRule="auto"/>
        <w:jc w:val="right"/>
        <w:rPr>
          <w:color w:val="000000" w:themeColor="text1"/>
          <w:sz w:val="24"/>
          <w:szCs w:val="24"/>
          <w:vertAlign w:val="superscript"/>
        </w:rPr>
      </w:pPr>
    </w:p>
    <w:p w14:paraId="0B9CF9F5" w14:textId="5A9EA518" w:rsidR="00700B8F" w:rsidRPr="00700B8F" w:rsidRDefault="00700B8F" w:rsidP="00D64152">
      <w:pPr>
        <w:spacing w:line="360" w:lineRule="auto"/>
        <w:jc w:val="center"/>
        <w:rPr>
          <w:color w:val="000000" w:themeColor="text1"/>
          <w:sz w:val="24"/>
          <w:szCs w:val="24"/>
        </w:rPr>
      </w:pPr>
    </w:p>
    <w:p w14:paraId="39A729EE" w14:textId="620D3AA6" w:rsidR="008C3BD5" w:rsidRDefault="008C3BD5" w:rsidP="00FD3D65">
      <w:pPr>
        <w:spacing w:line="360" w:lineRule="auto"/>
        <w:jc w:val="center"/>
        <w:rPr>
          <w:b/>
          <w:bCs/>
          <w:sz w:val="24"/>
          <w:szCs w:val="24"/>
        </w:rPr>
      </w:pPr>
      <w:r w:rsidRPr="008C3BD5">
        <w:rPr>
          <w:b/>
          <w:bCs/>
          <w:sz w:val="24"/>
          <w:szCs w:val="24"/>
        </w:rPr>
        <w:t>RESUM</w:t>
      </w:r>
      <w:r w:rsidR="00FD3D65">
        <w:rPr>
          <w:b/>
          <w:bCs/>
          <w:sz w:val="24"/>
          <w:szCs w:val="24"/>
        </w:rPr>
        <w:t>O</w:t>
      </w:r>
    </w:p>
    <w:p w14:paraId="592AC154" w14:textId="19520F83" w:rsidR="00BC3F5A" w:rsidRDefault="00BC3F5A" w:rsidP="00F736B6">
      <w:pPr>
        <w:spacing w:line="360" w:lineRule="auto"/>
        <w:jc w:val="both"/>
        <w:rPr>
          <w:rFonts w:eastAsiaTheme="minorEastAsia"/>
          <w:sz w:val="24"/>
          <w:szCs w:val="24"/>
        </w:rPr>
      </w:pPr>
      <w:r w:rsidRPr="00BC3F5A">
        <w:rPr>
          <w:rFonts w:eastAsiaTheme="minorEastAsia"/>
          <w:sz w:val="24"/>
          <w:szCs w:val="24"/>
        </w:rPr>
        <w:t>A dengue é um grande problema para a saúde pública, sendo mais incidente em regiões tropicais, pois o clima é um dos fatores que ajuda na reprodução desses mosquitos</w:t>
      </w:r>
      <w:r w:rsidR="00D356F6">
        <w:rPr>
          <w:rFonts w:eastAsiaTheme="minorEastAsia"/>
          <w:sz w:val="24"/>
          <w:szCs w:val="24"/>
        </w:rPr>
        <w:t xml:space="preserve">, </w:t>
      </w:r>
      <w:r w:rsidRPr="00BC3F5A">
        <w:rPr>
          <w:rFonts w:eastAsiaTheme="minorEastAsia"/>
          <w:sz w:val="24"/>
          <w:szCs w:val="24"/>
        </w:rPr>
        <w:t xml:space="preserve"> juntamente com as questões sociais</w:t>
      </w:r>
      <w:r w:rsidR="00D104C0">
        <w:rPr>
          <w:rFonts w:eastAsiaTheme="minorEastAsia"/>
          <w:sz w:val="24"/>
          <w:szCs w:val="24"/>
        </w:rPr>
        <w:t>,</w:t>
      </w:r>
      <w:r w:rsidRPr="00BC3F5A">
        <w:rPr>
          <w:rFonts w:eastAsiaTheme="minorEastAsia"/>
          <w:sz w:val="24"/>
          <w:szCs w:val="24"/>
        </w:rPr>
        <w:t xml:space="preserve"> pois a falta de conhecimento de como lidar com o Aedes Aegypti e seus vetores é um dos principais problemas. O tratamento clínico tem como fundamento medidas de suporte</w:t>
      </w:r>
      <w:r w:rsidR="00CD5DB0">
        <w:rPr>
          <w:rFonts w:eastAsiaTheme="minorEastAsia"/>
          <w:sz w:val="24"/>
          <w:szCs w:val="24"/>
        </w:rPr>
        <w:t xml:space="preserve">, </w:t>
      </w:r>
      <w:r w:rsidRPr="00BC3F5A">
        <w:rPr>
          <w:rFonts w:eastAsiaTheme="minorEastAsia"/>
          <w:sz w:val="24"/>
          <w:szCs w:val="24"/>
        </w:rPr>
        <w:t xml:space="preserve"> como hidratação e a supervisão médica</w:t>
      </w:r>
      <w:r w:rsidR="00C16370">
        <w:rPr>
          <w:rFonts w:eastAsiaTheme="minorEastAsia"/>
          <w:sz w:val="24"/>
          <w:szCs w:val="24"/>
        </w:rPr>
        <w:t>,</w:t>
      </w:r>
      <w:r w:rsidRPr="00BC3F5A">
        <w:rPr>
          <w:rFonts w:eastAsiaTheme="minorEastAsia"/>
          <w:sz w:val="24"/>
          <w:szCs w:val="24"/>
        </w:rPr>
        <w:t xml:space="preserve"> mas a doença pode afetar o sistema locomotor, causando fraqueza muscular,</w:t>
      </w:r>
      <w:r w:rsidR="00D356F6">
        <w:rPr>
          <w:rFonts w:eastAsiaTheme="minorEastAsia"/>
          <w:sz w:val="24"/>
          <w:szCs w:val="24"/>
        </w:rPr>
        <w:t xml:space="preserve"> </w:t>
      </w:r>
      <w:r w:rsidRPr="00BC3F5A">
        <w:rPr>
          <w:rFonts w:eastAsiaTheme="minorEastAsia"/>
          <w:sz w:val="24"/>
          <w:szCs w:val="24"/>
        </w:rPr>
        <w:t>dor e diversas limitações funcionais, dessa maneira afetando diretamente a qualidade de vida do pacient</w:t>
      </w:r>
      <w:r w:rsidR="00CD5DB0">
        <w:rPr>
          <w:rFonts w:eastAsiaTheme="minorEastAsia"/>
          <w:sz w:val="24"/>
          <w:szCs w:val="24"/>
        </w:rPr>
        <w:t>e</w:t>
      </w:r>
      <w:r w:rsidRPr="00BC3F5A">
        <w:rPr>
          <w:rFonts w:eastAsiaTheme="minorEastAsia"/>
          <w:sz w:val="24"/>
          <w:szCs w:val="24"/>
        </w:rPr>
        <w:t>. O objetivo deste trabalho é comparar como o fisioterapeuta juntamente com uma equipe multiprofissional pode ajudar na recuperação de pacientes acometidos pela dengue, utilizando recursos fisioterapêuticos como a cinesioterapia</w:t>
      </w:r>
      <w:r w:rsidR="00082ED2">
        <w:rPr>
          <w:rFonts w:eastAsiaTheme="minorEastAsia"/>
          <w:sz w:val="24"/>
          <w:szCs w:val="24"/>
        </w:rPr>
        <w:t xml:space="preserve"> </w:t>
      </w:r>
      <w:r w:rsidRPr="00BC3F5A">
        <w:rPr>
          <w:rFonts w:eastAsiaTheme="minorEastAsia"/>
          <w:sz w:val="24"/>
          <w:szCs w:val="24"/>
        </w:rPr>
        <w:t xml:space="preserve">(uso terapêutico do movimento corporal para prevenir e reabilitar disfunções físicas). Foram </w:t>
      </w:r>
      <w:proofErr w:type="gramStart"/>
      <w:r w:rsidRPr="00BC3F5A">
        <w:rPr>
          <w:rFonts w:eastAsiaTheme="minorEastAsia"/>
          <w:sz w:val="24"/>
          <w:szCs w:val="24"/>
        </w:rPr>
        <w:t>utilizados</w:t>
      </w:r>
      <w:proofErr w:type="gramEnd"/>
      <w:r w:rsidRPr="00BC3F5A">
        <w:rPr>
          <w:rFonts w:eastAsiaTheme="minorEastAsia"/>
          <w:sz w:val="24"/>
          <w:szCs w:val="24"/>
        </w:rPr>
        <w:t xml:space="preserve"> sete produções científicas para a realização desse artigo, tendo como descritores</w:t>
      </w:r>
      <w:r w:rsidR="00D356F6">
        <w:rPr>
          <w:rFonts w:eastAsiaTheme="minorEastAsia"/>
          <w:sz w:val="24"/>
          <w:szCs w:val="24"/>
        </w:rPr>
        <w:t xml:space="preserve"> </w:t>
      </w:r>
      <w:r w:rsidRPr="00BC3F5A">
        <w:rPr>
          <w:rFonts w:eastAsiaTheme="minorEastAsia"/>
          <w:sz w:val="24"/>
          <w:szCs w:val="24"/>
        </w:rPr>
        <w:t>“Saúde Ambiental</w:t>
      </w:r>
      <w:r w:rsidR="00850432">
        <w:rPr>
          <w:rFonts w:eastAsiaTheme="minorEastAsia"/>
          <w:sz w:val="24"/>
          <w:szCs w:val="24"/>
        </w:rPr>
        <w:t xml:space="preserve">” </w:t>
      </w:r>
      <w:r w:rsidRPr="00BC3F5A">
        <w:rPr>
          <w:rFonts w:eastAsiaTheme="minorEastAsia"/>
          <w:sz w:val="24"/>
          <w:szCs w:val="24"/>
        </w:rPr>
        <w:t>, “Papel da Fisioterapia”</w:t>
      </w:r>
      <w:r w:rsidR="00850432">
        <w:rPr>
          <w:rFonts w:eastAsiaTheme="minorEastAsia"/>
          <w:sz w:val="24"/>
          <w:szCs w:val="24"/>
        </w:rPr>
        <w:t xml:space="preserve"> </w:t>
      </w:r>
      <w:r w:rsidRPr="00BC3F5A">
        <w:rPr>
          <w:rFonts w:eastAsiaTheme="minorEastAsia"/>
          <w:sz w:val="24"/>
          <w:szCs w:val="24"/>
        </w:rPr>
        <w:t>, “Prevenção</w:t>
      </w:r>
      <w:r w:rsidR="00850432">
        <w:rPr>
          <w:rFonts w:eastAsiaTheme="minorEastAsia"/>
          <w:sz w:val="24"/>
          <w:szCs w:val="24"/>
        </w:rPr>
        <w:t xml:space="preserve">” </w:t>
      </w:r>
      <w:r w:rsidRPr="00BC3F5A">
        <w:rPr>
          <w:rFonts w:eastAsiaTheme="minorEastAsia"/>
          <w:sz w:val="24"/>
          <w:szCs w:val="24"/>
        </w:rPr>
        <w:t xml:space="preserve"> e “Dengue”. Este estudo então se propôs a compreender como a dengue pode afetar um paciente e a importância da ação do profissional fisioterapeuta nesse processo. Conclui-se que o fisioterapeuta,</w:t>
      </w:r>
      <w:r w:rsidR="00EE3E5B">
        <w:rPr>
          <w:rFonts w:eastAsiaTheme="minorEastAsia"/>
          <w:sz w:val="24"/>
          <w:szCs w:val="24"/>
        </w:rPr>
        <w:t xml:space="preserve"> </w:t>
      </w:r>
      <w:r w:rsidRPr="00BC3F5A">
        <w:rPr>
          <w:rFonts w:eastAsiaTheme="minorEastAsia"/>
          <w:sz w:val="24"/>
          <w:szCs w:val="24"/>
        </w:rPr>
        <w:t>tem um papel essencial no tratamento de indivíduos acometidos por dengue, o que se constata é a importância de um tratamento visando sempre a qualidade de vida do paciente, por meio da fisioterapia a melhora pode ser ainda mais rápida, ajudando no sistema musculoesquelético e visando uma melhor qualidade de vida.</w:t>
      </w:r>
    </w:p>
    <w:p w14:paraId="4448E467" w14:textId="72F17FCE" w:rsidR="00772EF0" w:rsidRPr="00BC3F5A" w:rsidRDefault="00772EF0" w:rsidP="00F736B6">
      <w:pPr>
        <w:spacing w:line="360" w:lineRule="auto"/>
        <w:jc w:val="both"/>
        <w:rPr>
          <w:rFonts w:eastAsiaTheme="minorEastAsia"/>
          <w:sz w:val="24"/>
          <w:szCs w:val="24"/>
        </w:rPr>
      </w:pPr>
      <w:proofErr w:type="gramStart"/>
      <w:r w:rsidRPr="009579EF">
        <w:rPr>
          <w:rFonts w:eastAsiaTheme="minorEastAsia"/>
          <w:b/>
          <w:bCs/>
          <w:sz w:val="24"/>
          <w:szCs w:val="24"/>
        </w:rPr>
        <w:t>Palavras chave</w:t>
      </w:r>
      <w:proofErr w:type="gramEnd"/>
      <w:r w:rsidRPr="009579EF">
        <w:rPr>
          <w:rFonts w:eastAsiaTheme="minorEastAsia"/>
          <w:b/>
          <w:bCs/>
          <w:sz w:val="24"/>
          <w:szCs w:val="24"/>
        </w:rPr>
        <w:t>:</w:t>
      </w:r>
      <w:r w:rsidR="00A313AA">
        <w:rPr>
          <w:rFonts w:eastAsiaTheme="minorEastAsia"/>
          <w:sz w:val="24"/>
          <w:szCs w:val="24"/>
        </w:rPr>
        <w:t xml:space="preserve"> Dengue; </w:t>
      </w:r>
      <w:r w:rsidR="00533868">
        <w:rPr>
          <w:rFonts w:eastAsiaTheme="minorEastAsia"/>
          <w:sz w:val="24"/>
          <w:szCs w:val="24"/>
        </w:rPr>
        <w:t>Saúde pública; Fisioterapia; Arbovirose;</w:t>
      </w:r>
    </w:p>
    <w:p w14:paraId="5D006EEB" w14:textId="77777777" w:rsidR="008C3BD5" w:rsidRPr="008C3BD5" w:rsidRDefault="008C3BD5" w:rsidP="008C3BD5">
      <w:pPr>
        <w:spacing w:line="360" w:lineRule="auto"/>
        <w:rPr>
          <w:rFonts w:eastAsiaTheme="minorEastAsia"/>
          <w:sz w:val="24"/>
          <w:szCs w:val="24"/>
        </w:rPr>
      </w:pPr>
    </w:p>
    <w:p w14:paraId="74AC16F1" w14:textId="77777777" w:rsidR="008C3BD5" w:rsidRPr="008C3BD5" w:rsidRDefault="008C3BD5" w:rsidP="008C3BD5">
      <w:pPr>
        <w:spacing w:line="360" w:lineRule="auto"/>
        <w:rPr>
          <w:b/>
          <w:bCs/>
          <w:sz w:val="24"/>
          <w:szCs w:val="24"/>
        </w:rPr>
      </w:pPr>
      <w:r w:rsidRPr="008C3BD5">
        <w:rPr>
          <w:b/>
          <w:bCs/>
          <w:sz w:val="24"/>
          <w:szCs w:val="24"/>
        </w:rPr>
        <w:lastRenderedPageBreak/>
        <w:t>1 INTRODUÇÃO</w:t>
      </w:r>
    </w:p>
    <w:p w14:paraId="088D5CD3" w14:textId="4FC228DB" w:rsidR="002E0E05" w:rsidRPr="008532E1" w:rsidRDefault="003F3D79" w:rsidP="008532E1">
      <w:pPr>
        <w:pStyle w:val="s6"/>
        <w:spacing w:before="0" w:beforeAutospacing="0" w:after="0" w:afterAutospacing="0" w:line="360" w:lineRule="auto"/>
        <w:ind w:firstLine="525"/>
        <w:jc w:val="both"/>
        <w:rPr>
          <w:color w:val="000000"/>
        </w:rPr>
      </w:pPr>
      <w:r w:rsidRPr="008532E1">
        <w:rPr>
          <w:rStyle w:val="s4"/>
          <w:color w:val="000000"/>
        </w:rPr>
        <w:t xml:space="preserve">A </w:t>
      </w:r>
      <w:r w:rsidR="002E0E05" w:rsidRPr="008532E1">
        <w:rPr>
          <w:rStyle w:val="s4"/>
          <w:color w:val="000000"/>
        </w:rPr>
        <w:t>dengue constitui uma importante arbovirose de relevância para a saúde pública, especialmente em países tropicais como o Brasil. Sua ocorrência está relacionada a diferentes fatores ambientais e sociais que favorecem a proliferação do</w:t>
      </w:r>
      <w:r w:rsidR="002E0E05" w:rsidRPr="008532E1">
        <w:rPr>
          <w:rStyle w:val="apple-converted-space"/>
          <w:color w:val="000000"/>
        </w:rPr>
        <w:t> </w:t>
      </w:r>
      <w:r w:rsidR="002E0E05" w:rsidRPr="008532E1">
        <w:rPr>
          <w:rStyle w:val="s5"/>
          <w:i/>
          <w:iCs/>
          <w:color w:val="000000"/>
        </w:rPr>
        <w:t>Aedes aegypti</w:t>
      </w:r>
      <w:r w:rsidR="002E0E05" w:rsidRPr="008532E1">
        <w:rPr>
          <w:rStyle w:val="s4"/>
          <w:color w:val="000000"/>
        </w:rPr>
        <w:t>, entre eles condições inadequadas de saneamento, mudanças ambientais e urbanização desordenada. Nesse contexto, o enfrentamento da doença exige estratégias integradas de prevenção e controle, envolvendo profissionais de saúde, comunidade e poder público (</w:t>
      </w:r>
      <w:r w:rsidR="00664F2A" w:rsidRPr="008532E1">
        <w:rPr>
          <w:rStyle w:val="s4"/>
          <w:color w:val="000000"/>
        </w:rPr>
        <w:t xml:space="preserve">Nascimento </w:t>
      </w:r>
      <w:r w:rsidR="002E0E05" w:rsidRPr="008532E1">
        <w:rPr>
          <w:rStyle w:val="s4"/>
          <w:color w:val="000000"/>
        </w:rPr>
        <w:t>et al., 2026).</w:t>
      </w:r>
    </w:p>
    <w:p w14:paraId="322EC70C" w14:textId="253A71AC" w:rsidR="002E0E05" w:rsidRPr="008532E1" w:rsidRDefault="002E0E05" w:rsidP="008532E1">
      <w:pPr>
        <w:pStyle w:val="s6"/>
        <w:spacing w:before="0" w:beforeAutospacing="0" w:after="0" w:afterAutospacing="0" w:line="360" w:lineRule="auto"/>
        <w:ind w:firstLine="525"/>
        <w:jc w:val="both"/>
        <w:rPr>
          <w:color w:val="000000"/>
        </w:rPr>
      </w:pPr>
      <w:r w:rsidRPr="008532E1">
        <w:rPr>
          <w:rStyle w:val="s4"/>
          <w:color w:val="000000"/>
        </w:rPr>
        <w:t>As manifestações da dengue podem variar em intensidade e apresentar repercussões sobre o bem-estar dos indivíduos acometidos. Entre os sintomas associados às arboviroses destacam-se a febre, a mialgia e a artralgia, sendo as manifestações musculoesqueléticas especialmente relevantes para a fisioterapia, devido ao seu possível impacto sobre a dor, a função e a qualidade de vida</w:t>
      </w:r>
      <w:r w:rsidR="007D2C60" w:rsidRPr="008532E1">
        <w:rPr>
          <w:rStyle w:val="s4"/>
          <w:color w:val="000000"/>
        </w:rPr>
        <w:t>.</w:t>
      </w:r>
      <w:r w:rsidRPr="008532E1">
        <w:rPr>
          <w:rStyle w:val="s4"/>
          <w:color w:val="000000"/>
        </w:rPr>
        <w:t xml:space="preserve"> No caso da dengue, o tratamento é baseado principalmente em medidas de suporte, com destaque para a hidratação, o controle dos sintomas e o acompanhamento adequado da evolução clínica, uma vez que não há tratamento antiviral específico estabelecido para a doença (S</w:t>
      </w:r>
      <w:r w:rsidR="00664F2A" w:rsidRPr="008532E1">
        <w:rPr>
          <w:rStyle w:val="s4"/>
          <w:color w:val="000000"/>
        </w:rPr>
        <w:t>alim</w:t>
      </w:r>
      <w:r w:rsidRPr="008532E1">
        <w:rPr>
          <w:rStyle w:val="s4"/>
          <w:color w:val="000000"/>
        </w:rPr>
        <w:t xml:space="preserve"> et al., 2025).</w:t>
      </w:r>
    </w:p>
    <w:p w14:paraId="4796DA45" w14:textId="1032CA82" w:rsidR="002E0E05" w:rsidRPr="008532E1" w:rsidRDefault="002E0E05" w:rsidP="008532E1">
      <w:pPr>
        <w:pStyle w:val="s6"/>
        <w:spacing w:before="0" w:beforeAutospacing="0" w:after="0" w:afterAutospacing="0" w:line="360" w:lineRule="auto"/>
        <w:ind w:firstLine="525"/>
        <w:jc w:val="both"/>
        <w:rPr>
          <w:color w:val="000000"/>
        </w:rPr>
      </w:pPr>
      <w:r w:rsidRPr="008532E1">
        <w:rPr>
          <w:rStyle w:val="s4"/>
          <w:color w:val="000000"/>
        </w:rPr>
        <w:t>Embora a atenção ao paciente com dengue esteja frequentemente concentrada na identificação dos sinais e sintomas e no manejo da fase aguda, as repercussões físicas também devem ser consideradas durante o processo de recuperação. As manifestações musculoesqueléticas presentes no contexto das arboviroses podem comprometer a mobilidade e a funcionalidade, tornando necessária uma abordagem que contemple não apenas o controle dos sintomas, mas também a recuperação física do indivíduo. Nesse cenário, a fisioterapia apresenta possibilidade de contribuição na redução da dor, na melhora da função e na qualidade de vida dos pacientes (G</w:t>
      </w:r>
      <w:r w:rsidR="006E66D6" w:rsidRPr="008532E1">
        <w:rPr>
          <w:rStyle w:val="s4"/>
          <w:color w:val="000000"/>
        </w:rPr>
        <w:t>omes</w:t>
      </w:r>
      <w:r w:rsidRPr="008532E1">
        <w:rPr>
          <w:rStyle w:val="s4"/>
          <w:color w:val="000000"/>
        </w:rPr>
        <w:t xml:space="preserve"> et al., 2026).</w:t>
      </w:r>
    </w:p>
    <w:p w14:paraId="78452253" w14:textId="77777777" w:rsidR="008532E1" w:rsidRDefault="002E0E05" w:rsidP="008532E1">
      <w:pPr>
        <w:pStyle w:val="s6"/>
        <w:spacing w:before="0" w:beforeAutospacing="0" w:after="0" w:afterAutospacing="0" w:line="360" w:lineRule="auto"/>
        <w:ind w:firstLine="525"/>
        <w:jc w:val="both"/>
        <w:rPr>
          <w:rStyle w:val="s4"/>
          <w:color w:val="000000"/>
        </w:rPr>
      </w:pPr>
      <w:r w:rsidRPr="008532E1">
        <w:rPr>
          <w:rStyle w:val="s4"/>
          <w:color w:val="000000"/>
        </w:rPr>
        <w:t>A atuação fisioterapêutica deve considerar as condições apresentadas por cada indivíduo e estar integrada à assistência multiprofissional. A literatura analisada aponta a importância da fisioterapia diante das manifestações</w:t>
      </w:r>
      <w:r w:rsidRPr="008532E1">
        <w:rPr>
          <w:rStyle w:val="apple-converted-space"/>
          <w:color w:val="000000"/>
        </w:rPr>
        <w:t> </w:t>
      </w:r>
      <w:r w:rsidRPr="008532E1">
        <w:rPr>
          <w:rStyle w:val="s4"/>
          <w:color w:val="000000"/>
        </w:rPr>
        <w:t>musculoesqueléticas das arboviroses, embora também evidencie limitações quanto à definição das técnicas e dos recursos de maior eficácia. Dessa forma, torna-se necessário considerar as características e necessidades individuais durante o processo de recuperação, evitando estabelecer uma conduta única para todos os pacientes (G</w:t>
      </w:r>
      <w:r w:rsidR="006E66D6" w:rsidRPr="008532E1">
        <w:rPr>
          <w:rStyle w:val="s4"/>
          <w:color w:val="000000"/>
        </w:rPr>
        <w:t>omes</w:t>
      </w:r>
      <w:r w:rsidRPr="008532E1">
        <w:rPr>
          <w:rStyle w:val="s4"/>
          <w:color w:val="000000"/>
        </w:rPr>
        <w:t xml:space="preserve"> et al., 2026).</w:t>
      </w:r>
      <w:r w:rsidR="008532E1">
        <w:rPr>
          <w:rStyle w:val="s4"/>
          <w:color w:val="000000"/>
        </w:rPr>
        <w:t xml:space="preserve"> </w:t>
      </w:r>
    </w:p>
    <w:p w14:paraId="1F4D0260" w14:textId="5BD79392" w:rsidR="002E0E05" w:rsidRPr="008532E1" w:rsidRDefault="002E0E05" w:rsidP="008532E1">
      <w:pPr>
        <w:pStyle w:val="s6"/>
        <w:spacing w:before="0" w:beforeAutospacing="0" w:after="0" w:afterAutospacing="0" w:line="360" w:lineRule="auto"/>
        <w:ind w:firstLine="525"/>
        <w:jc w:val="both"/>
        <w:rPr>
          <w:color w:val="000000"/>
        </w:rPr>
      </w:pPr>
      <w:r w:rsidRPr="008532E1">
        <w:rPr>
          <w:rStyle w:val="s4"/>
          <w:color w:val="000000"/>
        </w:rPr>
        <w:lastRenderedPageBreak/>
        <w:t>Além da assistência ao indivíduo acometido, o enfrentamento da dengue depende de ações de prevenção e educação em saúde. A realização de atividades educativas pode favorecer o conhecimento da população sobre a doença, seus sinais e sintomas, a eliminação de criadouros e as estratégias de combate ao vetor. A utilização de metodologias participativas também pode fortalecer o vínculo entre comunidade e serviços de saúde, estimular práticas preventivas e ampliar a corresponsabilização social no enfrentamento da dengue (N</w:t>
      </w:r>
      <w:r w:rsidR="006E66D6" w:rsidRPr="008532E1">
        <w:rPr>
          <w:rStyle w:val="s4"/>
          <w:color w:val="000000"/>
        </w:rPr>
        <w:t>ascimento</w:t>
      </w:r>
      <w:r w:rsidRPr="008532E1">
        <w:rPr>
          <w:rStyle w:val="s4"/>
          <w:color w:val="000000"/>
        </w:rPr>
        <w:t xml:space="preserve"> et al., 2026).</w:t>
      </w:r>
    </w:p>
    <w:p w14:paraId="6860EB8C" w14:textId="5F034A7B" w:rsidR="002E0E05" w:rsidRPr="008532E1" w:rsidRDefault="002E0E05" w:rsidP="008532E1">
      <w:pPr>
        <w:pStyle w:val="s6"/>
        <w:spacing w:before="0" w:beforeAutospacing="0" w:after="0" w:afterAutospacing="0" w:line="360" w:lineRule="auto"/>
        <w:ind w:firstLine="525"/>
        <w:jc w:val="both"/>
        <w:rPr>
          <w:color w:val="000000"/>
        </w:rPr>
      </w:pPr>
      <w:r w:rsidRPr="008532E1">
        <w:rPr>
          <w:rStyle w:val="s4"/>
          <w:color w:val="000000"/>
        </w:rPr>
        <w:t>Nesse sentido, a atuação multiprofissional constitui um elemento importante para a promoção da saúde e prevenção das arboviroses. A participação de diferentes profissionais, associada à educação da população e às ações de controle do vetor, contribui para uma abordagem integrada diante dos impactos das arboviroses sobre a saúde coletiva. Assim, discutir a atuação da fisioterapia no contexto da dengue permite ampliar a compreensão sobre o processo de recuperação dos indivíduos acometidos, considerando as possíveis manifestações musculoesqueléticas e seus impactos funcionais</w:t>
      </w:r>
      <w:r w:rsidR="00A341FD" w:rsidRPr="008532E1">
        <w:rPr>
          <w:rStyle w:val="s4"/>
          <w:color w:val="000000"/>
        </w:rPr>
        <w:t xml:space="preserve"> </w:t>
      </w:r>
      <w:r w:rsidR="003870FC" w:rsidRPr="008532E1">
        <w:rPr>
          <w:rStyle w:val="s4"/>
          <w:color w:val="000000"/>
        </w:rPr>
        <w:t>(</w:t>
      </w:r>
      <w:r w:rsidR="00D337B1" w:rsidRPr="008532E1">
        <w:rPr>
          <w:rStyle w:val="s4"/>
          <w:color w:val="000000"/>
        </w:rPr>
        <w:t>Lima, 2026</w:t>
      </w:r>
      <w:r w:rsidR="00B06D9B" w:rsidRPr="008532E1">
        <w:rPr>
          <w:rStyle w:val="s4"/>
          <w:color w:val="000000"/>
        </w:rPr>
        <w:t>).</w:t>
      </w:r>
    </w:p>
    <w:p w14:paraId="7C4B5EED" w14:textId="4785EA72" w:rsidR="008C3BD5" w:rsidRPr="008532E1" w:rsidRDefault="002E0E05" w:rsidP="008532E1">
      <w:pPr>
        <w:pStyle w:val="s6"/>
        <w:spacing w:before="0" w:beforeAutospacing="0" w:after="0" w:afterAutospacing="0" w:line="360" w:lineRule="auto"/>
        <w:ind w:firstLine="525"/>
        <w:jc w:val="both"/>
        <w:rPr>
          <w:color w:val="000000"/>
        </w:rPr>
      </w:pPr>
      <w:r w:rsidRPr="008532E1">
        <w:rPr>
          <w:rStyle w:val="s4"/>
          <w:color w:val="000000"/>
        </w:rPr>
        <w:t>Diante disso, o presente artigo tem como objetivo discutir o papel da fisioterapia no tratamento e na recuperação de indivíduos acometidos pela dengue, com ênfase nas manifestações musculoesqueléticas, na recuperação da funcionalidade e na qualidade de vida.</w:t>
      </w:r>
    </w:p>
    <w:p w14:paraId="7285A5E0" w14:textId="77777777" w:rsidR="008C3BD5" w:rsidRPr="008532E1" w:rsidRDefault="008C3BD5" w:rsidP="008532E1">
      <w:pPr>
        <w:spacing w:line="360" w:lineRule="auto"/>
        <w:rPr>
          <w:sz w:val="24"/>
          <w:szCs w:val="24"/>
        </w:rPr>
      </w:pPr>
    </w:p>
    <w:p w14:paraId="0C398547" w14:textId="77777777" w:rsidR="008C3BD5" w:rsidRPr="008532E1" w:rsidRDefault="008C3BD5" w:rsidP="008532E1">
      <w:pPr>
        <w:spacing w:line="360" w:lineRule="auto"/>
        <w:rPr>
          <w:b/>
          <w:bCs/>
          <w:sz w:val="24"/>
          <w:szCs w:val="24"/>
        </w:rPr>
      </w:pPr>
      <w:r w:rsidRPr="008532E1">
        <w:rPr>
          <w:b/>
          <w:bCs/>
          <w:sz w:val="24"/>
          <w:szCs w:val="24"/>
        </w:rPr>
        <w:t>2 OBJETIVO</w:t>
      </w:r>
    </w:p>
    <w:p w14:paraId="2EBD5BA2" w14:textId="7395CA00" w:rsidR="00D6606A" w:rsidRPr="008532E1" w:rsidRDefault="00101A46" w:rsidP="008532E1">
      <w:pPr>
        <w:spacing w:line="360" w:lineRule="auto"/>
        <w:ind w:firstLine="720"/>
        <w:jc w:val="both"/>
        <w:rPr>
          <w:sz w:val="24"/>
          <w:szCs w:val="24"/>
        </w:rPr>
      </w:pPr>
      <w:r w:rsidRPr="008532E1">
        <w:rPr>
          <w:sz w:val="24"/>
          <w:szCs w:val="24"/>
        </w:rPr>
        <w:t>Compreender por meio desse estudo como a atuação da fisioterapeuta no tratamento e na recuperação de pessoas acometidas pela dengue pode ajudar na melhora dos sintomas,</w:t>
      </w:r>
      <w:r w:rsidR="00912F9C" w:rsidRPr="008532E1">
        <w:rPr>
          <w:sz w:val="24"/>
          <w:szCs w:val="24"/>
        </w:rPr>
        <w:t xml:space="preserve"> </w:t>
      </w:r>
      <w:r w:rsidRPr="008532E1">
        <w:rPr>
          <w:sz w:val="24"/>
          <w:szCs w:val="24"/>
        </w:rPr>
        <w:t>tendo como foco as manifestações do sistema locomotor</w:t>
      </w:r>
      <w:r w:rsidR="00F22FB6" w:rsidRPr="008532E1">
        <w:rPr>
          <w:sz w:val="24"/>
          <w:szCs w:val="24"/>
        </w:rPr>
        <w:t xml:space="preserve">, </w:t>
      </w:r>
      <w:r w:rsidR="00F73D83" w:rsidRPr="008532E1">
        <w:rPr>
          <w:sz w:val="24"/>
          <w:szCs w:val="24"/>
        </w:rPr>
        <w:t xml:space="preserve">visando </w:t>
      </w:r>
      <w:r w:rsidRPr="008532E1">
        <w:rPr>
          <w:sz w:val="24"/>
          <w:szCs w:val="24"/>
        </w:rPr>
        <w:t>promover o restabelecimento da qualidade de vida e da funcionalidade do corpo.</w:t>
      </w:r>
    </w:p>
    <w:p w14:paraId="15BAB4DC" w14:textId="77777777" w:rsidR="008C3BD5" w:rsidRPr="008532E1" w:rsidRDefault="008C3BD5" w:rsidP="008532E1">
      <w:pPr>
        <w:spacing w:line="360" w:lineRule="auto"/>
        <w:jc w:val="both"/>
        <w:rPr>
          <w:sz w:val="24"/>
          <w:szCs w:val="24"/>
        </w:rPr>
      </w:pPr>
    </w:p>
    <w:p w14:paraId="36B91B03" w14:textId="77777777" w:rsidR="008C3BD5" w:rsidRPr="008532E1" w:rsidRDefault="008C3BD5" w:rsidP="008532E1">
      <w:pPr>
        <w:spacing w:line="360" w:lineRule="auto"/>
        <w:rPr>
          <w:sz w:val="24"/>
          <w:szCs w:val="24"/>
          <w:lang w:eastAsia="en-US"/>
        </w:rPr>
      </w:pPr>
      <w:r w:rsidRPr="008532E1">
        <w:rPr>
          <w:b/>
          <w:bCs/>
          <w:sz w:val="24"/>
          <w:szCs w:val="24"/>
        </w:rPr>
        <w:t>3 MÉTODO</w:t>
      </w:r>
    </w:p>
    <w:p w14:paraId="764E19AE" w14:textId="77777777" w:rsidR="008C3BD5" w:rsidRPr="008532E1" w:rsidRDefault="008C3BD5" w:rsidP="008532E1">
      <w:pPr>
        <w:spacing w:line="360" w:lineRule="auto"/>
        <w:ind w:firstLine="708"/>
        <w:jc w:val="both"/>
        <w:rPr>
          <w:sz w:val="24"/>
          <w:szCs w:val="24"/>
        </w:rPr>
      </w:pPr>
      <w:r w:rsidRPr="008532E1">
        <w:rPr>
          <w:sz w:val="24"/>
          <w:szCs w:val="24"/>
        </w:rPr>
        <w:t>Este trabalho caracteriza-se como uma revisão da literatura de caráter descritivo e qualitativo, método escolhido por sua capacidade de sintetizar produções científicas já publicadas e fundamentar a compreensão sobre a inserção e a contribuição da fisioterapia, de forma integrada às ações de prevenção contra arboviroses, no âmbito da saúde ambiental.</w:t>
      </w:r>
    </w:p>
    <w:p w14:paraId="2D3C0F04" w14:textId="7494BBB8" w:rsidR="008C3BD5" w:rsidRPr="008532E1" w:rsidRDefault="008C3BD5" w:rsidP="008532E1">
      <w:pPr>
        <w:spacing w:line="360" w:lineRule="auto"/>
        <w:ind w:firstLine="708"/>
        <w:jc w:val="both"/>
        <w:rPr>
          <w:sz w:val="24"/>
          <w:szCs w:val="24"/>
        </w:rPr>
      </w:pPr>
      <w:r w:rsidRPr="008532E1">
        <w:rPr>
          <w:sz w:val="24"/>
          <w:szCs w:val="24"/>
        </w:rPr>
        <w:t>A busca e a seleção do material bibliográfico foram realizadas entre 202</w:t>
      </w:r>
      <w:r w:rsidR="004423BB" w:rsidRPr="008532E1">
        <w:rPr>
          <w:sz w:val="24"/>
          <w:szCs w:val="24"/>
        </w:rPr>
        <w:t>1</w:t>
      </w:r>
      <w:r w:rsidRPr="008532E1">
        <w:rPr>
          <w:sz w:val="24"/>
          <w:szCs w:val="24"/>
        </w:rPr>
        <w:t xml:space="preserve"> e 2026, utilizando a base de dados Google Acadêmico. Foram empregados os Descritores em Ciências da Saúde (</w:t>
      </w:r>
      <w:proofErr w:type="spellStart"/>
      <w:r w:rsidRPr="008532E1">
        <w:rPr>
          <w:sz w:val="24"/>
          <w:szCs w:val="24"/>
        </w:rPr>
        <w:t>DeCS</w:t>
      </w:r>
      <w:proofErr w:type="spellEnd"/>
      <w:r w:rsidRPr="008532E1">
        <w:rPr>
          <w:sz w:val="24"/>
          <w:szCs w:val="24"/>
        </w:rPr>
        <w:t>): “Saúde Ambiental”, “Papel da Fisioterapia”, “Prevenção” e “Dengue”.</w:t>
      </w:r>
    </w:p>
    <w:p w14:paraId="7418C805" w14:textId="77777777" w:rsidR="008C3BD5" w:rsidRPr="008532E1" w:rsidRDefault="008C3BD5" w:rsidP="008532E1">
      <w:pPr>
        <w:spacing w:line="360" w:lineRule="auto"/>
        <w:ind w:firstLine="708"/>
        <w:jc w:val="both"/>
        <w:rPr>
          <w:sz w:val="24"/>
          <w:szCs w:val="24"/>
        </w:rPr>
      </w:pPr>
      <w:r w:rsidRPr="008532E1">
        <w:rPr>
          <w:sz w:val="24"/>
          <w:szCs w:val="24"/>
        </w:rPr>
        <w:lastRenderedPageBreak/>
        <w:t>Os critérios de inclusão abrangeram artigos científicos, dissertações de mestrado, relatos de experiência e trabalhos de conclusão de curso que abordassem a atuação do fisioterapeuta na prevenção da dengue, com ênfase nos princípios de saneamento básico, conscientização, participação comunitária e prevenção de arboviroses. Em contrapartida, foram excluídos editoriais, resumos de congressos e estudos focados exclusivamente na embriologia ou biologia do vetor que não apresentassem relação com a atuação profissional ou terapêutica da fisioterapia. Ao final do processo de triagem, a amostra resultou em 7 produções científicas alinhadas ao escopo da pesquisa.</w:t>
      </w:r>
    </w:p>
    <w:p w14:paraId="120A2956" w14:textId="2AE091C0" w:rsidR="00371F25" w:rsidRPr="008532E1" w:rsidRDefault="008C3BD5" w:rsidP="008532E1">
      <w:pPr>
        <w:spacing w:line="360" w:lineRule="auto"/>
        <w:ind w:firstLine="708"/>
        <w:jc w:val="both"/>
        <w:rPr>
          <w:sz w:val="24"/>
          <w:szCs w:val="24"/>
        </w:rPr>
      </w:pPr>
      <w:r w:rsidRPr="008532E1">
        <w:rPr>
          <w:sz w:val="24"/>
          <w:szCs w:val="24"/>
        </w:rPr>
        <w:t>A análise dos dados seguiu os preceitos da Análise Temática de Conteúdo, iniciando-se pela leitura flutuante de todo o acervo, seguida pelas etapas de codificação e exploração detalhada do material. As informações qualitativas e os apontamentos dos autores foram organizados em uma matriz conceitual, o que permitiu o agrupamento sistemático das evidências em três eixos temáticos analíticos, evidenciando os desafios da saúde ambiental e as abordagens preventivas da dengue em sintonia com a prática fisioterapêutica.</w:t>
      </w:r>
    </w:p>
    <w:p w14:paraId="427FB162" w14:textId="1C8F0F12" w:rsidR="009005C0" w:rsidRPr="008532E1" w:rsidRDefault="009005C0" w:rsidP="008532E1">
      <w:pPr>
        <w:spacing w:line="360" w:lineRule="auto"/>
        <w:rPr>
          <w:b/>
          <w:bCs/>
          <w:sz w:val="24"/>
          <w:szCs w:val="24"/>
        </w:rPr>
      </w:pPr>
    </w:p>
    <w:p w14:paraId="6E5F7DB9" w14:textId="77777777" w:rsidR="008C3BD5" w:rsidRPr="008532E1" w:rsidRDefault="008C3BD5" w:rsidP="008532E1">
      <w:pPr>
        <w:spacing w:line="360" w:lineRule="auto"/>
        <w:rPr>
          <w:b/>
          <w:bCs/>
          <w:sz w:val="24"/>
          <w:szCs w:val="24"/>
        </w:rPr>
      </w:pPr>
      <w:r w:rsidRPr="008532E1">
        <w:rPr>
          <w:b/>
          <w:bCs/>
          <w:sz w:val="24"/>
          <w:szCs w:val="24"/>
        </w:rPr>
        <w:t>4 RESULTADOS E DISCUSSÃO</w:t>
      </w:r>
    </w:p>
    <w:p w14:paraId="7FD0F5DF" w14:textId="77777777" w:rsidR="008532E1" w:rsidRPr="008532E1" w:rsidRDefault="008532E1" w:rsidP="008532E1">
      <w:pPr>
        <w:spacing w:line="360" w:lineRule="auto"/>
        <w:ind w:firstLine="709"/>
        <w:jc w:val="both"/>
        <w:rPr>
          <w:sz w:val="24"/>
          <w:szCs w:val="24"/>
          <w:lang w:eastAsia="en-US"/>
        </w:rPr>
      </w:pPr>
      <w:r w:rsidRPr="008532E1">
        <w:rPr>
          <w:sz w:val="24"/>
          <w:szCs w:val="24"/>
          <w:lang w:eastAsia="en-US"/>
        </w:rPr>
        <w:t xml:space="preserve">Para análise, foram extraídas informações referentes ao autor e ano, amostra, intervenção e resultado principal dos 7 artigos selecionados. A organização dessas informações está no quadro a seguir. </w:t>
      </w:r>
    </w:p>
    <w:p w14:paraId="4B99D6B9" w14:textId="77777777" w:rsidR="008532E1" w:rsidRPr="008532E1" w:rsidRDefault="008532E1" w:rsidP="008532E1">
      <w:pPr>
        <w:spacing w:line="360" w:lineRule="auto"/>
        <w:jc w:val="both"/>
        <w:rPr>
          <w:sz w:val="24"/>
          <w:szCs w:val="24"/>
          <w:lang w:eastAsia="en-US"/>
        </w:rPr>
      </w:pPr>
      <w:r w:rsidRPr="008532E1">
        <w:rPr>
          <w:b/>
          <w:bCs/>
          <w:sz w:val="24"/>
          <w:szCs w:val="24"/>
          <w:lang w:eastAsia="en-US"/>
        </w:rPr>
        <w:t xml:space="preserve">Quadro 1- </w:t>
      </w:r>
      <w:r w:rsidRPr="008532E1">
        <w:rPr>
          <w:sz w:val="24"/>
          <w:szCs w:val="24"/>
          <w:lang w:eastAsia="en-US"/>
        </w:rPr>
        <w:t>Características dos estudos incluídos na revisão de acordo com autor/ano, metodologia, intervenção e resultados principais. Brasil, 2025.</w:t>
      </w:r>
    </w:p>
    <w:p w14:paraId="67CF4AFA" w14:textId="77777777" w:rsidR="008532E1" w:rsidRPr="008532E1" w:rsidRDefault="008532E1" w:rsidP="008532E1">
      <w:pPr>
        <w:spacing w:line="360" w:lineRule="auto"/>
        <w:jc w:val="both"/>
        <w:rPr>
          <w:sz w:val="24"/>
          <w:szCs w:val="24"/>
          <w:lang w:eastAsia="en-US"/>
        </w:rPr>
      </w:pPr>
    </w:p>
    <w:tbl>
      <w:tblPr>
        <w:tblStyle w:val="TabeladeGrade4-nfase11"/>
        <w:tblW w:w="9706" w:type="dxa"/>
        <w:jc w:val="center"/>
        <w:tblLayout w:type="fixed"/>
        <w:tblLook w:val="06A0" w:firstRow="1" w:lastRow="0" w:firstColumn="1" w:lastColumn="0" w:noHBand="1" w:noVBand="1"/>
      </w:tblPr>
      <w:tblGrid>
        <w:gridCol w:w="1671"/>
        <w:gridCol w:w="2379"/>
        <w:gridCol w:w="2983"/>
        <w:gridCol w:w="2673"/>
      </w:tblGrid>
      <w:tr w:rsidR="008532E1" w:rsidRPr="008532E1" w14:paraId="719BA1B1" w14:textId="77777777" w:rsidTr="008532E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671" w:type="dxa"/>
            <w:shd w:val="clear" w:color="auto" w:fill="548DD4" w:themeFill="text2" w:themeFillTint="99"/>
            <w:vAlign w:val="center"/>
          </w:tcPr>
          <w:p w14:paraId="167C3582" w14:textId="77777777" w:rsidR="008532E1" w:rsidRPr="008532E1" w:rsidRDefault="008532E1" w:rsidP="008532E1">
            <w:pPr>
              <w:jc w:val="center"/>
              <w:rPr>
                <w:rFonts w:ascii="Times New Roman" w:eastAsia="Times New Roman" w:hAnsi="Times New Roman" w:cs="Times New Roman"/>
                <w:b w:val="0"/>
                <w:bCs w:val="0"/>
                <w:color w:val="auto"/>
                <w:lang w:eastAsia="pt-BR"/>
              </w:rPr>
            </w:pPr>
            <w:r w:rsidRPr="008532E1">
              <w:rPr>
                <w:rFonts w:ascii="Times New Roman" w:eastAsia="Times New Roman" w:hAnsi="Times New Roman" w:cs="Times New Roman"/>
                <w:b w:val="0"/>
                <w:bCs w:val="0"/>
                <w:color w:val="auto"/>
                <w:lang w:eastAsia="pt-BR"/>
              </w:rPr>
              <w:t>Autor e ano</w:t>
            </w:r>
          </w:p>
        </w:tc>
        <w:tc>
          <w:tcPr>
            <w:tcW w:w="2379" w:type="dxa"/>
            <w:shd w:val="clear" w:color="auto" w:fill="548DD4" w:themeFill="text2" w:themeFillTint="99"/>
            <w:vAlign w:val="center"/>
          </w:tcPr>
          <w:p w14:paraId="361D8A27" w14:textId="77777777" w:rsidR="008532E1" w:rsidRPr="008532E1" w:rsidRDefault="008532E1" w:rsidP="008532E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lang w:eastAsia="pt-BR"/>
              </w:rPr>
            </w:pPr>
            <w:r w:rsidRPr="008532E1">
              <w:rPr>
                <w:rFonts w:ascii="Times New Roman" w:eastAsia="Times New Roman" w:hAnsi="Times New Roman" w:cs="Times New Roman"/>
                <w:b w:val="0"/>
                <w:bCs w:val="0"/>
                <w:color w:val="auto"/>
                <w:lang w:eastAsia="pt-BR"/>
              </w:rPr>
              <w:t>Metodologia</w:t>
            </w:r>
          </w:p>
        </w:tc>
        <w:tc>
          <w:tcPr>
            <w:tcW w:w="2983" w:type="dxa"/>
            <w:shd w:val="clear" w:color="auto" w:fill="548DD4" w:themeFill="text2" w:themeFillTint="99"/>
            <w:vAlign w:val="center"/>
          </w:tcPr>
          <w:p w14:paraId="2649D06A" w14:textId="77777777" w:rsidR="008532E1" w:rsidRPr="008532E1" w:rsidRDefault="008532E1" w:rsidP="008532E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lang w:eastAsia="pt-BR"/>
              </w:rPr>
            </w:pPr>
            <w:r w:rsidRPr="008532E1">
              <w:rPr>
                <w:rFonts w:ascii="Times New Roman" w:eastAsia="Times New Roman" w:hAnsi="Times New Roman" w:cs="Times New Roman"/>
                <w:b w:val="0"/>
                <w:bCs w:val="0"/>
                <w:color w:val="auto"/>
                <w:lang w:eastAsia="pt-BR"/>
              </w:rPr>
              <w:t>Intervenção</w:t>
            </w:r>
          </w:p>
        </w:tc>
        <w:tc>
          <w:tcPr>
            <w:tcW w:w="2673" w:type="dxa"/>
            <w:shd w:val="clear" w:color="auto" w:fill="548DD4" w:themeFill="text2" w:themeFillTint="99"/>
            <w:vAlign w:val="center"/>
          </w:tcPr>
          <w:p w14:paraId="78CD289A" w14:textId="77777777" w:rsidR="008532E1" w:rsidRPr="008532E1" w:rsidRDefault="008532E1" w:rsidP="008532E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lang w:eastAsia="pt-BR"/>
              </w:rPr>
            </w:pPr>
            <w:r w:rsidRPr="008532E1">
              <w:rPr>
                <w:rFonts w:ascii="Times New Roman" w:eastAsia="Times New Roman" w:hAnsi="Times New Roman" w:cs="Times New Roman"/>
                <w:b w:val="0"/>
                <w:bCs w:val="0"/>
                <w:color w:val="auto"/>
                <w:lang w:eastAsia="pt-BR"/>
              </w:rPr>
              <w:t>Resultados Principais</w:t>
            </w:r>
          </w:p>
        </w:tc>
      </w:tr>
      <w:tr w:rsidR="008532E1" w:rsidRPr="008532E1" w14:paraId="2F258C6A" w14:textId="77777777" w:rsidTr="008532E1">
        <w:trPr>
          <w:trHeight w:val="300"/>
          <w:jc w:val="center"/>
        </w:trPr>
        <w:tc>
          <w:tcPr>
            <w:cnfStyle w:val="001000000000" w:firstRow="0" w:lastRow="0" w:firstColumn="1" w:lastColumn="0" w:oddVBand="0" w:evenVBand="0" w:oddHBand="0" w:evenHBand="0" w:firstRowFirstColumn="0" w:firstRowLastColumn="0" w:lastRowFirstColumn="0" w:lastRowLastColumn="0"/>
            <w:tcW w:w="1671" w:type="dxa"/>
            <w:vAlign w:val="center"/>
          </w:tcPr>
          <w:p w14:paraId="7A96E5FA" w14:textId="77777777" w:rsidR="008532E1" w:rsidRPr="008532E1" w:rsidRDefault="008532E1" w:rsidP="008532E1">
            <w:pPr>
              <w:ind w:left="348" w:hanging="108"/>
              <w:jc w:val="center"/>
              <w:rPr>
                <w:rFonts w:ascii="Times New Roman" w:eastAsiaTheme="minorEastAsia" w:hAnsi="Times New Roman" w:cs="Times New Roman"/>
                <w:b w:val="0"/>
                <w:bCs w:val="0"/>
                <w:color w:val="1B1C1D"/>
                <w:lang w:eastAsia="pt-BR"/>
              </w:rPr>
            </w:pPr>
            <w:r w:rsidRPr="008532E1">
              <w:rPr>
                <w:rFonts w:ascii="Times New Roman" w:eastAsiaTheme="minorEastAsia" w:hAnsi="Times New Roman" w:cs="Times New Roman"/>
                <w:b w:val="0"/>
                <w:bCs w:val="0"/>
                <w:color w:val="1B1C1D"/>
                <w:lang w:eastAsia="pt-BR"/>
              </w:rPr>
              <w:t>Alves et al. (2024)</w:t>
            </w:r>
          </w:p>
          <w:p w14:paraId="0A01B091" w14:textId="77777777" w:rsidR="008532E1" w:rsidRPr="008532E1" w:rsidRDefault="008532E1" w:rsidP="008532E1">
            <w:pPr>
              <w:jc w:val="center"/>
              <w:rPr>
                <w:rFonts w:ascii="Times New Roman" w:eastAsia="Times New Roman" w:hAnsi="Times New Roman" w:cs="Times New Roman"/>
                <w:lang w:eastAsia="pt-BR"/>
              </w:rPr>
            </w:pPr>
          </w:p>
        </w:tc>
        <w:tc>
          <w:tcPr>
            <w:tcW w:w="2379" w:type="dxa"/>
            <w:vAlign w:val="center"/>
          </w:tcPr>
          <w:p w14:paraId="7DDF712E" w14:textId="45B41B81"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 xml:space="preserve">Estudo observacional, transversal e quantitativo, realizado com 191 indivíduos atendidos nas Clínicas Integradas de Fisioterapia da Universidade de Itaúna (CIF-UIT), em Minas Gerais. </w:t>
            </w:r>
            <w:r w:rsidRPr="008532E1">
              <w:rPr>
                <w:rFonts w:ascii="Times New Roman" w:eastAsiaTheme="minorEastAsia" w:hAnsi="Times New Roman" w:cs="Times New Roman"/>
                <w:color w:val="1B1C1D"/>
                <w:lang w:eastAsia="pt-BR"/>
              </w:rPr>
              <w:lastRenderedPageBreak/>
              <w:t>Foram utilizados questionário sociodemográfico e clínico, dados antropométricos e a Escala de Coelho-Savassi para avaliação do risco familiar.</w:t>
            </w:r>
          </w:p>
          <w:p w14:paraId="0005EEFF"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c>
          <w:tcPr>
            <w:tcW w:w="2983" w:type="dxa"/>
            <w:vAlign w:val="center"/>
          </w:tcPr>
          <w:p w14:paraId="7EAE54B8" w14:textId="77777777"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lastRenderedPageBreak/>
              <w:t>Não se aplica — estudo sem intervenção experimental</w:t>
            </w:r>
          </w:p>
          <w:p w14:paraId="00F51DDF"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c>
          <w:tcPr>
            <w:tcW w:w="2673" w:type="dxa"/>
            <w:vAlign w:val="center"/>
          </w:tcPr>
          <w:p w14:paraId="2B59CD4B" w14:textId="2A3B3406"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8532E1">
              <w:rPr>
                <w:rFonts w:ascii="Times New Roman" w:eastAsiaTheme="minorEastAsia" w:hAnsi="Times New Roman" w:cs="Times New Roman"/>
                <w:color w:val="1B1C1D"/>
                <w:lang w:eastAsia="pt-BR"/>
              </w:rPr>
              <w:t xml:space="preserve">Predomínio de mulheres (62,3%), idade média de 58,3 anos, e 63,8% sem plano de saúde. As principais </w:t>
            </w:r>
            <w:proofErr w:type="spellStart"/>
            <w:r w:rsidRPr="008532E1">
              <w:rPr>
                <w:rFonts w:ascii="Times New Roman" w:eastAsiaTheme="minorEastAsia" w:hAnsi="Times New Roman" w:cs="Times New Roman"/>
                <w:color w:val="1B1C1D"/>
                <w:lang w:eastAsia="pt-BR"/>
              </w:rPr>
              <w:t>DCNTs</w:t>
            </w:r>
            <w:proofErr w:type="spellEnd"/>
            <w:r w:rsidRPr="008532E1">
              <w:rPr>
                <w:rFonts w:ascii="Times New Roman" w:eastAsiaTheme="minorEastAsia" w:hAnsi="Times New Roman" w:cs="Times New Roman"/>
                <w:color w:val="1B1C1D"/>
                <w:lang w:eastAsia="pt-BR"/>
              </w:rPr>
              <w:t xml:space="preserve"> foram doenças respiratórias crônicas (31,4%) e diabetes (14,1%). Entre as doenças </w:t>
            </w:r>
            <w:proofErr w:type="spellStart"/>
            <w:r w:rsidRPr="008532E1">
              <w:rPr>
                <w:rFonts w:ascii="Times New Roman" w:eastAsiaTheme="minorEastAsia" w:hAnsi="Times New Roman" w:cs="Times New Roman"/>
                <w:color w:val="1B1C1D"/>
                <w:lang w:eastAsia="pt-BR"/>
              </w:rPr>
              <w:t>infectoparasitárias</w:t>
            </w:r>
            <w:proofErr w:type="spellEnd"/>
            <w:r w:rsidRPr="008532E1">
              <w:rPr>
                <w:rFonts w:ascii="Times New Roman" w:eastAsiaTheme="minorEastAsia" w:hAnsi="Times New Roman" w:cs="Times New Roman"/>
                <w:color w:val="1B1C1D"/>
                <w:lang w:eastAsia="pt-BR"/>
              </w:rPr>
              <w:t xml:space="preserve">, destacou-se a dengue </w:t>
            </w:r>
            <w:r w:rsidRPr="008532E1">
              <w:rPr>
                <w:rFonts w:ascii="Times New Roman" w:eastAsiaTheme="minorEastAsia" w:hAnsi="Times New Roman" w:cs="Times New Roman"/>
                <w:color w:val="1B1C1D"/>
                <w:lang w:eastAsia="pt-BR"/>
              </w:rPr>
              <w:lastRenderedPageBreak/>
              <w:t>(36,6%). O IMC médio foi 28,7 kg/m², indicando sobrepeso. 9,4% apresentaram risco familiar moderado-alto. Os autores destacam a necessidade de ações preventivas e de educação em saúde direcionadas aos principais riscos identificados.</w:t>
            </w:r>
          </w:p>
        </w:tc>
      </w:tr>
      <w:tr w:rsidR="008532E1" w:rsidRPr="008532E1" w14:paraId="5E1AF62A" w14:textId="77777777" w:rsidTr="008532E1">
        <w:trPr>
          <w:trHeight w:val="300"/>
          <w:jc w:val="center"/>
        </w:trPr>
        <w:tc>
          <w:tcPr>
            <w:cnfStyle w:val="001000000000" w:firstRow="0" w:lastRow="0" w:firstColumn="1" w:lastColumn="0" w:oddVBand="0" w:evenVBand="0" w:oddHBand="0" w:evenHBand="0" w:firstRowFirstColumn="0" w:firstRowLastColumn="0" w:lastRowFirstColumn="0" w:lastRowLastColumn="0"/>
            <w:tcW w:w="1671" w:type="dxa"/>
            <w:vAlign w:val="center"/>
          </w:tcPr>
          <w:p w14:paraId="4E889400" w14:textId="77777777" w:rsidR="008532E1" w:rsidRPr="008532E1" w:rsidRDefault="008532E1" w:rsidP="008532E1">
            <w:pPr>
              <w:jc w:val="center"/>
              <w:rPr>
                <w:rFonts w:ascii="Times New Roman" w:eastAsia="Times New Roman" w:hAnsi="Times New Roman" w:cs="Times New Roman"/>
                <w:lang w:eastAsia="pt-BR"/>
              </w:rPr>
            </w:pPr>
            <w:r w:rsidRPr="008532E1">
              <w:rPr>
                <w:rFonts w:ascii="Times New Roman" w:eastAsia="Times New Roman" w:hAnsi="Times New Roman" w:cs="Times New Roman"/>
                <w:b w:val="0"/>
                <w:bCs w:val="0"/>
                <w:lang w:eastAsia="pt-BR"/>
              </w:rPr>
              <w:lastRenderedPageBreak/>
              <w:t>Baracho et al. (2022)</w:t>
            </w:r>
          </w:p>
        </w:tc>
        <w:tc>
          <w:tcPr>
            <w:tcW w:w="2379" w:type="dxa"/>
            <w:vAlign w:val="center"/>
          </w:tcPr>
          <w:p w14:paraId="68A2A781" w14:textId="77777777"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 xml:space="preserve">Estudo exploratório qualitativo com 10 fisioterapeutas da APS/RN; entrevistas semiestruturadas remotas; Análise de Conteúdo de Bardin e </w:t>
            </w:r>
            <w:proofErr w:type="spellStart"/>
            <w:r w:rsidRPr="008532E1">
              <w:rPr>
                <w:rFonts w:ascii="Times New Roman" w:eastAsiaTheme="minorEastAsia" w:hAnsi="Times New Roman" w:cs="Times New Roman"/>
                <w:color w:val="1B1C1D"/>
                <w:lang w:eastAsia="pt-BR"/>
              </w:rPr>
              <w:t>IRaMuTeQ</w:t>
            </w:r>
            <w:proofErr w:type="spellEnd"/>
            <w:r w:rsidRPr="008532E1">
              <w:rPr>
                <w:rFonts w:ascii="Times New Roman" w:eastAsiaTheme="minorEastAsia" w:hAnsi="Times New Roman" w:cs="Times New Roman"/>
                <w:color w:val="1B1C1D"/>
                <w:lang w:eastAsia="pt-BR"/>
              </w:rPr>
              <w:t>.</w:t>
            </w:r>
          </w:p>
          <w:p w14:paraId="4300E218"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c>
          <w:tcPr>
            <w:tcW w:w="2983" w:type="dxa"/>
            <w:vAlign w:val="center"/>
          </w:tcPr>
          <w:p w14:paraId="13EE9195" w14:textId="77777777"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 xml:space="preserve">Crioterapia, eletrotermofototerapia, mobilização articular, cinesioterapia, alongamentos, exercícios ativos e </w:t>
            </w:r>
            <w:proofErr w:type="spellStart"/>
            <w:r w:rsidRPr="008532E1">
              <w:rPr>
                <w:rFonts w:ascii="Times New Roman" w:eastAsiaTheme="minorEastAsia" w:hAnsi="Times New Roman" w:cs="Times New Roman"/>
                <w:color w:val="1B1C1D"/>
                <w:lang w:eastAsia="pt-BR"/>
              </w:rPr>
              <w:t>miolinfocinéticos</w:t>
            </w:r>
            <w:proofErr w:type="spellEnd"/>
            <w:r w:rsidRPr="008532E1">
              <w:rPr>
                <w:rFonts w:ascii="Times New Roman" w:eastAsiaTheme="minorEastAsia" w:hAnsi="Times New Roman" w:cs="Times New Roman"/>
                <w:color w:val="1B1C1D"/>
                <w:lang w:eastAsia="pt-BR"/>
              </w:rPr>
              <w:t>; educação em saúde, exercícios domiciliares e autogerenciamento.</w:t>
            </w:r>
          </w:p>
          <w:p w14:paraId="4253B2F5"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c>
          <w:tcPr>
            <w:tcW w:w="2673" w:type="dxa"/>
            <w:vAlign w:val="center"/>
          </w:tcPr>
          <w:p w14:paraId="200532D4" w14:textId="14638FCC"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Redução de dor, edema e limitações funcionais; atuação também na promoção e prevenção. Principais barreiras: alta demanda, poucos profissionais, falta de recursos e desconhecimento sobre a atuação fisioterapêutica. Importância do trabalho multiprofissional.</w:t>
            </w:r>
          </w:p>
          <w:p w14:paraId="027BAFFC"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r>
      <w:tr w:rsidR="008532E1" w:rsidRPr="008532E1" w14:paraId="089C0166" w14:textId="77777777" w:rsidTr="008532E1">
        <w:trPr>
          <w:trHeight w:val="300"/>
          <w:jc w:val="center"/>
        </w:trPr>
        <w:tc>
          <w:tcPr>
            <w:cnfStyle w:val="001000000000" w:firstRow="0" w:lastRow="0" w:firstColumn="1" w:lastColumn="0" w:oddVBand="0" w:evenVBand="0" w:oddHBand="0" w:evenHBand="0" w:firstRowFirstColumn="0" w:firstRowLastColumn="0" w:lastRowFirstColumn="0" w:lastRowLastColumn="0"/>
            <w:tcW w:w="1671" w:type="dxa"/>
            <w:vAlign w:val="center"/>
          </w:tcPr>
          <w:p w14:paraId="4B629C20" w14:textId="77777777" w:rsidR="008532E1" w:rsidRPr="008532E1" w:rsidRDefault="008532E1" w:rsidP="008532E1">
            <w:pPr>
              <w:jc w:val="center"/>
              <w:rPr>
                <w:rFonts w:ascii="Times New Roman" w:eastAsia="Times New Roman" w:hAnsi="Times New Roman" w:cs="Times New Roman"/>
                <w:lang w:eastAsia="pt-BR"/>
              </w:rPr>
            </w:pPr>
            <w:r w:rsidRPr="008532E1">
              <w:rPr>
                <w:rFonts w:ascii="Times New Roman" w:eastAsia="Times New Roman" w:hAnsi="Times New Roman" w:cs="Times New Roman"/>
                <w:b w:val="0"/>
                <w:bCs w:val="0"/>
                <w:lang w:eastAsia="pt-BR"/>
              </w:rPr>
              <w:t>Salim et al., 2025</w:t>
            </w:r>
          </w:p>
        </w:tc>
        <w:tc>
          <w:tcPr>
            <w:tcW w:w="2379" w:type="dxa"/>
            <w:vAlign w:val="center"/>
          </w:tcPr>
          <w:p w14:paraId="210C5390" w14:textId="4A904998"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 xml:space="preserve">Revisão integrativa da literatura, com análise qualitativa. Foram consultadas </w:t>
            </w:r>
            <w:proofErr w:type="spellStart"/>
            <w:r w:rsidRPr="008532E1">
              <w:rPr>
                <w:rFonts w:ascii="Times New Roman" w:eastAsiaTheme="minorEastAsia" w:hAnsi="Times New Roman" w:cs="Times New Roman"/>
                <w:color w:val="1B1C1D"/>
                <w:lang w:eastAsia="pt-BR"/>
              </w:rPr>
              <w:t>UpToDate</w:t>
            </w:r>
            <w:proofErr w:type="spellEnd"/>
            <w:r w:rsidRPr="008532E1">
              <w:rPr>
                <w:rFonts w:ascii="Times New Roman" w:eastAsiaTheme="minorEastAsia" w:hAnsi="Times New Roman" w:cs="Times New Roman"/>
                <w:color w:val="1B1C1D"/>
                <w:lang w:eastAsia="pt-BR"/>
              </w:rPr>
              <w:t>, SciELO e BVS, entre fevereiro e março de 2024. Foram incluídos 17 artigos, 2 manuais de saúde e 1 bula de medicamento.</w:t>
            </w:r>
          </w:p>
          <w:p w14:paraId="70EE9047"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c>
          <w:tcPr>
            <w:tcW w:w="2983" w:type="dxa"/>
            <w:vAlign w:val="center"/>
          </w:tcPr>
          <w:p w14:paraId="0B21F340" w14:textId="77777777"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Análise de estratégias de prevenção, tratamento e controle da dengue, com ênfase na vacinação, controle do mosquito, uso de repelentes e inseticidas, saneamento e hidratação.</w:t>
            </w:r>
          </w:p>
          <w:p w14:paraId="307D90AE"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c>
          <w:tcPr>
            <w:tcW w:w="2673" w:type="dxa"/>
            <w:vAlign w:val="center"/>
          </w:tcPr>
          <w:p w14:paraId="5C24200D" w14:textId="1C6426CF"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 xml:space="preserve">A vacinação foi destacada como estratégia essencial de prevenção, complementada pelo controle do </w:t>
            </w:r>
            <w:r w:rsidRPr="008532E1">
              <w:rPr>
                <w:rFonts w:ascii="Times New Roman" w:eastAsiaTheme="minorEastAsia" w:hAnsi="Times New Roman" w:cs="Times New Roman"/>
                <w:b/>
                <w:bCs/>
                <w:i/>
                <w:iCs/>
                <w:color w:val="1B1C1D"/>
                <w:lang w:eastAsia="pt-BR"/>
              </w:rPr>
              <w:t>Aedes aegypti</w:t>
            </w:r>
            <w:r w:rsidRPr="008532E1">
              <w:rPr>
                <w:rFonts w:ascii="Times New Roman" w:eastAsiaTheme="minorEastAsia" w:hAnsi="Times New Roman" w:cs="Times New Roman"/>
                <w:color w:val="1B1C1D"/>
                <w:lang w:eastAsia="pt-BR"/>
              </w:rPr>
              <w:t>, repelentes, inseticidas, saneamento e gestão de resíduos. No tratamento, a hidratação e reposição volêmica são fundamentais para reduzir complicações, morbidade e mortalidade.</w:t>
            </w:r>
          </w:p>
          <w:p w14:paraId="70EE7F71"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r>
      <w:tr w:rsidR="008532E1" w:rsidRPr="008532E1" w14:paraId="6BAB78B6" w14:textId="77777777" w:rsidTr="008532E1">
        <w:trPr>
          <w:trHeight w:val="300"/>
          <w:jc w:val="center"/>
        </w:trPr>
        <w:tc>
          <w:tcPr>
            <w:cnfStyle w:val="001000000000" w:firstRow="0" w:lastRow="0" w:firstColumn="1" w:lastColumn="0" w:oddVBand="0" w:evenVBand="0" w:oddHBand="0" w:evenHBand="0" w:firstRowFirstColumn="0" w:firstRowLastColumn="0" w:lastRowFirstColumn="0" w:lastRowLastColumn="0"/>
            <w:tcW w:w="1671" w:type="dxa"/>
            <w:vAlign w:val="center"/>
          </w:tcPr>
          <w:p w14:paraId="63EE5688" w14:textId="77777777" w:rsidR="008532E1" w:rsidRPr="008532E1" w:rsidRDefault="008532E1" w:rsidP="008532E1">
            <w:pPr>
              <w:ind w:left="348" w:hanging="108"/>
              <w:jc w:val="center"/>
              <w:rPr>
                <w:rFonts w:ascii="Times New Roman" w:eastAsia="Times New Roman" w:hAnsi="Times New Roman" w:cs="Times New Roman"/>
                <w:color w:val="1B1C1D"/>
                <w:lang w:eastAsia="pt-BR"/>
              </w:rPr>
            </w:pPr>
            <w:r w:rsidRPr="008532E1">
              <w:rPr>
                <w:rFonts w:ascii="Times New Roman" w:eastAsiaTheme="minorEastAsia" w:hAnsi="Times New Roman" w:cs="Times New Roman"/>
                <w:b w:val="0"/>
                <w:bCs w:val="0"/>
                <w:color w:val="1B1C1D"/>
                <w:lang w:eastAsia="pt-BR"/>
              </w:rPr>
              <w:lastRenderedPageBreak/>
              <w:t>Lima e Correia (2026)</w:t>
            </w:r>
          </w:p>
        </w:tc>
        <w:tc>
          <w:tcPr>
            <w:tcW w:w="2379" w:type="dxa"/>
            <w:vAlign w:val="center"/>
          </w:tcPr>
          <w:p w14:paraId="497A8D40" w14:textId="77777777"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Estudo descritivo qualitativo e revisão narrativa com 9 profissionais de saúde docentes (enfermeiros, dentistas e fisioterapeutas); aplicação de questionário online.</w:t>
            </w:r>
          </w:p>
          <w:p w14:paraId="7D89B506"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c>
          <w:tcPr>
            <w:tcW w:w="2983" w:type="dxa"/>
            <w:vAlign w:val="center"/>
          </w:tcPr>
          <w:p w14:paraId="26F2B326" w14:textId="77777777"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 xml:space="preserve">Aplicação de questionário online sobre a influência do ambiente nas arboviroses, prevenção/controle de vetores e a Teoria Ambientalista de Florence </w:t>
            </w:r>
            <w:proofErr w:type="spellStart"/>
            <w:r w:rsidRPr="008532E1">
              <w:rPr>
                <w:rFonts w:ascii="Times New Roman" w:eastAsiaTheme="minorEastAsia" w:hAnsi="Times New Roman" w:cs="Times New Roman"/>
                <w:color w:val="1B1C1D"/>
                <w:lang w:eastAsia="pt-BR"/>
              </w:rPr>
              <w:t>Nightingale</w:t>
            </w:r>
            <w:proofErr w:type="spellEnd"/>
            <w:r w:rsidRPr="008532E1">
              <w:rPr>
                <w:rFonts w:ascii="Times New Roman" w:eastAsiaTheme="minorEastAsia" w:hAnsi="Times New Roman" w:cs="Times New Roman"/>
                <w:color w:val="1B1C1D"/>
                <w:lang w:eastAsia="pt-BR"/>
              </w:rPr>
              <w:t>.</w:t>
            </w:r>
          </w:p>
          <w:p w14:paraId="47CF77F8"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c>
          <w:tcPr>
            <w:tcW w:w="2673" w:type="dxa"/>
            <w:vAlign w:val="center"/>
          </w:tcPr>
          <w:p w14:paraId="3F424059" w14:textId="3C47A332"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8532E1">
              <w:rPr>
                <w:rFonts w:ascii="Times New Roman" w:eastAsiaTheme="minorEastAsia" w:hAnsi="Times New Roman" w:cs="Times New Roman"/>
                <w:color w:val="1B1C1D"/>
                <w:lang w:eastAsia="pt-BR"/>
              </w:rPr>
              <w:t>Eliminação de água parada foi a principal medida apontada (100%), seguida por mobilização comunitária (88,9%); atividades práticas foram vistas como mais eficazes que materiais educativos (88,9%); 88,9% relataram grande impacto/sobrecarga na rotina dos serviços de saúde; barreiras principais incluem controle de vetores e desinteresse da população.</w:t>
            </w:r>
          </w:p>
        </w:tc>
      </w:tr>
      <w:tr w:rsidR="008532E1" w:rsidRPr="008532E1" w14:paraId="4233485B" w14:textId="77777777" w:rsidTr="008532E1">
        <w:trPr>
          <w:trHeight w:val="300"/>
          <w:jc w:val="center"/>
        </w:trPr>
        <w:tc>
          <w:tcPr>
            <w:cnfStyle w:val="001000000000" w:firstRow="0" w:lastRow="0" w:firstColumn="1" w:lastColumn="0" w:oddVBand="0" w:evenVBand="0" w:oddHBand="0" w:evenHBand="0" w:firstRowFirstColumn="0" w:firstRowLastColumn="0" w:lastRowFirstColumn="0" w:lastRowLastColumn="0"/>
            <w:tcW w:w="1671" w:type="dxa"/>
            <w:vAlign w:val="center"/>
          </w:tcPr>
          <w:p w14:paraId="2C42CAEA" w14:textId="77777777" w:rsidR="008532E1" w:rsidRPr="008532E1" w:rsidRDefault="008532E1" w:rsidP="008532E1">
            <w:pPr>
              <w:ind w:left="348" w:hanging="108"/>
              <w:jc w:val="center"/>
              <w:rPr>
                <w:rFonts w:ascii="Times New Roman" w:eastAsiaTheme="minorEastAsia" w:hAnsi="Times New Roman" w:cs="Times New Roman"/>
                <w:b w:val="0"/>
                <w:bCs w:val="0"/>
                <w:color w:val="1B1C1D"/>
                <w:lang w:eastAsia="pt-BR"/>
              </w:rPr>
            </w:pPr>
            <w:r w:rsidRPr="008532E1">
              <w:rPr>
                <w:rFonts w:ascii="Times New Roman" w:eastAsiaTheme="minorEastAsia" w:hAnsi="Times New Roman" w:cs="Times New Roman"/>
                <w:b w:val="0"/>
                <w:bCs w:val="0"/>
                <w:color w:val="1B1C1D"/>
                <w:lang w:eastAsia="pt-BR"/>
              </w:rPr>
              <w:t>Gomes et al. (2026)</w:t>
            </w:r>
          </w:p>
          <w:p w14:paraId="196F42F5" w14:textId="77777777" w:rsidR="008532E1" w:rsidRPr="008532E1" w:rsidRDefault="008532E1" w:rsidP="008532E1">
            <w:pPr>
              <w:jc w:val="center"/>
              <w:rPr>
                <w:rFonts w:ascii="Times New Roman" w:eastAsia="Times New Roman" w:hAnsi="Times New Roman" w:cs="Times New Roman"/>
                <w:lang w:eastAsia="pt-BR"/>
              </w:rPr>
            </w:pPr>
          </w:p>
        </w:tc>
        <w:tc>
          <w:tcPr>
            <w:tcW w:w="2379" w:type="dxa"/>
            <w:vAlign w:val="center"/>
          </w:tcPr>
          <w:p w14:paraId="5C688393" w14:textId="77777777"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Estudo extensionista e de revisão integrativa da literatura (2015–2025) nas bases SciELO, Google Acadêmico e diretrizes do Ministério da Saúde.</w:t>
            </w:r>
          </w:p>
          <w:p w14:paraId="308C7EB0"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pt-BR"/>
              </w:rPr>
            </w:pPr>
          </w:p>
        </w:tc>
        <w:tc>
          <w:tcPr>
            <w:tcW w:w="2983" w:type="dxa"/>
            <w:vAlign w:val="center"/>
          </w:tcPr>
          <w:p w14:paraId="18E4E913" w14:textId="77777777"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 xml:space="preserve">Ações de educação em saúde e comunicação digital via perfil no Instagram (@pev_arboviroses) com 17 publicações (posts, </w:t>
            </w:r>
            <w:proofErr w:type="spellStart"/>
            <w:r w:rsidRPr="008532E1">
              <w:rPr>
                <w:rFonts w:ascii="Times New Roman" w:eastAsiaTheme="minorEastAsia" w:hAnsi="Times New Roman" w:cs="Times New Roman"/>
                <w:color w:val="1B1C1D"/>
                <w:lang w:eastAsia="pt-BR"/>
              </w:rPr>
              <w:t>reels</w:t>
            </w:r>
            <w:proofErr w:type="spellEnd"/>
            <w:r w:rsidRPr="008532E1">
              <w:rPr>
                <w:rFonts w:ascii="Times New Roman" w:eastAsiaTheme="minorEastAsia" w:hAnsi="Times New Roman" w:cs="Times New Roman"/>
                <w:color w:val="1B1C1D"/>
                <w:lang w:eastAsia="pt-BR"/>
              </w:rPr>
              <w:t>, carrosséis e stories) sobre prevenção, sintomas, combate ao vetor e manejo fisioterapêutico das sequelas.</w:t>
            </w:r>
          </w:p>
          <w:p w14:paraId="20CE4E27"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c>
          <w:tcPr>
            <w:tcW w:w="2673" w:type="dxa"/>
            <w:vAlign w:val="center"/>
          </w:tcPr>
          <w:p w14:paraId="782BC50C" w14:textId="234C86EA"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Alcançou 13.900 visualizações, 2.424 contas e 515 interações, com público predominantemente feminino (67,38%) e jovem (18–34 anos). Maior interesse em dores articulares e musculares persistentes. Observou-se baixa interação espontânea nos comentários.</w:t>
            </w:r>
          </w:p>
        </w:tc>
      </w:tr>
      <w:tr w:rsidR="008532E1" w:rsidRPr="008532E1" w14:paraId="5E8F4DD1" w14:textId="77777777" w:rsidTr="008532E1">
        <w:trPr>
          <w:trHeight w:val="300"/>
          <w:jc w:val="center"/>
        </w:trPr>
        <w:tc>
          <w:tcPr>
            <w:cnfStyle w:val="001000000000" w:firstRow="0" w:lastRow="0" w:firstColumn="1" w:lastColumn="0" w:oddVBand="0" w:evenVBand="0" w:oddHBand="0" w:evenHBand="0" w:firstRowFirstColumn="0" w:firstRowLastColumn="0" w:lastRowFirstColumn="0" w:lastRowLastColumn="0"/>
            <w:tcW w:w="1671" w:type="dxa"/>
            <w:vAlign w:val="center"/>
          </w:tcPr>
          <w:p w14:paraId="446BB395" w14:textId="77777777" w:rsidR="008532E1" w:rsidRPr="008532E1" w:rsidRDefault="008532E1" w:rsidP="008532E1">
            <w:pPr>
              <w:ind w:left="348" w:hanging="108"/>
              <w:jc w:val="center"/>
              <w:rPr>
                <w:rFonts w:ascii="Times New Roman" w:eastAsiaTheme="minorEastAsia" w:hAnsi="Times New Roman" w:cs="Times New Roman"/>
                <w:b w:val="0"/>
                <w:bCs w:val="0"/>
                <w:color w:val="1B1C1D"/>
                <w:lang w:eastAsia="pt-BR"/>
              </w:rPr>
            </w:pPr>
            <w:r w:rsidRPr="008532E1">
              <w:rPr>
                <w:rFonts w:ascii="Times New Roman" w:eastAsiaTheme="minorEastAsia" w:hAnsi="Times New Roman" w:cs="Times New Roman"/>
                <w:b w:val="0"/>
                <w:bCs w:val="0"/>
                <w:color w:val="1B1C1D"/>
                <w:lang w:eastAsia="pt-BR"/>
              </w:rPr>
              <w:t>Nascimento et al. (2026)</w:t>
            </w:r>
          </w:p>
          <w:p w14:paraId="72D543E0" w14:textId="77777777" w:rsidR="008532E1" w:rsidRPr="008532E1" w:rsidRDefault="008532E1" w:rsidP="008532E1">
            <w:pPr>
              <w:jc w:val="center"/>
              <w:rPr>
                <w:rFonts w:ascii="Times New Roman" w:eastAsia="Times New Roman" w:hAnsi="Times New Roman" w:cs="Times New Roman"/>
                <w:lang w:eastAsia="pt-BR"/>
              </w:rPr>
            </w:pPr>
          </w:p>
        </w:tc>
        <w:tc>
          <w:tcPr>
            <w:tcW w:w="2379" w:type="dxa"/>
            <w:vAlign w:val="center"/>
          </w:tcPr>
          <w:p w14:paraId="7A99E607" w14:textId="77777777"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Estudo descritivo, do tipo relato de experiência.</w:t>
            </w:r>
          </w:p>
          <w:p w14:paraId="7D1A8BE8"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pt-BR"/>
              </w:rPr>
            </w:pPr>
          </w:p>
        </w:tc>
        <w:tc>
          <w:tcPr>
            <w:tcW w:w="2983" w:type="dxa"/>
            <w:vAlign w:val="center"/>
          </w:tcPr>
          <w:p w14:paraId="7E763CBD" w14:textId="77777777"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1B1C1D"/>
                <w:lang w:eastAsia="pt-BR"/>
              </w:rPr>
            </w:pPr>
            <w:r w:rsidRPr="008532E1">
              <w:rPr>
                <w:rFonts w:ascii="Times New Roman" w:eastAsiaTheme="minorEastAsia" w:hAnsi="Times New Roman" w:cs="Times New Roman"/>
                <w:color w:val="1B1C1D"/>
                <w:lang w:eastAsia="pt-BR"/>
              </w:rPr>
              <w:t xml:space="preserve">Realização de uma ação educativa (roda de conversa em formato de Círculo de Cultura) com 26 moradores no Centro de Saúde da Família, abordando prevenção da dengue, eliminação de criadouros, sintomas e o papel dos serviços de saúde, com apoio de um </w:t>
            </w:r>
            <w:r w:rsidRPr="008532E1">
              <w:rPr>
                <w:rFonts w:ascii="Times New Roman" w:eastAsiaTheme="minorEastAsia" w:hAnsi="Times New Roman" w:cs="Times New Roman"/>
                <w:color w:val="1B1C1D"/>
                <w:lang w:eastAsia="pt-BR"/>
              </w:rPr>
              <w:lastRenderedPageBreak/>
              <w:t>Agente de Combate às Endemias.</w:t>
            </w:r>
          </w:p>
          <w:p w14:paraId="19050970"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c>
          <w:tcPr>
            <w:tcW w:w="2673" w:type="dxa"/>
            <w:vAlign w:val="center"/>
          </w:tcPr>
          <w:p w14:paraId="67DE8488" w14:textId="49E07901" w:rsidR="008532E1" w:rsidRPr="008532E1" w:rsidRDefault="008532E1" w:rsidP="008532E1">
            <w:pPr>
              <w:ind w:left="348" w:hanging="10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8532E1">
              <w:rPr>
                <w:rFonts w:ascii="Times New Roman" w:eastAsiaTheme="minorEastAsia" w:hAnsi="Times New Roman" w:cs="Times New Roman"/>
                <w:color w:val="1B1C1D"/>
                <w:lang w:eastAsia="pt-BR"/>
              </w:rPr>
              <w:lastRenderedPageBreak/>
              <w:t xml:space="preserve">Engajamento e participação ativa da comunidade; esclarecimento de dúvidas sobre sinais de alarme e fluxos da Atenção Primária; fortalecimento do vínculo entre moradores e o serviço. Como desafio, observou-se </w:t>
            </w:r>
            <w:r w:rsidRPr="008532E1">
              <w:rPr>
                <w:rFonts w:ascii="Times New Roman" w:eastAsiaTheme="minorEastAsia" w:hAnsi="Times New Roman" w:cs="Times New Roman"/>
                <w:color w:val="1B1C1D"/>
                <w:lang w:eastAsia="pt-BR"/>
              </w:rPr>
              <w:lastRenderedPageBreak/>
              <w:t>a ausência da equipe mínima de saúde da unidade.</w:t>
            </w:r>
          </w:p>
        </w:tc>
      </w:tr>
      <w:tr w:rsidR="008532E1" w:rsidRPr="008532E1" w14:paraId="08F150D0" w14:textId="77777777" w:rsidTr="008532E1">
        <w:trPr>
          <w:trHeight w:val="300"/>
          <w:jc w:val="center"/>
        </w:trPr>
        <w:tc>
          <w:tcPr>
            <w:cnfStyle w:val="001000000000" w:firstRow="0" w:lastRow="0" w:firstColumn="1" w:lastColumn="0" w:oddVBand="0" w:evenVBand="0" w:oddHBand="0" w:evenHBand="0" w:firstRowFirstColumn="0" w:firstRowLastColumn="0" w:lastRowFirstColumn="0" w:lastRowLastColumn="0"/>
            <w:tcW w:w="1671" w:type="dxa"/>
            <w:vAlign w:val="center"/>
          </w:tcPr>
          <w:p w14:paraId="3AA920CB" w14:textId="77777777" w:rsidR="008532E1" w:rsidRPr="008532E1" w:rsidRDefault="008532E1" w:rsidP="008532E1">
            <w:pPr>
              <w:pStyle w:val="p1"/>
              <w:jc w:val="center"/>
              <w:rPr>
                <w:rFonts w:ascii="Times New Roman" w:hAnsi="Times New Roman" w:cs="Times New Roman"/>
                <w:b w:val="0"/>
                <w:bCs w:val="0"/>
              </w:rPr>
            </w:pPr>
            <w:r w:rsidRPr="008532E1">
              <w:rPr>
                <w:rStyle w:val="s1"/>
                <w:rFonts w:ascii="Times New Roman" w:hAnsi="Times New Roman" w:cs="Times New Roman"/>
                <w:b w:val="0"/>
                <w:bCs w:val="0"/>
              </w:rPr>
              <w:lastRenderedPageBreak/>
              <w:t>Gomes e Amorim (2021)</w:t>
            </w:r>
          </w:p>
          <w:p w14:paraId="055BEBBC" w14:textId="77777777" w:rsidR="008532E1" w:rsidRPr="008532E1" w:rsidRDefault="008532E1" w:rsidP="008532E1">
            <w:pPr>
              <w:jc w:val="center"/>
              <w:rPr>
                <w:rFonts w:ascii="Times New Roman" w:eastAsia="Times New Roman" w:hAnsi="Times New Roman" w:cs="Times New Roman"/>
                <w:lang w:eastAsia="pt-BR"/>
              </w:rPr>
            </w:pPr>
          </w:p>
        </w:tc>
        <w:tc>
          <w:tcPr>
            <w:tcW w:w="2379" w:type="dxa"/>
            <w:vAlign w:val="center"/>
          </w:tcPr>
          <w:p w14:paraId="326F328F" w14:textId="77777777" w:rsidR="008532E1" w:rsidRPr="008532E1" w:rsidRDefault="008532E1" w:rsidP="008532E1">
            <w:pPr>
              <w:pStyle w:val="p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532E1">
              <w:rPr>
                <w:rStyle w:val="s1"/>
                <w:rFonts w:ascii="Times New Roman" w:hAnsi="Times New Roman" w:cs="Times New Roman"/>
              </w:rPr>
              <w:t>Estudo de campo descritivo, quantitativo e de caráter transversal, realizado no município de Nanuque (MG); aplicação de questionários estruturados a pacientes com histórico de infecção por Chikungunya.</w:t>
            </w:r>
          </w:p>
          <w:p w14:paraId="6EF378AE"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lang w:eastAsia="pt-BR"/>
              </w:rPr>
            </w:pPr>
          </w:p>
        </w:tc>
        <w:tc>
          <w:tcPr>
            <w:tcW w:w="2983" w:type="dxa"/>
            <w:vAlign w:val="center"/>
          </w:tcPr>
          <w:p w14:paraId="0D699829" w14:textId="77777777" w:rsidR="008532E1" w:rsidRPr="008532E1" w:rsidRDefault="008532E1" w:rsidP="008532E1">
            <w:pPr>
              <w:pStyle w:val="p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532E1">
              <w:rPr>
                <w:rStyle w:val="s1"/>
                <w:rFonts w:ascii="Times New Roman" w:hAnsi="Times New Roman" w:cs="Times New Roman"/>
              </w:rPr>
              <w:t>Levantamento da assistência e condutas fisioterapêuticas (cinesioterapia, alívio da dor, mobilização articular e condicionamento) frente ao manejo farmacológico das complicações e dores articulares.</w:t>
            </w:r>
          </w:p>
          <w:p w14:paraId="26FF1491" w14:textId="77777777" w:rsidR="008532E1" w:rsidRPr="008532E1" w:rsidRDefault="008532E1" w:rsidP="008532E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
        </w:tc>
        <w:tc>
          <w:tcPr>
            <w:tcW w:w="2673" w:type="dxa"/>
            <w:vAlign w:val="center"/>
          </w:tcPr>
          <w:p w14:paraId="7476B457" w14:textId="438EE578" w:rsidR="008532E1" w:rsidRPr="008532E1" w:rsidRDefault="008532E1" w:rsidP="008532E1">
            <w:pPr>
              <w:pStyle w:val="p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8532E1">
              <w:rPr>
                <w:rStyle w:val="s1"/>
                <w:rFonts w:ascii="Times New Roman" w:hAnsi="Times New Roman" w:cs="Times New Roman"/>
              </w:rPr>
              <w:t>Dores articulares intensas e febre foram as principais queixas; 39,6% realizaram fisioterapia e 60,65% usaram medicamentos; a intervenção fisioterapêutica demonstrou eficácia no manejo das dores pós-agudas/crônicas, promovendo melhora na capacidade funcional e qualidade de vida.</w:t>
            </w:r>
          </w:p>
        </w:tc>
      </w:tr>
    </w:tbl>
    <w:p w14:paraId="2CB601EC" w14:textId="258E6DD2" w:rsidR="008532E1" w:rsidRDefault="008532E1" w:rsidP="008532E1">
      <w:pPr>
        <w:spacing w:line="279" w:lineRule="auto"/>
        <w:jc w:val="both"/>
        <w:rPr>
          <w:sz w:val="24"/>
          <w:szCs w:val="24"/>
          <w:lang w:eastAsia="en-US"/>
        </w:rPr>
      </w:pPr>
      <w:r w:rsidRPr="008532E1">
        <w:rPr>
          <w:b/>
          <w:bCs/>
          <w:sz w:val="24"/>
          <w:szCs w:val="24"/>
          <w:lang w:eastAsia="en-US"/>
        </w:rPr>
        <w:t>Fonte</w:t>
      </w:r>
      <w:r w:rsidRPr="008532E1">
        <w:rPr>
          <w:sz w:val="24"/>
          <w:szCs w:val="24"/>
          <w:lang w:eastAsia="en-US"/>
        </w:rPr>
        <w:t xml:space="preserve">: </w:t>
      </w:r>
      <w:r>
        <w:rPr>
          <w:sz w:val="24"/>
          <w:szCs w:val="24"/>
          <w:lang w:eastAsia="en-US"/>
        </w:rPr>
        <w:t>Pr</w:t>
      </w:r>
      <w:r w:rsidRPr="008532E1">
        <w:rPr>
          <w:sz w:val="24"/>
          <w:szCs w:val="24"/>
          <w:lang w:eastAsia="en-US"/>
        </w:rPr>
        <w:t>óprios autores, 202</w:t>
      </w:r>
      <w:r>
        <w:rPr>
          <w:sz w:val="24"/>
          <w:szCs w:val="24"/>
          <w:lang w:eastAsia="en-US"/>
        </w:rPr>
        <w:t>6</w:t>
      </w:r>
      <w:r w:rsidRPr="008532E1">
        <w:rPr>
          <w:sz w:val="24"/>
          <w:szCs w:val="24"/>
          <w:lang w:eastAsia="en-US"/>
        </w:rPr>
        <w:t>.</w:t>
      </w:r>
    </w:p>
    <w:p w14:paraId="0284DB1B" w14:textId="77777777" w:rsidR="008532E1" w:rsidRPr="008532E1" w:rsidRDefault="008532E1" w:rsidP="008532E1">
      <w:pPr>
        <w:spacing w:line="279" w:lineRule="auto"/>
        <w:jc w:val="both"/>
        <w:rPr>
          <w:sz w:val="24"/>
          <w:szCs w:val="24"/>
          <w:lang w:eastAsia="en-US"/>
        </w:rPr>
      </w:pPr>
    </w:p>
    <w:p w14:paraId="054E042E" w14:textId="77777777" w:rsidR="00B21F21" w:rsidRPr="008532E1" w:rsidRDefault="00B21F21" w:rsidP="008532E1">
      <w:pPr>
        <w:spacing w:line="360" w:lineRule="auto"/>
        <w:ind w:firstLine="720"/>
        <w:jc w:val="both"/>
        <w:rPr>
          <w:sz w:val="24"/>
          <w:szCs w:val="24"/>
        </w:rPr>
      </w:pPr>
      <w:r w:rsidRPr="008532E1">
        <w:rPr>
          <w:sz w:val="24"/>
          <w:szCs w:val="24"/>
        </w:rPr>
        <w:t>De acordo com Nascimento et al., 2026 estudos recentes indicam que estratégias fundamentadas na participação comunitária apresentam resultados mais sustentáveis quando comparadas a intervenções centradas exclusivamente em medidas químicas de controle do vetor. Confirmado que a participação da comunidade é crucial para que os métodos de prevenção sejam eficazes e principalmente acompanhado palestras e ações que sejam aplicáveis ao cotidiano.</w:t>
      </w:r>
    </w:p>
    <w:p w14:paraId="1D030718" w14:textId="1089F081" w:rsidR="00B21F21" w:rsidRPr="008532E1" w:rsidRDefault="00B21F21" w:rsidP="008532E1">
      <w:pPr>
        <w:spacing w:line="360" w:lineRule="auto"/>
        <w:ind w:firstLine="720"/>
        <w:jc w:val="both"/>
        <w:rPr>
          <w:sz w:val="24"/>
          <w:szCs w:val="24"/>
        </w:rPr>
      </w:pPr>
      <w:r w:rsidRPr="008532E1">
        <w:rPr>
          <w:sz w:val="24"/>
          <w:szCs w:val="24"/>
        </w:rPr>
        <w:t>Portant</w:t>
      </w:r>
      <w:r w:rsidR="00470477" w:rsidRPr="008532E1">
        <w:rPr>
          <w:sz w:val="24"/>
          <w:szCs w:val="24"/>
        </w:rPr>
        <w:t>o,</w:t>
      </w:r>
      <w:r w:rsidRPr="008532E1">
        <w:rPr>
          <w:sz w:val="24"/>
          <w:szCs w:val="24"/>
        </w:rPr>
        <w:t xml:space="preserve"> assim como o ambiente é determinante para a preservação da saúde, </w:t>
      </w:r>
      <w:proofErr w:type="gramStart"/>
      <w:r w:rsidRPr="008532E1">
        <w:rPr>
          <w:sz w:val="24"/>
          <w:szCs w:val="24"/>
        </w:rPr>
        <w:t>o mesmo</w:t>
      </w:r>
      <w:proofErr w:type="gramEnd"/>
      <w:r w:rsidRPr="008532E1">
        <w:rPr>
          <w:sz w:val="24"/>
          <w:szCs w:val="24"/>
        </w:rPr>
        <w:t xml:space="preserve"> pode  ser  aplicável  para  as  doenças  transmitidas  pelos  artrópodes</w:t>
      </w:r>
      <w:r w:rsidR="0000547C" w:rsidRPr="008532E1">
        <w:rPr>
          <w:sz w:val="24"/>
          <w:szCs w:val="24"/>
        </w:rPr>
        <w:t xml:space="preserve"> </w:t>
      </w:r>
      <w:r w:rsidRPr="008532E1">
        <w:rPr>
          <w:sz w:val="24"/>
          <w:szCs w:val="24"/>
        </w:rPr>
        <w:t>nas  quais  as  condições ambientais possuem forte influência da disseminação, como a falta de saneamento básico, que cria  condições  propícias  para  a  deposição  de  ovos  do  mosquito Aedes  aegypti,  por  exemplo. Essa situação demonstra que o ambiente é um fator essencial, juntamente com a sua adequada manutenção, para prevenir doenças causadas por arboviroses.( Lima; Correia, 2026).</w:t>
      </w:r>
    </w:p>
    <w:p w14:paraId="1833E7E8" w14:textId="77777777" w:rsidR="00B21F21" w:rsidRPr="008532E1" w:rsidRDefault="00B21F21" w:rsidP="008532E1">
      <w:pPr>
        <w:spacing w:line="360" w:lineRule="auto"/>
        <w:ind w:firstLine="720"/>
        <w:jc w:val="both"/>
        <w:rPr>
          <w:sz w:val="24"/>
          <w:szCs w:val="24"/>
        </w:rPr>
      </w:pPr>
      <w:r w:rsidRPr="008532E1">
        <w:rPr>
          <w:sz w:val="24"/>
          <w:szCs w:val="24"/>
        </w:rPr>
        <w:t>Conjuntamente, os fisioterapeutas também se fazem atuantes em intervenções e campanhas de educação em saúde, uma vez que o controle das arboviroses necessita da participação e educação da população (Gomes et al., 2026).</w:t>
      </w:r>
    </w:p>
    <w:p w14:paraId="1A546E00" w14:textId="77777777" w:rsidR="00B21F21" w:rsidRPr="008532E1" w:rsidRDefault="00B21F21" w:rsidP="008532E1">
      <w:pPr>
        <w:spacing w:line="360" w:lineRule="auto"/>
        <w:ind w:firstLine="720"/>
        <w:jc w:val="both"/>
        <w:rPr>
          <w:sz w:val="24"/>
          <w:szCs w:val="24"/>
        </w:rPr>
      </w:pPr>
      <w:r w:rsidRPr="008532E1">
        <w:rPr>
          <w:sz w:val="24"/>
          <w:szCs w:val="24"/>
        </w:rPr>
        <w:t xml:space="preserve"> A dengue configura-se como uma das arboviroses de maior relevância epidemiológica no mundo, especialmente em países de clima tropical e subtropical (Nascimento et al., 2026).</w:t>
      </w:r>
    </w:p>
    <w:p w14:paraId="340CAAC0" w14:textId="5B920B03" w:rsidR="00B21F21" w:rsidRPr="008532E1" w:rsidRDefault="00B21F21" w:rsidP="008532E1">
      <w:pPr>
        <w:spacing w:line="360" w:lineRule="auto"/>
        <w:ind w:firstLine="720"/>
        <w:jc w:val="both"/>
        <w:rPr>
          <w:sz w:val="24"/>
          <w:szCs w:val="24"/>
        </w:rPr>
      </w:pPr>
      <w:r w:rsidRPr="008532E1">
        <w:rPr>
          <w:sz w:val="24"/>
          <w:szCs w:val="24"/>
        </w:rPr>
        <w:lastRenderedPageBreak/>
        <w:t>Os pacientes acometidos pela dengue necessitam ser orientados adequadamente sobre o curso da doença. A febre diminui após o aparecimento dos sintomas em três a oito dias. Além disso, é necessário ressaltar as repercussões hemodinâmicas, como</w:t>
      </w:r>
      <w:r w:rsidR="00F03BEB" w:rsidRPr="008532E1">
        <w:rPr>
          <w:sz w:val="24"/>
          <w:szCs w:val="24"/>
        </w:rPr>
        <w:t xml:space="preserve"> </w:t>
      </w:r>
      <w:r w:rsidRPr="008532E1">
        <w:rPr>
          <w:sz w:val="24"/>
          <w:szCs w:val="24"/>
        </w:rPr>
        <w:t>hematêmese, epistaxe, dor abdominal de forte intensidade, vômitos permanentes, sonolência, erupção cutânea, fezes escuras,</w:t>
      </w:r>
      <w:r w:rsidR="00F03BEB" w:rsidRPr="008532E1">
        <w:rPr>
          <w:sz w:val="24"/>
          <w:szCs w:val="24"/>
        </w:rPr>
        <w:t xml:space="preserve"> </w:t>
      </w:r>
      <w:r w:rsidRPr="008532E1">
        <w:rPr>
          <w:sz w:val="24"/>
          <w:szCs w:val="24"/>
        </w:rPr>
        <w:t>dispneia e pele descorada ou fria.</w:t>
      </w:r>
      <w:r w:rsidR="00F03BEB" w:rsidRPr="008532E1">
        <w:rPr>
          <w:sz w:val="24"/>
          <w:szCs w:val="24"/>
        </w:rPr>
        <w:t xml:space="preserve"> </w:t>
      </w:r>
      <w:r w:rsidRPr="008532E1">
        <w:rPr>
          <w:sz w:val="24"/>
          <w:szCs w:val="24"/>
        </w:rPr>
        <w:t xml:space="preserve">É extremamente crucial garantir um tratamento hospitalar adequado para pacientes com dengue que apresentam sinais de alerta de infecção grave ou têm condições simultâneas que podem complicar a doença. Pacientes nessas categorias, como mulheres grávidas, crianças, pessoas </w:t>
      </w:r>
      <w:r w:rsidR="00732673" w:rsidRPr="008532E1">
        <w:rPr>
          <w:sz w:val="24"/>
          <w:szCs w:val="24"/>
        </w:rPr>
        <w:t xml:space="preserve">que possuem </w:t>
      </w:r>
      <w:r w:rsidRPr="008532E1">
        <w:rPr>
          <w:sz w:val="24"/>
          <w:szCs w:val="24"/>
        </w:rPr>
        <w:t xml:space="preserve">diabetes, idosos ou </w:t>
      </w:r>
      <w:r w:rsidR="00732673" w:rsidRPr="008532E1">
        <w:rPr>
          <w:sz w:val="24"/>
          <w:szCs w:val="24"/>
        </w:rPr>
        <w:t>aqueles</w:t>
      </w:r>
      <w:r w:rsidRPr="008532E1">
        <w:rPr>
          <w:sz w:val="24"/>
          <w:szCs w:val="24"/>
        </w:rPr>
        <w:t xml:space="preserve"> com insuficiência renal ou em situação social precária,</w:t>
      </w:r>
      <w:r w:rsidR="00F03BEB" w:rsidRPr="008532E1">
        <w:rPr>
          <w:sz w:val="24"/>
          <w:szCs w:val="24"/>
        </w:rPr>
        <w:t xml:space="preserve"> </w:t>
      </w:r>
      <w:r w:rsidRPr="008532E1">
        <w:rPr>
          <w:sz w:val="24"/>
          <w:szCs w:val="24"/>
        </w:rPr>
        <w:t>correm um risco aumentado de complicações graves associadas à dengue (Salim et al., 2025).</w:t>
      </w:r>
    </w:p>
    <w:p w14:paraId="2B375895" w14:textId="08825462" w:rsidR="00B21F21" w:rsidRPr="008532E1" w:rsidRDefault="00B21F21" w:rsidP="008532E1">
      <w:pPr>
        <w:spacing w:line="360" w:lineRule="auto"/>
        <w:ind w:firstLine="720"/>
        <w:jc w:val="both"/>
        <w:rPr>
          <w:sz w:val="24"/>
          <w:szCs w:val="24"/>
        </w:rPr>
      </w:pPr>
      <w:r w:rsidRPr="008532E1">
        <w:rPr>
          <w:sz w:val="24"/>
          <w:szCs w:val="24"/>
        </w:rPr>
        <w:t>Revelando a necessidade de desenvolver estratégias que retenham a atenção da comunidade</w:t>
      </w:r>
      <w:r w:rsidR="00CF5677" w:rsidRPr="008532E1">
        <w:rPr>
          <w:sz w:val="24"/>
          <w:szCs w:val="24"/>
        </w:rPr>
        <w:t xml:space="preserve">, </w:t>
      </w:r>
      <w:r w:rsidRPr="008532E1">
        <w:rPr>
          <w:sz w:val="24"/>
          <w:szCs w:val="24"/>
        </w:rPr>
        <w:t>gerando identificação com as ações de prevenção, para assim abrange</w:t>
      </w:r>
      <w:r w:rsidR="00CF5677" w:rsidRPr="008532E1">
        <w:rPr>
          <w:sz w:val="24"/>
          <w:szCs w:val="24"/>
        </w:rPr>
        <w:t>r</w:t>
      </w:r>
      <w:r w:rsidRPr="008532E1">
        <w:rPr>
          <w:sz w:val="24"/>
          <w:szCs w:val="24"/>
        </w:rPr>
        <w:t xml:space="preserve"> ma</w:t>
      </w:r>
      <w:r w:rsidR="00CF5677" w:rsidRPr="008532E1">
        <w:rPr>
          <w:sz w:val="24"/>
          <w:szCs w:val="24"/>
        </w:rPr>
        <w:t>is</w:t>
      </w:r>
      <w:r w:rsidRPr="008532E1">
        <w:rPr>
          <w:sz w:val="24"/>
          <w:szCs w:val="24"/>
        </w:rPr>
        <w:t xml:space="preserve"> comunidade</w:t>
      </w:r>
      <w:r w:rsidR="00CF5677" w:rsidRPr="008532E1">
        <w:rPr>
          <w:sz w:val="24"/>
          <w:szCs w:val="24"/>
        </w:rPr>
        <w:t>s</w:t>
      </w:r>
      <w:r w:rsidRPr="008532E1">
        <w:rPr>
          <w:sz w:val="24"/>
          <w:szCs w:val="24"/>
        </w:rPr>
        <w:t xml:space="preserve"> e propor proposta</w:t>
      </w:r>
      <w:r w:rsidR="00DF0663" w:rsidRPr="008532E1">
        <w:rPr>
          <w:sz w:val="24"/>
          <w:szCs w:val="24"/>
        </w:rPr>
        <w:t>s</w:t>
      </w:r>
      <w:r w:rsidRPr="008532E1">
        <w:rPr>
          <w:sz w:val="24"/>
          <w:szCs w:val="24"/>
        </w:rPr>
        <w:t xml:space="preserve"> que melhorar</w:t>
      </w:r>
      <w:r w:rsidR="00DF0663" w:rsidRPr="008532E1">
        <w:rPr>
          <w:sz w:val="24"/>
          <w:szCs w:val="24"/>
        </w:rPr>
        <w:t>am</w:t>
      </w:r>
      <w:r w:rsidRPr="008532E1">
        <w:rPr>
          <w:sz w:val="24"/>
          <w:szCs w:val="24"/>
        </w:rPr>
        <w:t xml:space="preserve"> a relação dos profissionais de fisioterapia com a comunidade local e abordam como soluções o saneamento básico, mobilização social e eliminação de focos, não somente sobre o combate às arboviroses, mas também sobre avaliação dos sintomas, método de prevenção e um tratamento apropriado.</w:t>
      </w:r>
    </w:p>
    <w:p w14:paraId="45D42836" w14:textId="77777777" w:rsidR="0040712C" w:rsidRPr="008532E1" w:rsidRDefault="0040712C" w:rsidP="008532E1">
      <w:pPr>
        <w:spacing w:line="279" w:lineRule="auto"/>
        <w:jc w:val="both"/>
        <w:rPr>
          <w:sz w:val="24"/>
          <w:szCs w:val="24"/>
          <w:lang w:eastAsia="en-US"/>
        </w:rPr>
      </w:pPr>
    </w:p>
    <w:p w14:paraId="59687C23" w14:textId="77777777" w:rsidR="008C3BD5" w:rsidRPr="008532E1" w:rsidRDefault="008C3BD5" w:rsidP="008532E1">
      <w:pPr>
        <w:spacing w:line="360" w:lineRule="auto"/>
        <w:rPr>
          <w:b/>
          <w:bCs/>
          <w:sz w:val="24"/>
          <w:szCs w:val="24"/>
        </w:rPr>
      </w:pPr>
      <w:r w:rsidRPr="008532E1">
        <w:rPr>
          <w:b/>
          <w:bCs/>
          <w:sz w:val="24"/>
          <w:szCs w:val="24"/>
        </w:rPr>
        <w:t xml:space="preserve">5 CONSIDERAÇÕES FINAIS </w:t>
      </w:r>
    </w:p>
    <w:p w14:paraId="186F2C80" w14:textId="77777777" w:rsidR="008C3BD5" w:rsidRPr="008532E1" w:rsidRDefault="008C3BD5" w:rsidP="008532E1">
      <w:pPr>
        <w:spacing w:before="180" w:line="360" w:lineRule="auto"/>
        <w:ind w:firstLine="525"/>
        <w:jc w:val="both"/>
        <w:rPr>
          <w:rFonts w:eastAsiaTheme="minorEastAsia"/>
          <w:color w:val="000000"/>
          <w:sz w:val="24"/>
          <w:szCs w:val="24"/>
        </w:rPr>
      </w:pPr>
      <w:r w:rsidRPr="008532E1">
        <w:rPr>
          <w:rFonts w:eastAsiaTheme="minorEastAsia"/>
          <w:color w:val="000000"/>
          <w:sz w:val="24"/>
          <w:szCs w:val="24"/>
        </w:rPr>
        <w:t>A dengue permanece como um importante problema de saúde pública, exigindo medidas de prevenção, diagnóstico adequado e acompanhamento dos indivíduos acometidos. Embora o tratamento da doença seja baseado principalmente em medidas de suporte, como hidratação, controle dos sintomas e repouso, as repercussões físicas apresentadas pelo paciente também devem ser consideradas durante o processo de recuperação.</w:t>
      </w:r>
    </w:p>
    <w:p w14:paraId="7C0ADF8C" w14:textId="77777777" w:rsidR="008C3BD5" w:rsidRPr="008532E1" w:rsidRDefault="008C3BD5" w:rsidP="008532E1">
      <w:pPr>
        <w:spacing w:line="360" w:lineRule="auto"/>
        <w:ind w:firstLine="525"/>
        <w:jc w:val="both"/>
        <w:rPr>
          <w:rFonts w:eastAsiaTheme="minorEastAsia"/>
          <w:color w:val="000000"/>
          <w:sz w:val="24"/>
          <w:szCs w:val="24"/>
        </w:rPr>
      </w:pPr>
      <w:r w:rsidRPr="008532E1">
        <w:rPr>
          <w:rFonts w:eastAsiaTheme="minorEastAsia"/>
          <w:color w:val="000000"/>
          <w:sz w:val="24"/>
          <w:szCs w:val="24"/>
        </w:rPr>
        <w:t xml:space="preserve">Nesse contexto, a fisioterapia pode contribuir para o cuidado dos indivíduos que apresentam manifestações musculoesqueléticas após a infecção, especialmente quando há persistência de dor, rigidez e limitações funcionais. A utilização de exercícios leves, alongamentos, mobilizações e outros recursos fisioterapêuticos pode favorecer a redução dos sintomas, a recuperação da mobilidade e a melhora da qualidade de vida. A literatura analisada também demonstra que a atuação fisioterapêutica nas arboviroses pode estar associada à recuperação da função e ao controle das manifestações musculoesqueléticas </w:t>
      </w:r>
    </w:p>
    <w:p w14:paraId="482EEEC7" w14:textId="77777777" w:rsidR="008C3BD5" w:rsidRPr="008532E1" w:rsidRDefault="008C3BD5" w:rsidP="008532E1">
      <w:pPr>
        <w:spacing w:before="180" w:line="360" w:lineRule="auto"/>
        <w:ind w:firstLine="525"/>
        <w:jc w:val="both"/>
        <w:rPr>
          <w:rFonts w:eastAsiaTheme="minorEastAsia"/>
          <w:color w:val="000000"/>
          <w:sz w:val="24"/>
          <w:szCs w:val="24"/>
        </w:rPr>
      </w:pPr>
      <w:r w:rsidRPr="008532E1">
        <w:rPr>
          <w:rFonts w:eastAsiaTheme="minorEastAsia"/>
          <w:color w:val="000000"/>
          <w:sz w:val="24"/>
          <w:szCs w:val="24"/>
        </w:rPr>
        <w:lastRenderedPageBreak/>
        <w:t>Entretanto, é importante destacar que os estudos analisados ainda apresentam limitações quanto à definição das técnicas fisioterapêuticas mais eficazes e que parte das evidências encontradas está relacionada às arboviroses de maneira geral, não exclusivamente à dengue. Dessa forma, torna-se necessária a realização de novas pesquisas que investiguem de forma mais específica a atuação da fisioterapia nos diferentes períodos da dengue e seus possíveis impactos sobre a recuperação funcional.</w:t>
      </w:r>
    </w:p>
    <w:p w14:paraId="4B8B17F1" w14:textId="77777777" w:rsidR="008C3BD5" w:rsidRPr="008532E1" w:rsidRDefault="008C3BD5" w:rsidP="008532E1">
      <w:pPr>
        <w:spacing w:line="360" w:lineRule="auto"/>
        <w:ind w:firstLine="525"/>
        <w:jc w:val="both"/>
        <w:rPr>
          <w:rFonts w:eastAsiaTheme="minorEastAsia"/>
          <w:color w:val="000000"/>
          <w:sz w:val="24"/>
          <w:szCs w:val="24"/>
        </w:rPr>
      </w:pPr>
      <w:r w:rsidRPr="008532E1">
        <w:rPr>
          <w:rFonts w:eastAsiaTheme="minorEastAsia"/>
          <w:color w:val="000000"/>
          <w:sz w:val="24"/>
          <w:szCs w:val="24"/>
        </w:rPr>
        <w:t>Assim, a fisioterapia pode ser compreendida como uma área que complementa o cuidado ao paciente, especialmente diante de alterações físicas que ultrapassam a fase inicial da doença. Dessa maneira, o tratamento da dengue não deve ser limitado ao repouso, mas considerar também a recuperação da funcionalidade e da qualidade de vida, reforçando a importância de uma assistência multiprofissional e individualizada.</w:t>
      </w:r>
    </w:p>
    <w:p w14:paraId="5E04A045" w14:textId="77777777" w:rsidR="00D24C22" w:rsidRPr="008532E1" w:rsidRDefault="00D24C22" w:rsidP="008532E1">
      <w:pPr>
        <w:spacing w:before="180" w:line="360" w:lineRule="auto"/>
        <w:ind w:firstLine="525"/>
        <w:jc w:val="both"/>
        <w:rPr>
          <w:rFonts w:eastAsiaTheme="minorEastAsia"/>
          <w:color w:val="000000"/>
          <w:sz w:val="24"/>
          <w:szCs w:val="24"/>
        </w:rPr>
      </w:pPr>
    </w:p>
    <w:p w14:paraId="3222559D" w14:textId="77777777" w:rsidR="008C3BD5" w:rsidRPr="008532E1" w:rsidRDefault="008C3BD5" w:rsidP="008532E1">
      <w:pPr>
        <w:spacing w:line="360" w:lineRule="auto"/>
        <w:jc w:val="center"/>
        <w:rPr>
          <w:b/>
          <w:bCs/>
          <w:sz w:val="24"/>
          <w:szCs w:val="24"/>
        </w:rPr>
      </w:pPr>
      <w:r w:rsidRPr="008532E1">
        <w:rPr>
          <w:b/>
          <w:bCs/>
          <w:sz w:val="24"/>
          <w:szCs w:val="24"/>
        </w:rPr>
        <w:t>REFERÊNCIAS</w:t>
      </w:r>
    </w:p>
    <w:p w14:paraId="6A3B3270" w14:textId="77777777" w:rsidR="008C3BD5" w:rsidRDefault="008C3BD5" w:rsidP="008532E1">
      <w:pPr>
        <w:ind w:left="240"/>
        <w:rPr>
          <w:rFonts w:eastAsiaTheme="minorEastAsia"/>
          <w:color w:val="1B1C1D"/>
          <w:sz w:val="24"/>
          <w:szCs w:val="24"/>
        </w:rPr>
      </w:pPr>
      <w:r w:rsidRPr="008532E1">
        <w:rPr>
          <w:rFonts w:eastAsiaTheme="minorEastAsia"/>
          <w:color w:val="1B1C1D"/>
          <w:sz w:val="24"/>
          <w:szCs w:val="24"/>
        </w:rPr>
        <w:t xml:space="preserve">ALVES, </w:t>
      </w:r>
      <w:proofErr w:type="spellStart"/>
      <w:r w:rsidRPr="008532E1">
        <w:rPr>
          <w:rFonts w:eastAsiaTheme="minorEastAsia"/>
          <w:color w:val="1B1C1D"/>
          <w:sz w:val="24"/>
          <w:szCs w:val="24"/>
        </w:rPr>
        <w:t>Luisa</w:t>
      </w:r>
      <w:proofErr w:type="spellEnd"/>
      <w:r w:rsidRPr="008532E1">
        <w:rPr>
          <w:rFonts w:eastAsiaTheme="minorEastAsia"/>
          <w:color w:val="1B1C1D"/>
          <w:sz w:val="24"/>
          <w:szCs w:val="24"/>
        </w:rPr>
        <w:t xml:space="preserve"> Carvalho et al. Conhecer para cuidar: caracterização sociodemográfica, clínica e do risco social da população atendida nas CIF-UIT. </w:t>
      </w:r>
      <w:r w:rsidRPr="008532E1">
        <w:rPr>
          <w:rFonts w:eastAsiaTheme="minorEastAsia"/>
          <w:b/>
          <w:bCs/>
          <w:color w:val="1B1C1D"/>
          <w:sz w:val="24"/>
          <w:szCs w:val="24"/>
        </w:rPr>
        <w:t>Conexão Ciência (Online)</w:t>
      </w:r>
      <w:r w:rsidRPr="008532E1">
        <w:rPr>
          <w:rFonts w:eastAsiaTheme="minorEastAsia"/>
          <w:color w:val="1B1C1D"/>
          <w:sz w:val="24"/>
          <w:szCs w:val="24"/>
        </w:rPr>
        <w:t>, v. 19, n. 4, p. 28-47, 2024.</w:t>
      </w:r>
    </w:p>
    <w:p w14:paraId="7E6AF33D" w14:textId="77777777" w:rsidR="008532E1" w:rsidRPr="008532E1" w:rsidRDefault="008532E1" w:rsidP="008532E1">
      <w:pPr>
        <w:ind w:left="240"/>
        <w:rPr>
          <w:rFonts w:eastAsiaTheme="minorEastAsia"/>
          <w:color w:val="1B1C1D"/>
          <w:sz w:val="24"/>
          <w:szCs w:val="24"/>
        </w:rPr>
      </w:pPr>
    </w:p>
    <w:p w14:paraId="7C0ADAAF" w14:textId="77777777" w:rsidR="008C3BD5" w:rsidRDefault="008C3BD5" w:rsidP="008532E1">
      <w:pPr>
        <w:ind w:left="240"/>
        <w:rPr>
          <w:rFonts w:eastAsiaTheme="minorEastAsia"/>
          <w:color w:val="1B1C1D"/>
          <w:sz w:val="24"/>
          <w:szCs w:val="24"/>
        </w:rPr>
      </w:pPr>
      <w:r w:rsidRPr="008532E1">
        <w:rPr>
          <w:rFonts w:eastAsiaTheme="minorEastAsia"/>
          <w:color w:val="1B1C1D"/>
          <w:sz w:val="24"/>
          <w:szCs w:val="24"/>
        </w:rPr>
        <w:t xml:space="preserve">BARACHO, </w:t>
      </w:r>
      <w:proofErr w:type="spellStart"/>
      <w:r w:rsidRPr="008532E1">
        <w:rPr>
          <w:rFonts w:eastAsiaTheme="minorEastAsia"/>
          <w:color w:val="1B1C1D"/>
          <w:sz w:val="24"/>
          <w:szCs w:val="24"/>
        </w:rPr>
        <w:t>Rosenara</w:t>
      </w:r>
      <w:proofErr w:type="spellEnd"/>
      <w:r w:rsidRPr="008532E1">
        <w:rPr>
          <w:rFonts w:eastAsiaTheme="minorEastAsia"/>
          <w:color w:val="1B1C1D"/>
          <w:sz w:val="24"/>
          <w:szCs w:val="24"/>
        </w:rPr>
        <w:t xml:space="preserve"> </w:t>
      </w:r>
      <w:proofErr w:type="spellStart"/>
      <w:r w:rsidRPr="008532E1">
        <w:rPr>
          <w:rFonts w:eastAsiaTheme="minorEastAsia"/>
          <w:color w:val="1B1C1D"/>
          <w:sz w:val="24"/>
          <w:szCs w:val="24"/>
        </w:rPr>
        <w:t>Jadna</w:t>
      </w:r>
      <w:proofErr w:type="spellEnd"/>
      <w:r w:rsidRPr="008532E1">
        <w:rPr>
          <w:rFonts w:eastAsiaTheme="minorEastAsia"/>
          <w:color w:val="1B1C1D"/>
          <w:sz w:val="24"/>
          <w:szCs w:val="24"/>
        </w:rPr>
        <w:t xml:space="preserve"> Ivo. </w:t>
      </w:r>
      <w:r w:rsidRPr="008532E1">
        <w:rPr>
          <w:rFonts w:eastAsiaTheme="minorEastAsia"/>
          <w:b/>
          <w:bCs/>
          <w:color w:val="1B1C1D"/>
          <w:sz w:val="24"/>
          <w:szCs w:val="24"/>
        </w:rPr>
        <w:t>Perspectivas dos fisioterapeutas sobre a atuação na Chikungunya no contexto da atenção primária</w:t>
      </w:r>
      <w:r w:rsidRPr="008532E1">
        <w:rPr>
          <w:rFonts w:eastAsiaTheme="minorEastAsia"/>
          <w:color w:val="1B1C1D"/>
          <w:sz w:val="24"/>
          <w:szCs w:val="24"/>
        </w:rPr>
        <w:t>. 2022.</w:t>
      </w:r>
    </w:p>
    <w:p w14:paraId="3E4852D8" w14:textId="77777777" w:rsidR="008532E1" w:rsidRPr="008532E1" w:rsidRDefault="008532E1" w:rsidP="008532E1">
      <w:pPr>
        <w:ind w:left="240"/>
        <w:rPr>
          <w:rFonts w:eastAsiaTheme="minorEastAsia"/>
          <w:color w:val="1B1C1D"/>
          <w:sz w:val="24"/>
          <w:szCs w:val="24"/>
        </w:rPr>
      </w:pPr>
    </w:p>
    <w:p w14:paraId="47747046" w14:textId="77777777" w:rsidR="008C3BD5" w:rsidRDefault="008C3BD5" w:rsidP="008532E1">
      <w:pPr>
        <w:ind w:left="240"/>
        <w:rPr>
          <w:rFonts w:eastAsiaTheme="minorEastAsia"/>
          <w:color w:val="1B1C1D"/>
          <w:sz w:val="24"/>
          <w:szCs w:val="24"/>
        </w:rPr>
      </w:pPr>
      <w:r w:rsidRPr="008532E1">
        <w:rPr>
          <w:rFonts w:eastAsiaTheme="minorEastAsia"/>
          <w:color w:val="1B1C1D"/>
          <w:sz w:val="24"/>
          <w:szCs w:val="24"/>
        </w:rPr>
        <w:t xml:space="preserve">DA FONSECA SALIM, Julia </w:t>
      </w:r>
      <w:proofErr w:type="spellStart"/>
      <w:r w:rsidRPr="008532E1">
        <w:rPr>
          <w:rFonts w:eastAsiaTheme="minorEastAsia"/>
          <w:color w:val="1B1C1D"/>
          <w:sz w:val="24"/>
          <w:szCs w:val="24"/>
        </w:rPr>
        <w:t>Wamser</w:t>
      </w:r>
      <w:proofErr w:type="spellEnd"/>
      <w:r w:rsidRPr="008532E1">
        <w:rPr>
          <w:rFonts w:eastAsiaTheme="minorEastAsia"/>
          <w:color w:val="1B1C1D"/>
          <w:sz w:val="24"/>
          <w:szCs w:val="24"/>
        </w:rPr>
        <w:t xml:space="preserve"> et al. Prevenção e tratamento da dengue: uma revisão integrativa. </w:t>
      </w:r>
      <w:r w:rsidRPr="008532E1">
        <w:rPr>
          <w:rFonts w:eastAsiaTheme="minorEastAsia"/>
          <w:b/>
          <w:bCs/>
          <w:color w:val="1B1C1D"/>
          <w:sz w:val="24"/>
          <w:szCs w:val="24"/>
        </w:rPr>
        <w:t xml:space="preserve">Revista Científica da Escola Estadual de Saúde Pública de Goiás </w:t>
      </w:r>
      <w:r w:rsidRPr="008532E1">
        <w:rPr>
          <w:rFonts w:eastAsiaTheme="minorEastAsia"/>
          <w:color w:val="1B1C1D"/>
          <w:sz w:val="24"/>
          <w:szCs w:val="24"/>
        </w:rPr>
        <w:t>Cândido Santiago, v. 11, p. 1-8 11b2, 2025.</w:t>
      </w:r>
    </w:p>
    <w:p w14:paraId="2745A39C" w14:textId="77777777" w:rsidR="008532E1" w:rsidRPr="008532E1" w:rsidRDefault="008532E1" w:rsidP="008532E1">
      <w:pPr>
        <w:ind w:left="240"/>
        <w:rPr>
          <w:rFonts w:eastAsiaTheme="minorEastAsia"/>
          <w:color w:val="1B1C1D"/>
          <w:sz w:val="24"/>
          <w:szCs w:val="24"/>
        </w:rPr>
      </w:pPr>
    </w:p>
    <w:p w14:paraId="5903FB47" w14:textId="77777777" w:rsidR="008C3BD5" w:rsidRDefault="008C3BD5" w:rsidP="008532E1">
      <w:pPr>
        <w:ind w:left="240"/>
        <w:rPr>
          <w:rFonts w:eastAsiaTheme="minorEastAsia"/>
          <w:color w:val="1B1C1D"/>
          <w:sz w:val="24"/>
          <w:szCs w:val="24"/>
        </w:rPr>
      </w:pPr>
      <w:r w:rsidRPr="008532E1">
        <w:rPr>
          <w:rFonts w:eastAsiaTheme="minorEastAsia"/>
          <w:color w:val="1B1C1D"/>
          <w:sz w:val="24"/>
          <w:szCs w:val="24"/>
        </w:rPr>
        <w:t xml:space="preserve">DE LIMA, Maria Eduarda Pereira; CORREIA, Maria Eduarda de Souza Leão. PERCEPÇÕES MULTIPROFISSIONAIS NA PROMOÇÃO DA SAÚDE E PREVENÇÃO DE ARBOVIROSES SOB À LUZ DA TEORIA AMBIENTALISTA DE FLORENCE NIGHTINGALE. </w:t>
      </w:r>
      <w:r w:rsidRPr="008532E1">
        <w:rPr>
          <w:rFonts w:eastAsiaTheme="minorEastAsia"/>
          <w:b/>
          <w:bCs/>
          <w:color w:val="1B1C1D"/>
          <w:sz w:val="24"/>
          <w:szCs w:val="24"/>
        </w:rPr>
        <w:t>Revista Eletrônica da Estácio Recife</w:t>
      </w:r>
      <w:r w:rsidRPr="008532E1">
        <w:rPr>
          <w:rFonts w:eastAsiaTheme="minorEastAsia"/>
          <w:color w:val="1B1C1D"/>
          <w:sz w:val="24"/>
          <w:szCs w:val="24"/>
        </w:rPr>
        <w:t>, v. 13, n. 1, p. 379-392, 2026.</w:t>
      </w:r>
    </w:p>
    <w:p w14:paraId="31995AE7" w14:textId="77777777" w:rsidR="008532E1" w:rsidRPr="008532E1" w:rsidRDefault="008532E1" w:rsidP="008532E1">
      <w:pPr>
        <w:ind w:left="240"/>
        <w:rPr>
          <w:rFonts w:eastAsiaTheme="minorEastAsia"/>
          <w:color w:val="1B1C1D"/>
          <w:sz w:val="24"/>
          <w:szCs w:val="24"/>
        </w:rPr>
      </w:pPr>
    </w:p>
    <w:p w14:paraId="4E5E9000" w14:textId="3B78D7D2" w:rsidR="001323BF" w:rsidRDefault="001323BF" w:rsidP="008532E1">
      <w:pPr>
        <w:ind w:left="240"/>
        <w:rPr>
          <w:color w:val="222222"/>
          <w:sz w:val="24"/>
          <w:szCs w:val="24"/>
          <w:shd w:val="clear" w:color="auto" w:fill="FFFFFF"/>
        </w:rPr>
      </w:pPr>
      <w:r w:rsidRPr="008532E1">
        <w:rPr>
          <w:color w:val="222222"/>
          <w:sz w:val="24"/>
          <w:szCs w:val="24"/>
          <w:shd w:val="clear" w:color="auto" w:fill="FFFFFF"/>
        </w:rPr>
        <w:t>DOS SANTOS GOMES, Maria Valdeci; AMORIM, Patrícia Brandão. ASSISTÊNCIA FISIOTERAPÊUTICA NAS QUEIXAS OSTEOARTICULARES APRESENTADAS EM PACIENTES PORTADORES DE CHIKUNGUNYA EM NANUQUE-MG.</w:t>
      </w:r>
      <w:r w:rsidRPr="008532E1">
        <w:rPr>
          <w:rStyle w:val="apple-converted-space"/>
          <w:color w:val="222222"/>
          <w:sz w:val="24"/>
          <w:szCs w:val="24"/>
          <w:shd w:val="clear" w:color="auto" w:fill="FFFFFF"/>
        </w:rPr>
        <w:t> </w:t>
      </w:r>
      <w:r w:rsidRPr="008532E1">
        <w:rPr>
          <w:b/>
          <w:bCs/>
          <w:color w:val="222222"/>
          <w:sz w:val="24"/>
          <w:szCs w:val="24"/>
        </w:rPr>
        <w:t>RECIMA21-Revista Científica Multidisciplinar-ISSN 2675-6218</w:t>
      </w:r>
      <w:r w:rsidRPr="008532E1">
        <w:rPr>
          <w:color w:val="222222"/>
          <w:sz w:val="24"/>
          <w:szCs w:val="24"/>
          <w:shd w:val="clear" w:color="auto" w:fill="FFFFFF"/>
        </w:rPr>
        <w:t>, v. 2, n. 9, p. e29711-e29711, 2021.</w:t>
      </w:r>
    </w:p>
    <w:p w14:paraId="56984163" w14:textId="77777777" w:rsidR="008532E1" w:rsidRPr="008532E1" w:rsidRDefault="008532E1" w:rsidP="008532E1">
      <w:pPr>
        <w:ind w:left="240"/>
        <w:rPr>
          <w:rFonts w:eastAsiaTheme="minorEastAsia"/>
          <w:color w:val="1B1C1D"/>
          <w:sz w:val="24"/>
          <w:szCs w:val="24"/>
        </w:rPr>
      </w:pPr>
    </w:p>
    <w:p w14:paraId="08CBC86F" w14:textId="77777777" w:rsidR="008C3BD5" w:rsidRDefault="008C3BD5" w:rsidP="008532E1">
      <w:pPr>
        <w:ind w:left="240"/>
        <w:rPr>
          <w:rFonts w:eastAsiaTheme="minorEastAsia"/>
          <w:color w:val="1B1C1D"/>
          <w:sz w:val="24"/>
          <w:szCs w:val="24"/>
        </w:rPr>
      </w:pPr>
      <w:r w:rsidRPr="008532E1">
        <w:rPr>
          <w:rFonts w:eastAsiaTheme="minorEastAsia"/>
          <w:color w:val="1B1C1D"/>
          <w:sz w:val="24"/>
          <w:szCs w:val="24"/>
        </w:rPr>
        <w:t xml:space="preserve">GOMES, Juliana </w:t>
      </w:r>
      <w:proofErr w:type="spellStart"/>
      <w:r w:rsidRPr="008532E1">
        <w:rPr>
          <w:rFonts w:eastAsiaTheme="minorEastAsia"/>
          <w:color w:val="1B1C1D"/>
          <w:sz w:val="24"/>
          <w:szCs w:val="24"/>
        </w:rPr>
        <w:t>Arquimim</w:t>
      </w:r>
      <w:proofErr w:type="spellEnd"/>
      <w:r w:rsidRPr="008532E1">
        <w:rPr>
          <w:rFonts w:eastAsiaTheme="minorEastAsia"/>
          <w:color w:val="1B1C1D"/>
          <w:sz w:val="24"/>
          <w:szCs w:val="24"/>
        </w:rPr>
        <w:t xml:space="preserve"> et al. COMUNICAÇÃO DIGITAL EM SAÚDE APLICADA ÀS ARBOVIROSES.</w:t>
      </w:r>
    </w:p>
    <w:p w14:paraId="77DB688D" w14:textId="77777777" w:rsidR="008532E1" w:rsidRPr="008532E1" w:rsidRDefault="008532E1" w:rsidP="008532E1">
      <w:pPr>
        <w:ind w:left="240"/>
        <w:rPr>
          <w:rFonts w:eastAsiaTheme="minorEastAsia"/>
          <w:color w:val="1B1C1D"/>
          <w:sz w:val="24"/>
          <w:szCs w:val="24"/>
        </w:rPr>
      </w:pPr>
    </w:p>
    <w:p w14:paraId="521DD40E" w14:textId="71C7A554" w:rsidR="00204DE6" w:rsidRDefault="008C3BD5" w:rsidP="008532E1">
      <w:pPr>
        <w:ind w:left="240"/>
        <w:rPr>
          <w:color w:val="000000"/>
        </w:rPr>
      </w:pPr>
      <w:r w:rsidRPr="008532E1">
        <w:rPr>
          <w:rFonts w:eastAsiaTheme="minorEastAsia"/>
          <w:color w:val="1B1C1D"/>
          <w:sz w:val="24"/>
          <w:szCs w:val="24"/>
        </w:rPr>
        <w:lastRenderedPageBreak/>
        <w:t xml:space="preserve">NASCIMENTO, </w:t>
      </w:r>
      <w:proofErr w:type="spellStart"/>
      <w:r w:rsidRPr="008532E1">
        <w:rPr>
          <w:rFonts w:eastAsiaTheme="minorEastAsia"/>
          <w:color w:val="1B1C1D"/>
          <w:sz w:val="24"/>
          <w:szCs w:val="24"/>
        </w:rPr>
        <w:t>Luis</w:t>
      </w:r>
      <w:proofErr w:type="spellEnd"/>
      <w:r w:rsidRPr="008532E1">
        <w:rPr>
          <w:rFonts w:eastAsiaTheme="minorEastAsia"/>
          <w:color w:val="1B1C1D"/>
          <w:sz w:val="24"/>
          <w:szCs w:val="24"/>
        </w:rPr>
        <w:t xml:space="preserve"> Fernando et al. EDUCAÇÃO EM SAÚDE COMO ESTRATÉGIA DE PREVENÇÃO E CONTROLE DA DENGUE NA COMUNIDADE. </w:t>
      </w:r>
      <w:r w:rsidRPr="008532E1">
        <w:rPr>
          <w:rFonts w:eastAsiaTheme="minorEastAsia"/>
          <w:b/>
          <w:bCs/>
          <w:color w:val="1B1C1D"/>
          <w:sz w:val="24"/>
          <w:szCs w:val="24"/>
        </w:rPr>
        <w:t>Caderno de ciências e saúde do semiárido</w:t>
      </w:r>
      <w:r w:rsidRPr="008532E1">
        <w:rPr>
          <w:rFonts w:eastAsiaTheme="minorEastAsia"/>
          <w:color w:val="1B1C1D"/>
          <w:sz w:val="24"/>
          <w:szCs w:val="24"/>
        </w:rPr>
        <w:t>, v. 2, n. 1, 2026.</w:t>
      </w:r>
    </w:p>
    <w:sectPr w:rsidR="00204DE6" w:rsidSect="008532E1">
      <w:headerReference w:type="default" r:id="rId6"/>
      <w:footerReference w:type="default" r:id="rId7"/>
      <w:pgSz w:w="11906" w:h="16840"/>
      <w:pgMar w:top="2268"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806FD" w14:textId="77777777" w:rsidR="00E704BC" w:rsidRDefault="00E704BC">
      <w:r>
        <w:separator/>
      </w:r>
    </w:p>
  </w:endnote>
  <w:endnote w:type="continuationSeparator" w:id="0">
    <w:p w14:paraId="5D3F6D03" w14:textId="77777777" w:rsidR="00E704BC" w:rsidRDefault="00E70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8F3BCB6-05FA-4346-918B-88B85E4BE648}"/>
  </w:font>
  <w:font w:name="Cambria">
    <w:panose1 w:val="02040503050406030204"/>
    <w:charset w:val="00"/>
    <w:family w:val="roman"/>
    <w:pitch w:val="variable"/>
    <w:sig w:usb0="E00006FF" w:usb1="420024FF" w:usb2="02000000" w:usb3="00000000" w:csb0="0000019F" w:csb1="00000000"/>
    <w:embedRegular r:id="rId2" w:fontKey="{6AF64F99-D6AB-4E84-9859-A70B639E4C9B}"/>
    <w:embedBold r:id="rId3" w:fontKey="{1B8CB113-70AC-4898-9DEC-B77D224CB8B7}"/>
  </w:font>
  <w:font w:name=".AppleSystemUIFont">
    <w:altName w:val="Cambria"/>
    <w:charset w:val="00"/>
    <w:family w:val="roman"/>
    <w:pitch w:val="default"/>
  </w:font>
  <w:font w:name=".SFUI-Regular">
    <w:altName w:val="Cambria"/>
    <w:charset w:val="00"/>
    <w:family w:val="roman"/>
    <w:pitch w:val="default"/>
  </w:font>
  <w:font w:name=".SFUI-Semibold">
    <w:altName w:val="Cambria"/>
    <w:charset w:val="00"/>
    <w:family w:val="roman"/>
    <w:pitch w:val="default"/>
  </w:font>
  <w:font w:name="Aptos">
    <w:charset w:val="00"/>
    <w:family w:val="swiss"/>
    <w:pitch w:val="variable"/>
    <w:sig w:usb0="20000287" w:usb1="00000003" w:usb2="00000000" w:usb3="00000000" w:csb0="0000019F" w:csb1="00000000"/>
    <w:embedRegular r:id="rId4" w:fontKey="{A92A54B1-FD40-4B35-B2C0-A0EFF1E8B9ED}"/>
  </w:font>
  <w:font w:name="Calibri">
    <w:panose1 w:val="020F0502020204030204"/>
    <w:charset w:val="00"/>
    <w:family w:val="swiss"/>
    <w:pitch w:val="variable"/>
    <w:sig w:usb0="E4002EFF" w:usb1="C200ACFF" w:usb2="00000009" w:usb3="00000000" w:csb0="000001FF" w:csb1="00000000"/>
    <w:embedRegular r:id="rId5" w:fontKey="{C6CAEB77-4721-4CEA-81A2-53B90C6FEE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C76B8" w14:textId="77777777" w:rsidR="00204DE6" w:rsidRDefault="00081697">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420A2BD6" wp14:editId="1B408AA9">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33C34A02" w14:textId="77777777" w:rsidR="00204DE6" w:rsidRDefault="00204DE6">
    <w:pPr>
      <w:pBdr>
        <w:top w:val="nil"/>
        <w:left w:val="nil"/>
        <w:bottom w:val="nil"/>
        <w:right w:val="nil"/>
        <w:between w:val="nil"/>
      </w:pBdr>
      <w:tabs>
        <w:tab w:val="center" w:pos="4252"/>
        <w:tab w:val="right" w:pos="8504"/>
      </w:tabs>
      <w:ind w:hanging="1418"/>
      <w:rPr>
        <w:color w:val="000000"/>
      </w:rPr>
    </w:pPr>
  </w:p>
  <w:p w14:paraId="65FB0E68" w14:textId="77777777" w:rsidR="00204DE6" w:rsidRDefault="00204DE6">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D0F34" w14:textId="77777777" w:rsidR="00E704BC" w:rsidRDefault="00E704BC">
      <w:r>
        <w:separator/>
      </w:r>
    </w:p>
  </w:footnote>
  <w:footnote w:type="continuationSeparator" w:id="0">
    <w:p w14:paraId="61731EE4" w14:textId="77777777" w:rsidR="00E704BC" w:rsidRDefault="00E704BC">
      <w:r>
        <w:continuationSeparator/>
      </w:r>
    </w:p>
  </w:footnote>
  <w:footnote w:id="1">
    <w:p w14:paraId="507DEC0F" w14:textId="11957F4C" w:rsidR="008532E1" w:rsidRPr="008532E1" w:rsidRDefault="008532E1" w:rsidP="008532E1">
      <w:pPr>
        <w:pBdr>
          <w:top w:val="nil"/>
          <w:left w:val="nil"/>
          <w:bottom w:val="nil"/>
          <w:right w:val="nil"/>
          <w:between w:val="nil"/>
        </w:pBdr>
        <w:rPr>
          <w:color w:val="000000"/>
          <w:sz w:val="18"/>
          <w:szCs w:val="18"/>
        </w:rPr>
      </w:pPr>
      <w:proofErr w:type="gramStart"/>
      <w:r w:rsidRPr="008532E1">
        <w:rPr>
          <w:color w:val="000000"/>
          <w:sz w:val="18"/>
          <w:szCs w:val="18"/>
        </w:rPr>
        <w:t>¹Graduand</w:t>
      </w:r>
      <w:r w:rsidRPr="008532E1">
        <w:rPr>
          <w:color w:val="000000"/>
          <w:sz w:val="18"/>
          <w:szCs w:val="18"/>
        </w:rPr>
        <w:t>o</w:t>
      </w:r>
      <w:proofErr w:type="gramEnd"/>
      <w:r w:rsidRPr="008532E1">
        <w:rPr>
          <w:color w:val="000000"/>
          <w:sz w:val="18"/>
          <w:szCs w:val="18"/>
        </w:rPr>
        <w:t>(</w:t>
      </w:r>
      <w:r w:rsidRPr="008532E1">
        <w:rPr>
          <w:color w:val="000000"/>
          <w:sz w:val="18"/>
          <w:szCs w:val="18"/>
        </w:rPr>
        <w:t>a</w:t>
      </w:r>
      <w:r w:rsidRPr="008532E1">
        <w:rPr>
          <w:color w:val="000000"/>
          <w:sz w:val="18"/>
          <w:szCs w:val="18"/>
        </w:rPr>
        <w:t>)</w:t>
      </w:r>
      <w:r w:rsidRPr="008532E1">
        <w:rPr>
          <w:color w:val="000000"/>
          <w:sz w:val="18"/>
          <w:szCs w:val="18"/>
        </w:rPr>
        <w:t xml:space="preserve"> em Fisioterapia – </w:t>
      </w:r>
      <w:proofErr w:type="spellStart"/>
      <w:r w:rsidRPr="008532E1">
        <w:rPr>
          <w:color w:val="000000"/>
          <w:sz w:val="18"/>
          <w:szCs w:val="18"/>
        </w:rPr>
        <w:t>Unichrisfapi</w:t>
      </w:r>
      <w:proofErr w:type="spellEnd"/>
      <w:r w:rsidRPr="008532E1">
        <w:rPr>
          <w:color w:val="000000"/>
          <w:sz w:val="18"/>
          <w:szCs w:val="18"/>
        </w:rPr>
        <w:t xml:space="preserve">. Email: </w:t>
      </w:r>
      <w:r>
        <w:rPr>
          <w:color w:val="000000"/>
          <w:sz w:val="18"/>
          <w:szCs w:val="18"/>
        </w:rPr>
        <w:t>henricofrota15</w:t>
      </w:r>
      <w:r w:rsidRPr="008532E1">
        <w:rPr>
          <w:color w:val="000000"/>
          <w:sz w:val="18"/>
          <w:szCs w:val="18"/>
        </w:rPr>
        <w:t>@</w:t>
      </w:r>
      <w:r>
        <w:rPr>
          <w:color w:val="000000"/>
          <w:sz w:val="18"/>
          <w:szCs w:val="18"/>
        </w:rPr>
        <w:t>icloud.com</w:t>
      </w:r>
    </w:p>
    <w:p w14:paraId="71698ADA" w14:textId="09D5D2F8" w:rsidR="008C3BD5" w:rsidRDefault="008532E1" w:rsidP="008532E1">
      <w:pPr>
        <w:pStyle w:val="Textodenotaderodap"/>
        <w:rPr>
          <w:rFonts w:eastAsia="Times New Roman"/>
          <w:vertAlign w:val="superscript"/>
        </w:rPr>
      </w:pPr>
      <w:r w:rsidRPr="008532E1">
        <w:rPr>
          <w:color w:val="000000"/>
          <w:sz w:val="18"/>
          <w:szCs w:val="18"/>
        </w:rPr>
        <w:t>²Doutor em Biotecnologia (UFPI), Docente do Centro Universitário Chrisfapi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5487" w14:textId="77777777" w:rsidR="00204DE6" w:rsidRDefault="00081697">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4F891E52" wp14:editId="5A5D22BA">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DE6"/>
    <w:rsid w:val="0000547C"/>
    <w:rsid w:val="000142A6"/>
    <w:rsid w:val="000213DD"/>
    <w:rsid w:val="00045C38"/>
    <w:rsid w:val="0005350B"/>
    <w:rsid w:val="00081697"/>
    <w:rsid w:val="00081C16"/>
    <w:rsid w:val="00082ED2"/>
    <w:rsid w:val="00101A46"/>
    <w:rsid w:val="00122967"/>
    <w:rsid w:val="001323BF"/>
    <w:rsid w:val="00157E27"/>
    <w:rsid w:val="001D7F40"/>
    <w:rsid w:val="001F451B"/>
    <w:rsid w:val="001F7AA9"/>
    <w:rsid w:val="00203EEE"/>
    <w:rsid w:val="00204DE6"/>
    <w:rsid w:val="0021229D"/>
    <w:rsid w:val="0023385B"/>
    <w:rsid w:val="002E0E05"/>
    <w:rsid w:val="0035705F"/>
    <w:rsid w:val="0037024C"/>
    <w:rsid w:val="00371F25"/>
    <w:rsid w:val="00375C57"/>
    <w:rsid w:val="003870FC"/>
    <w:rsid w:val="00387309"/>
    <w:rsid w:val="003D040E"/>
    <w:rsid w:val="003E6B00"/>
    <w:rsid w:val="003F3D79"/>
    <w:rsid w:val="0040712C"/>
    <w:rsid w:val="004423BB"/>
    <w:rsid w:val="00454661"/>
    <w:rsid w:val="00470477"/>
    <w:rsid w:val="00480010"/>
    <w:rsid w:val="00494E0A"/>
    <w:rsid w:val="004A2581"/>
    <w:rsid w:val="004A503C"/>
    <w:rsid w:val="004B5F8E"/>
    <w:rsid w:val="00533868"/>
    <w:rsid w:val="0054684C"/>
    <w:rsid w:val="00597181"/>
    <w:rsid w:val="005C0C85"/>
    <w:rsid w:val="005E1BA9"/>
    <w:rsid w:val="00602837"/>
    <w:rsid w:val="00634157"/>
    <w:rsid w:val="00662AC7"/>
    <w:rsid w:val="00664F2A"/>
    <w:rsid w:val="00673CF5"/>
    <w:rsid w:val="00692358"/>
    <w:rsid w:val="006A3512"/>
    <w:rsid w:val="006E66D6"/>
    <w:rsid w:val="00700B8F"/>
    <w:rsid w:val="00717468"/>
    <w:rsid w:val="00732673"/>
    <w:rsid w:val="0074002C"/>
    <w:rsid w:val="00763790"/>
    <w:rsid w:val="007659F9"/>
    <w:rsid w:val="00772EF0"/>
    <w:rsid w:val="00777650"/>
    <w:rsid w:val="007D2C60"/>
    <w:rsid w:val="008347B4"/>
    <w:rsid w:val="00850432"/>
    <w:rsid w:val="008532E1"/>
    <w:rsid w:val="00870EB0"/>
    <w:rsid w:val="00887CE5"/>
    <w:rsid w:val="008A0AD7"/>
    <w:rsid w:val="008B2265"/>
    <w:rsid w:val="008C3BD5"/>
    <w:rsid w:val="008C7DE1"/>
    <w:rsid w:val="009005C0"/>
    <w:rsid w:val="00912172"/>
    <w:rsid w:val="00912F9C"/>
    <w:rsid w:val="009220D6"/>
    <w:rsid w:val="0095082D"/>
    <w:rsid w:val="00950F24"/>
    <w:rsid w:val="009579EF"/>
    <w:rsid w:val="00974D70"/>
    <w:rsid w:val="009D0135"/>
    <w:rsid w:val="009D7732"/>
    <w:rsid w:val="00A129A2"/>
    <w:rsid w:val="00A258D1"/>
    <w:rsid w:val="00A313AA"/>
    <w:rsid w:val="00A341FD"/>
    <w:rsid w:val="00A3693B"/>
    <w:rsid w:val="00AB0683"/>
    <w:rsid w:val="00B06D9B"/>
    <w:rsid w:val="00B21F21"/>
    <w:rsid w:val="00B2497F"/>
    <w:rsid w:val="00B342EB"/>
    <w:rsid w:val="00B476EB"/>
    <w:rsid w:val="00B820ED"/>
    <w:rsid w:val="00BC3F5A"/>
    <w:rsid w:val="00BE2C30"/>
    <w:rsid w:val="00C16370"/>
    <w:rsid w:val="00C46B7D"/>
    <w:rsid w:val="00C6308C"/>
    <w:rsid w:val="00C82F4A"/>
    <w:rsid w:val="00C9709C"/>
    <w:rsid w:val="00CA1F47"/>
    <w:rsid w:val="00CD5DB0"/>
    <w:rsid w:val="00CF5677"/>
    <w:rsid w:val="00D104C0"/>
    <w:rsid w:val="00D24C22"/>
    <w:rsid w:val="00D337B1"/>
    <w:rsid w:val="00D356F6"/>
    <w:rsid w:val="00D41250"/>
    <w:rsid w:val="00D41305"/>
    <w:rsid w:val="00D64152"/>
    <w:rsid w:val="00D6606A"/>
    <w:rsid w:val="00D705B0"/>
    <w:rsid w:val="00D73849"/>
    <w:rsid w:val="00D76659"/>
    <w:rsid w:val="00DA677B"/>
    <w:rsid w:val="00DA705A"/>
    <w:rsid w:val="00DF0663"/>
    <w:rsid w:val="00DF3E9F"/>
    <w:rsid w:val="00E25547"/>
    <w:rsid w:val="00E704BC"/>
    <w:rsid w:val="00EA6C8C"/>
    <w:rsid w:val="00EB2E92"/>
    <w:rsid w:val="00EE3E5B"/>
    <w:rsid w:val="00F03BEB"/>
    <w:rsid w:val="00F22FB6"/>
    <w:rsid w:val="00F245B6"/>
    <w:rsid w:val="00F736B6"/>
    <w:rsid w:val="00F73D83"/>
    <w:rsid w:val="00FB28A6"/>
    <w:rsid w:val="00FD3D65"/>
    <w:rsid w:val="00FE0275"/>
    <w:rsid w:val="00FE4F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1723A"/>
  <w15:docId w15:val="{5ED5D3D4-DE92-9345-8247-A8DDA2473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odap">
    <w:name w:val="footer"/>
    <w:basedOn w:val="Normal"/>
    <w:link w:val="RodapChar"/>
    <w:uiPriority w:val="99"/>
    <w:unhideWhenUsed/>
    <w:rsid w:val="008C3BD5"/>
    <w:pPr>
      <w:tabs>
        <w:tab w:val="center" w:pos="4252"/>
        <w:tab w:val="right" w:pos="8504"/>
      </w:tabs>
    </w:pPr>
    <w:rPr>
      <w:rFonts w:eastAsiaTheme="minorEastAsia"/>
    </w:rPr>
  </w:style>
  <w:style w:type="character" w:customStyle="1" w:styleId="RodapChar">
    <w:name w:val="Rodapé Char"/>
    <w:basedOn w:val="Fontepargpadro"/>
    <w:link w:val="Rodap"/>
    <w:uiPriority w:val="99"/>
    <w:rsid w:val="008C3BD5"/>
    <w:rPr>
      <w:rFonts w:eastAsiaTheme="minorEastAsia"/>
    </w:rPr>
  </w:style>
  <w:style w:type="paragraph" w:styleId="Textodenotaderodap">
    <w:name w:val="footnote text"/>
    <w:basedOn w:val="Normal"/>
    <w:link w:val="TextodenotaderodapChar"/>
    <w:uiPriority w:val="99"/>
    <w:semiHidden/>
    <w:unhideWhenUsed/>
    <w:rsid w:val="008C3BD5"/>
    <w:rPr>
      <w:rFonts w:eastAsiaTheme="minorEastAsia"/>
      <w:sz w:val="20"/>
      <w:szCs w:val="20"/>
    </w:rPr>
  </w:style>
  <w:style w:type="character" w:customStyle="1" w:styleId="TextodenotaderodapChar">
    <w:name w:val="Texto de nota de rodapé Char"/>
    <w:basedOn w:val="Fontepargpadro"/>
    <w:link w:val="Textodenotaderodap"/>
    <w:uiPriority w:val="99"/>
    <w:semiHidden/>
    <w:rsid w:val="008C3BD5"/>
    <w:rPr>
      <w:rFonts w:eastAsiaTheme="minorEastAsia"/>
      <w:sz w:val="20"/>
      <w:szCs w:val="20"/>
    </w:rPr>
  </w:style>
  <w:style w:type="character" w:styleId="Refdenotaderodap">
    <w:name w:val="footnote reference"/>
    <w:basedOn w:val="Fontepargpadro"/>
    <w:uiPriority w:val="99"/>
    <w:semiHidden/>
    <w:unhideWhenUsed/>
    <w:rsid w:val="008C3BD5"/>
    <w:rPr>
      <w:vertAlign w:val="superscript"/>
    </w:rPr>
  </w:style>
  <w:style w:type="table" w:customStyle="1" w:styleId="TabeladeGrade4-nfase11">
    <w:name w:val="Tabela de Grade 4 - Ênfase 11"/>
    <w:basedOn w:val="Tabelanormal"/>
    <w:next w:val="Tabelanormal"/>
    <w:uiPriority w:val="49"/>
    <w:rsid w:val="008C3BD5"/>
    <w:rPr>
      <w:rFonts w:asciiTheme="minorHAnsi" w:eastAsiaTheme="minorHAnsi" w:hAnsiTheme="minorHAnsi" w:cstheme="minorBidi"/>
      <w:sz w:val="24"/>
      <w:szCs w:val="24"/>
      <w:lang w:eastAsia="en-US"/>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paragraph" w:customStyle="1" w:styleId="s6">
    <w:name w:val="s6"/>
    <w:basedOn w:val="Normal"/>
    <w:rsid w:val="008C3BD5"/>
    <w:pPr>
      <w:spacing w:before="100" w:beforeAutospacing="1" w:after="100" w:afterAutospacing="1"/>
    </w:pPr>
    <w:rPr>
      <w:rFonts w:eastAsiaTheme="minorEastAsia"/>
      <w:sz w:val="24"/>
      <w:szCs w:val="24"/>
    </w:rPr>
  </w:style>
  <w:style w:type="character" w:customStyle="1" w:styleId="s4">
    <w:name w:val="s4"/>
    <w:basedOn w:val="Fontepargpadro"/>
    <w:rsid w:val="008C3BD5"/>
  </w:style>
  <w:style w:type="character" w:customStyle="1" w:styleId="apple-converted-space">
    <w:name w:val="apple-converted-space"/>
    <w:basedOn w:val="Fontepargpadro"/>
    <w:rsid w:val="008C3BD5"/>
  </w:style>
  <w:style w:type="character" w:customStyle="1" w:styleId="s5">
    <w:name w:val="s5"/>
    <w:basedOn w:val="Fontepargpadro"/>
    <w:rsid w:val="008C3BD5"/>
  </w:style>
  <w:style w:type="paragraph" w:customStyle="1" w:styleId="s8">
    <w:name w:val="s8"/>
    <w:basedOn w:val="Normal"/>
    <w:rsid w:val="008C3BD5"/>
    <w:pPr>
      <w:spacing w:before="100" w:beforeAutospacing="1" w:after="100" w:afterAutospacing="1"/>
    </w:pPr>
    <w:rPr>
      <w:rFonts w:eastAsiaTheme="minorEastAsia"/>
      <w:sz w:val="24"/>
      <w:szCs w:val="24"/>
    </w:rPr>
  </w:style>
  <w:style w:type="paragraph" w:customStyle="1" w:styleId="p1">
    <w:name w:val="p1"/>
    <w:basedOn w:val="Normal"/>
    <w:rsid w:val="008C3BD5"/>
    <w:pPr>
      <w:ind w:left="348" w:hanging="108"/>
    </w:pPr>
    <w:rPr>
      <w:rFonts w:ascii=".AppleSystemUIFont" w:eastAsiaTheme="minorEastAsia" w:hAnsi=".AppleSystemUIFont"/>
      <w:color w:val="1B1C1D"/>
      <w:sz w:val="24"/>
      <w:szCs w:val="24"/>
    </w:rPr>
  </w:style>
  <w:style w:type="paragraph" w:customStyle="1" w:styleId="p2">
    <w:name w:val="p2"/>
    <w:basedOn w:val="Normal"/>
    <w:rsid w:val="008C3BD5"/>
    <w:pPr>
      <w:spacing w:before="126"/>
      <w:ind w:left="348" w:hanging="108"/>
    </w:pPr>
    <w:rPr>
      <w:rFonts w:ascii=".AppleSystemUIFont" w:eastAsiaTheme="minorEastAsia" w:hAnsi=".AppleSystemUIFont"/>
      <w:color w:val="1B1C1D"/>
      <w:sz w:val="24"/>
      <w:szCs w:val="24"/>
    </w:rPr>
  </w:style>
  <w:style w:type="character" w:customStyle="1" w:styleId="s1">
    <w:name w:val="s1"/>
    <w:basedOn w:val="Fontepargpadro"/>
    <w:rsid w:val="008C3BD5"/>
    <w:rPr>
      <w:rFonts w:ascii=".SFUI-Regular" w:hAnsi=".SFUI-Regular" w:hint="default"/>
      <w:b w:val="0"/>
      <w:bCs w:val="0"/>
      <w:i w:val="0"/>
      <w:iCs w:val="0"/>
      <w:sz w:val="24"/>
      <w:szCs w:val="24"/>
    </w:rPr>
  </w:style>
  <w:style w:type="character" w:customStyle="1" w:styleId="s2">
    <w:name w:val="s2"/>
    <w:basedOn w:val="Fontepargpadro"/>
    <w:rsid w:val="008C3BD5"/>
    <w:rPr>
      <w:rFonts w:ascii=".SFUI-Semibold" w:hAnsi=".SFUI-Semibold" w:hint="default"/>
      <w:b/>
      <w:bCs/>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2701</Words>
  <Characters>16506</Characters>
  <Application>Microsoft Office Word</Application>
  <DocSecurity>0</DocSecurity>
  <Lines>550</Lines>
  <Paragraphs>91</Paragraphs>
  <ScaleCrop>false</ScaleCrop>
  <Company/>
  <LinksUpToDate>false</LinksUpToDate>
  <CharactersWithSpaces>19116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Guilherme Lopes</cp:lastModifiedBy>
  <cp:revision>3</cp:revision>
  <dcterms:created xsi:type="dcterms:W3CDTF">2026-09-01T16:12:00Z</dcterms:created>
  <dcterms:modified xsi:type="dcterms:W3CDTF">2026-09-01T18:29:00Z</dcterms:modified>
</cp:coreProperties>
</file>