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BD" w:rsidRDefault="00037BBD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TOXOPLASMOSE GESTACIONAL NO ESTADO DO PARÁ ENTRE 2019 E 2022</w:t>
      </w: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spacing w:line="360" w:lineRule="auto"/>
        <w:jc w:val="center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Maria Eduarda Rodrigues Figueiredo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>; Patricia Cristina Sousa de Freitas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; Beatriz Fernanda Cardoso Sarquis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; Lucas Araújo Ferreira</w:t>
      </w:r>
      <w:r>
        <w:rPr>
          <w:color w:val="000000"/>
          <w:sz w:val="24"/>
          <w:szCs w:val="24"/>
          <w:vertAlign w:val="superscript"/>
        </w:rPr>
        <w:t>4</w:t>
      </w:r>
    </w:p>
    <w:p w:rsidR="00037BBD" w:rsidRDefault="00037BB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spacing w:after="240"/>
        <w:jc w:val="center"/>
        <w:rPr>
          <w:color w:val="0070C0"/>
          <w:sz w:val="24"/>
          <w:szCs w:val="24"/>
          <w:u w:val="single"/>
        </w:rPr>
      </w:pP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spacing w:after="24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1 </w:t>
      </w:r>
      <w:r>
        <w:rPr>
          <w:color w:val="000000"/>
          <w:sz w:val="20"/>
          <w:szCs w:val="20"/>
        </w:rPr>
        <w:t>Graduanda de Biomedicina. Centro Universitário Fibra. drodriguess24@yahoo.com</w:t>
      </w: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spacing w:before="240" w:after="24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 xml:space="preserve">2 </w:t>
      </w:r>
      <w:r>
        <w:rPr>
          <w:color w:val="000000"/>
          <w:sz w:val="20"/>
          <w:szCs w:val="20"/>
        </w:rPr>
        <w:t>Graduanda de Biomedicina. Centro Universitário Fibra. patysouza1215@gmail.com</w:t>
      </w: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spacing w:before="24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 xml:space="preserve"> Graduanda de Biomedicina. Centro Universitário Fibra. beatrizsarquis@gmail.com</w:t>
      </w: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spacing w:before="24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4</w:t>
      </w:r>
      <w:r>
        <w:rPr>
          <w:color w:val="000000"/>
          <w:sz w:val="20"/>
          <w:szCs w:val="20"/>
        </w:rPr>
        <w:t xml:space="preserve"> Mestre em Biologia de Agentes Infecciosos e Parasitários. Universidade Federal do Pará (UFPA). lucas.parasitologist@gmail.com</w:t>
      </w:r>
    </w:p>
    <w:p w:rsidR="00037BBD" w:rsidRDefault="00037BB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spacing w:line="360" w:lineRule="auto"/>
        <w:rPr>
          <w:color w:val="FF0000"/>
          <w:sz w:val="24"/>
          <w:szCs w:val="24"/>
          <w:u w:val="single"/>
        </w:rPr>
      </w:pPr>
    </w:p>
    <w:p w:rsidR="00037BBD" w:rsidRDefault="00037BBD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500"/>
        </w:tabs>
        <w:spacing w:line="360" w:lineRule="auto"/>
        <w:rPr>
          <w:color w:val="FF0000"/>
          <w:sz w:val="24"/>
          <w:szCs w:val="24"/>
          <w:u w:val="single"/>
        </w:rPr>
      </w:pP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spacing w:after="24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RESUMO</w:t>
      </w: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>Introdução:</w:t>
      </w:r>
      <w:r>
        <w:rPr>
          <w:color w:val="000000"/>
          <w:sz w:val="24"/>
          <w:szCs w:val="24"/>
        </w:rPr>
        <w:t xml:space="preserve"> A Toxoplasmose é uma zoonose mundial causada pelo parasito intracelular obrigatório </w:t>
      </w:r>
      <w:r>
        <w:rPr>
          <w:i/>
          <w:color w:val="000000"/>
          <w:sz w:val="24"/>
          <w:szCs w:val="24"/>
        </w:rPr>
        <w:t>Toxoplasma gondii</w:t>
      </w:r>
      <w:r>
        <w:rPr>
          <w:color w:val="000000"/>
          <w:sz w:val="24"/>
          <w:szCs w:val="24"/>
        </w:rPr>
        <w:t>, podendo se manifestar em forma de doença sistêmica severa. A transmissão ocorre por penetração ativa através dos olhos e orofaringe, consumo de carne crua, ingestão de água ou hortaliças contaminadas, contato com gatos ou terra com presença da forma de o</w:t>
      </w:r>
      <w:r>
        <w:rPr>
          <w:color w:val="000000"/>
          <w:sz w:val="24"/>
          <w:szCs w:val="24"/>
        </w:rPr>
        <w:t xml:space="preserve">ocisto do parasito e de forma congênita. Sendo </w:t>
      </w:r>
      <w:r w:rsidR="00175D38">
        <w:rPr>
          <w:color w:val="000000"/>
          <w:sz w:val="24"/>
          <w:szCs w:val="24"/>
        </w:rPr>
        <w:t>a maioria das vezes relacionada à pacientes assintomáticos</w:t>
      </w:r>
      <w:r>
        <w:rPr>
          <w:color w:val="000000"/>
          <w:sz w:val="24"/>
          <w:szCs w:val="24"/>
        </w:rPr>
        <w:t xml:space="preserve">, a principal preocupação dessa infecção é sua ocorrência em gestantes. A Toxoplasmose Gestacional (TG) tem a capacidade de transmissão vertical, que </w:t>
      </w:r>
      <w:r>
        <w:rPr>
          <w:color w:val="000000"/>
          <w:sz w:val="24"/>
          <w:szCs w:val="24"/>
        </w:rPr>
        <w:t xml:space="preserve">leva a proeminentes probabilidades de óbito ou deformações graves no feto, constituindo um relevante problema de saúde pública. Na região norte foram notificados 5.204 casos nos últimos 4 anos, possuindo maior soroprevalência no estado do Pará (26,65%). </w:t>
      </w:r>
      <w:r>
        <w:rPr>
          <w:b/>
          <w:color w:val="000000"/>
          <w:sz w:val="24"/>
          <w:szCs w:val="24"/>
        </w:rPr>
        <w:t>Ob</w:t>
      </w:r>
      <w:r>
        <w:rPr>
          <w:b/>
          <w:color w:val="000000"/>
          <w:sz w:val="24"/>
          <w:szCs w:val="24"/>
        </w:rPr>
        <w:t xml:space="preserve">jetivo: </w:t>
      </w:r>
      <w:r>
        <w:rPr>
          <w:color w:val="000000"/>
          <w:sz w:val="24"/>
          <w:szCs w:val="24"/>
        </w:rPr>
        <w:t>Caracterizar a prevalência de notificações de casos da Toxoplasmose Gestacional entre 2019 e 2022 no estado do Pará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Metodologia: </w:t>
      </w:r>
      <w:r>
        <w:rPr>
          <w:color w:val="000000"/>
          <w:sz w:val="24"/>
          <w:szCs w:val="24"/>
        </w:rPr>
        <w:t>Estudo transversal descritivo, em que os dados foram obtidos a partir de notificações de casos de Toxoplasmose Adquiri</w:t>
      </w:r>
      <w:r>
        <w:rPr>
          <w:color w:val="000000"/>
          <w:sz w:val="24"/>
          <w:szCs w:val="24"/>
        </w:rPr>
        <w:t xml:space="preserve">da na gestação entre 2019 e 2022 no estado do Pará, com a faixa etária de 10 a 59 anos, </w:t>
      </w:r>
      <w:r>
        <w:rPr>
          <w:color w:val="000000"/>
          <w:sz w:val="24"/>
          <w:szCs w:val="24"/>
        </w:rPr>
        <w:lastRenderedPageBreak/>
        <w:t>incluídos no banco de dados do Sistema de Informação de Agravos de Notificação (SINAN), sendo coletada a variável de notificação de casos por: Ano, Faixa Etária, Escola</w:t>
      </w:r>
      <w:r>
        <w:rPr>
          <w:color w:val="000000"/>
          <w:sz w:val="24"/>
          <w:szCs w:val="24"/>
        </w:rPr>
        <w:t xml:space="preserve">ridade, Trimestre da Gestação e Critério de Diagnóstico. Os dados quantitativos foram analisados e planilhados com o programa Microsoft Excel 365. </w:t>
      </w:r>
      <w:r>
        <w:rPr>
          <w:b/>
          <w:color w:val="000000"/>
          <w:sz w:val="24"/>
          <w:szCs w:val="24"/>
        </w:rPr>
        <w:t xml:space="preserve">Resultados e Discussão: </w:t>
      </w:r>
      <w:r>
        <w:rPr>
          <w:color w:val="000000"/>
          <w:sz w:val="24"/>
          <w:szCs w:val="24"/>
        </w:rPr>
        <w:t>Obteve-se 1.387 casos para Toxoplasmose Gestacional. Destes, 2021 apresentou maior nú</w:t>
      </w:r>
      <w:r>
        <w:rPr>
          <w:color w:val="000000"/>
          <w:sz w:val="24"/>
          <w:szCs w:val="24"/>
        </w:rPr>
        <w:t xml:space="preserve">mero de registros, seguido de 2019, 2022 e 2020. Dos dados, a idade predominante está entre 20 e 39 anos, com 1004 casos. O diagnóstico no segundo trimestre da gestação apresentou maior número, com 378 casos (48,01%), similarmente ao método de diagnóstico </w:t>
      </w:r>
      <w:r>
        <w:rPr>
          <w:color w:val="000000"/>
          <w:sz w:val="24"/>
          <w:szCs w:val="24"/>
        </w:rPr>
        <w:t>laboratorial, sendo este o mais recorrente com 1066 casos (76,85%). Além disso, observou-se a prevalência de mulheres com ensino médio comple</w:t>
      </w:r>
      <w:r w:rsidR="00175D38">
        <w:rPr>
          <w:color w:val="000000"/>
          <w:sz w:val="24"/>
          <w:szCs w:val="24"/>
        </w:rPr>
        <w:t xml:space="preserve">to, com 422 casos (30,42%). Os </w:t>
      </w:r>
      <w:r>
        <w:rPr>
          <w:color w:val="000000"/>
          <w:sz w:val="24"/>
          <w:szCs w:val="24"/>
        </w:rPr>
        <w:t xml:space="preserve">dados encontrados concordam com a literatura, no qual observamos que a maioria dos </w:t>
      </w:r>
      <w:r>
        <w:rPr>
          <w:color w:val="000000"/>
          <w:sz w:val="24"/>
          <w:szCs w:val="24"/>
        </w:rPr>
        <w:t>portadores de TG são mulheres com idade predominante entre 20 e 39 anos. Além disso, menos da metade obtiveram diagnóstico no primeiro trimestre, provavelmente devido ao inicio tardio do pré-natal, o que dificulta o tratamento da gestante. Dados da literat</w:t>
      </w:r>
      <w:r>
        <w:rPr>
          <w:color w:val="000000"/>
          <w:sz w:val="24"/>
          <w:szCs w:val="24"/>
        </w:rPr>
        <w:t xml:space="preserve">ura demonstram que a escolaridade é um fator de risco importante, devido </w:t>
      </w:r>
      <w:r w:rsidR="00175D38">
        <w:rPr>
          <w:color w:val="000000"/>
          <w:sz w:val="24"/>
          <w:szCs w:val="24"/>
        </w:rPr>
        <w:t>à</w:t>
      </w:r>
      <w:r>
        <w:rPr>
          <w:color w:val="000000"/>
          <w:sz w:val="24"/>
          <w:szCs w:val="24"/>
        </w:rPr>
        <w:t xml:space="preserve"> menor escolaridade evidenciar um grau menor de informação, porém, nessa análise não se evidenciou associação significativa, visto que autores afirmam que ter concluído o ensino médi</w:t>
      </w:r>
      <w:r>
        <w:rPr>
          <w:color w:val="000000"/>
          <w:sz w:val="24"/>
          <w:szCs w:val="24"/>
        </w:rPr>
        <w:t xml:space="preserve">o é um fator de proteção contra a soropositividade do </w:t>
      </w:r>
      <w:r>
        <w:rPr>
          <w:i/>
          <w:color w:val="000000"/>
          <w:sz w:val="24"/>
          <w:szCs w:val="24"/>
        </w:rPr>
        <w:t>Toxoplasma gondii</w:t>
      </w:r>
      <w:r>
        <w:rPr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Conclusão: </w:t>
      </w:r>
      <w:r>
        <w:rPr>
          <w:color w:val="000000"/>
          <w:sz w:val="24"/>
          <w:szCs w:val="24"/>
        </w:rPr>
        <w:t>A TG continua sendo um problema grave de saúde pública, que devido as suas complicações possíveis no futuro denotam a necessidade de implementação de medidas preventivas ma</w:t>
      </w:r>
      <w:r>
        <w:rPr>
          <w:color w:val="000000"/>
          <w:sz w:val="24"/>
          <w:szCs w:val="24"/>
        </w:rPr>
        <w:t xml:space="preserve">is eficientes, por meio de políticas públicas de saúde e educação, que abordem questões econômicas e sociais. </w:t>
      </w:r>
    </w:p>
    <w:p w:rsidR="00037BBD" w:rsidRDefault="00037BB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spacing w:after="24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</w:rPr>
        <w:t xml:space="preserve">Toxoplasmose Gestacional; Toxoplasmose; Gestação; Zoonoses. </w:t>
      </w: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spacing w:after="24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Área de Temática do Evento</w:t>
      </w:r>
      <w:r>
        <w:rPr>
          <w:color w:val="000000"/>
          <w:sz w:val="24"/>
          <w:szCs w:val="24"/>
        </w:rPr>
        <w:t>: Parasitologia.</w:t>
      </w: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REFERÊNCIAS:</w:t>
      </w: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CAPOBIANGO, J</w:t>
      </w:r>
      <w:r>
        <w:rPr>
          <w:sz w:val="20"/>
          <w:szCs w:val="20"/>
        </w:rPr>
        <w:t>. D.</w:t>
      </w:r>
      <w:r>
        <w:rPr>
          <w:color w:val="000000"/>
          <w:sz w:val="20"/>
          <w:szCs w:val="20"/>
        </w:rPr>
        <w:t xml:space="preserve"> et al</w:t>
      </w:r>
      <w:r>
        <w:rPr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Toxoplasmose adquirida na gestação e toxoplasmose congênita: uma abordagem prática na notificação da doença.</w:t>
      </w:r>
      <w:r>
        <w:rPr>
          <w:b/>
          <w:color w:val="000000"/>
          <w:sz w:val="20"/>
          <w:szCs w:val="20"/>
        </w:rPr>
        <w:t> Epidemiol. Serv. Saúde</w:t>
      </w:r>
      <w:r>
        <w:rPr>
          <w:color w:val="000000"/>
          <w:sz w:val="20"/>
          <w:szCs w:val="20"/>
        </w:rPr>
        <w:t>,  Brasília ,  v. 25, n. 1, p. 187-194,  mar.  2016 .   Disponível em &lt;</w:t>
      </w:r>
      <w:r>
        <w:rPr>
          <w:color w:val="000000"/>
          <w:sz w:val="20"/>
          <w:szCs w:val="20"/>
        </w:rPr>
        <w:t>http://scielo.iec.gov.br/scielo.php?script=sci_arttext&amp;pid=S1679-</w:t>
      </w:r>
      <w:r>
        <w:rPr>
          <w:color w:val="000000"/>
          <w:sz w:val="20"/>
          <w:szCs w:val="20"/>
        </w:rPr>
        <w:lastRenderedPageBreak/>
        <w:t>49742016000100020&amp;lng=pt&amp;nrm=iso&gt;. acessos em  01  nov.  2023.</w:t>
      </w:r>
    </w:p>
    <w:p w:rsidR="00037BBD" w:rsidRDefault="00037BB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color w:val="000000"/>
          <w:sz w:val="20"/>
          <w:szCs w:val="20"/>
        </w:rPr>
      </w:pP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MELLO, C. O.</w:t>
      </w:r>
      <w:r>
        <w:rPr>
          <w:sz w:val="20"/>
          <w:szCs w:val="20"/>
        </w:rPr>
        <w:t xml:space="preserve"> et al.</w:t>
      </w:r>
      <w:r>
        <w:rPr>
          <w:color w:val="000000"/>
          <w:sz w:val="20"/>
          <w:szCs w:val="20"/>
        </w:rPr>
        <w:t xml:space="preserve"> PERFIL EPIDEMIOLÓGICO DA TOXOPLASMOSE EM GESTANTES E SOROPREVALÊNCIA NACIONAL. </w:t>
      </w:r>
      <w:r>
        <w:rPr>
          <w:b/>
          <w:color w:val="000000"/>
          <w:sz w:val="20"/>
          <w:szCs w:val="20"/>
        </w:rPr>
        <w:t>Arquivos Catarinenses de Med</w:t>
      </w:r>
      <w:r>
        <w:rPr>
          <w:b/>
          <w:color w:val="000000"/>
          <w:sz w:val="20"/>
          <w:szCs w:val="20"/>
        </w:rPr>
        <w:t>icina</w:t>
      </w:r>
      <w:r>
        <w:rPr>
          <w:color w:val="000000"/>
          <w:sz w:val="20"/>
          <w:szCs w:val="20"/>
        </w:rPr>
        <w:t>, </w:t>
      </w:r>
      <w:r>
        <w:rPr>
          <w:i/>
          <w:color w:val="000000"/>
          <w:sz w:val="20"/>
          <w:szCs w:val="20"/>
        </w:rPr>
        <w:t>[S. l.]</w:t>
      </w:r>
      <w:r>
        <w:rPr>
          <w:color w:val="000000"/>
          <w:sz w:val="20"/>
          <w:szCs w:val="20"/>
        </w:rPr>
        <w:t>, v. 51, n. 01, p. 71–88, 2022. Disponível em: https://revista.acm.org.br/index.php/arquivos/article/view/966. Acesso em: 01 nov. 2023.</w:t>
      </w:r>
    </w:p>
    <w:p w:rsidR="00037BBD" w:rsidRDefault="00037BB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color w:val="000000"/>
          <w:sz w:val="20"/>
          <w:szCs w:val="20"/>
        </w:rPr>
      </w:pPr>
    </w:p>
    <w:p w:rsidR="00037BBD" w:rsidRDefault="00EE308B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rFonts w:ascii="Arial" w:eastAsia="Arial" w:hAnsi="Arial" w:cs="Arial"/>
          <w:color w:val="0070C0"/>
          <w:sz w:val="18"/>
          <w:szCs w:val="18"/>
        </w:rPr>
      </w:pPr>
      <w:r>
        <w:rPr>
          <w:color w:val="000000"/>
          <w:sz w:val="20"/>
          <w:szCs w:val="20"/>
        </w:rPr>
        <w:t>MARGONATO, F. B. et al.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Toxoplasmose na gestação: diagnóstico, tratamento e importância de protocolo clín</w:t>
      </w:r>
      <w:r>
        <w:rPr>
          <w:color w:val="000000"/>
          <w:sz w:val="20"/>
          <w:szCs w:val="20"/>
        </w:rPr>
        <w:t xml:space="preserve">ico. </w:t>
      </w:r>
      <w:r>
        <w:rPr>
          <w:b/>
          <w:color w:val="000000"/>
          <w:sz w:val="20"/>
          <w:szCs w:val="20"/>
        </w:rPr>
        <w:t>Revista Brasileira de Saúde Materno Infantil</w:t>
      </w:r>
      <w:r>
        <w:rPr>
          <w:color w:val="000000"/>
          <w:sz w:val="20"/>
          <w:szCs w:val="20"/>
        </w:rPr>
        <w:t>, v. 7, n. 4, p. 381–386, out. 2007</w:t>
      </w:r>
      <w:r>
        <w:rPr>
          <w:color w:val="333333"/>
          <w:sz w:val="20"/>
          <w:szCs w:val="20"/>
        </w:rPr>
        <w:t>.</w:t>
      </w:r>
    </w:p>
    <w:p w:rsidR="00037BBD" w:rsidRDefault="00037BB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color w:val="0070C0"/>
          <w:sz w:val="24"/>
          <w:szCs w:val="24"/>
        </w:rPr>
      </w:pPr>
    </w:p>
    <w:p w:rsidR="00037BBD" w:rsidRDefault="00037BBD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500"/>
        </w:tabs>
        <w:rPr>
          <w:color w:val="000000"/>
        </w:rPr>
      </w:pPr>
    </w:p>
    <w:p w:rsidR="00037BBD" w:rsidRDefault="00037BBD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037BBD" w:rsidSect="00037BB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08B" w:rsidRDefault="00EE308B" w:rsidP="00037BBD">
      <w:r>
        <w:separator/>
      </w:r>
    </w:p>
  </w:endnote>
  <w:endnote w:type="continuationSeparator" w:id="1">
    <w:p w:rsidR="00EE308B" w:rsidRDefault="00EE308B" w:rsidP="0003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BD" w:rsidRDefault="00037BBD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 w:rsidRPr="00037BBD">
      <w:pict>
        <v:rect id="Retângulo 2" o:spid="_x0000_s2050" style="position:absolute;margin-left:5pt;margin-top:5pt;width:78.6pt;height:24pt;z-index:251658240;visibility:visible;mso-position-horizontal-relative:margin" fillcolor="white [3201]" stroked="f">
          <v:textbox inset="2.53958mm,1.2694mm,2.53958mm,1.2694mm">
            <w:txbxContent>
              <w:p w:rsidR="003959A7" w:rsidRDefault="00EE308B">
                <w:pPr>
                  <w:pStyle w:val="normal0"/>
                  <w:jc w:val="center"/>
                  <w:textDirection w:val="btLr"/>
                </w:pPr>
                <w:r>
                  <w:rPr>
                    <w:b/>
                    <w:color w:val="385623"/>
                  </w:rPr>
                  <w:t>Realização</w:t>
                </w:r>
              </w:p>
            </w:txbxContent>
          </v:textbox>
          <w10:wrap anchorx="margin"/>
        </v:rect>
      </w:pict>
    </w:r>
    <w:r w:rsidRPr="00037BBD">
      <w:pict>
        <v:rect id="Retângulo 1" o:spid="_x0000_s2049" style="position:absolute;margin-left:342pt;margin-top:4pt;width:73.2pt;height:24pt;z-index:251659264;visibility:visible;mso-position-horizontal-relative:margin" fillcolor="white [3201]" stroked="f">
          <v:textbox inset="2.53958mm,1.2694mm,2.53958mm,1.2694mm">
            <w:txbxContent>
              <w:p w:rsidR="003959A7" w:rsidRDefault="00EE308B">
                <w:pPr>
                  <w:pStyle w:val="normal0"/>
                  <w:jc w:val="center"/>
                  <w:textDirection w:val="btLr"/>
                </w:pPr>
                <w:r>
                  <w:rPr>
                    <w:b/>
                    <w:color w:val="385623"/>
                  </w:rPr>
                  <w:t>Apoio</w:t>
                </w:r>
              </w:p>
            </w:txbxContent>
          </v:textbox>
          <w10:wrap anchorx="margin"/>
        </v:rect>
      </w:pict>
    </w:r>
  </w:p>
  <w:p w:rsidR="00037BBD" w:rsidRDefault="00EE308B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-188591</wp:posOffset>
          </wp:positionH>
          <wp:positionV relativeFrom="paragraph">
            <wp:posOffset>181610</wp:posOffset>
          </wp:positionV>
          <wp:extent cx="687463" cy="628285"/>
          <wp:effectExtent l="0" t="0" r="0" b="0"/>
          <wp:wrapNone/>
          <wp:docPr id="5" name="image5.png" descr="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iagrama&#10;&#10;Descrição gerada automaticamente"/>
                  <pic:cNvPicPr preferRelativeResize="0"/>
                </pic:nvPicPr>
                <pic:blipFill>
                  <a:blip r:embed="rId1"/>
                  <a:srcRect l="33442" t="13156" r="31983" b="9287"/>
                  <a:stretch>
                    <a:fillRect/>
                  </a:stretch>
                </pic:blipFill>
                <pic:spPr>
                  <a:xfrm>
                    <a:off x="0" y="0"/>
                    <a:ext cx="687463" cy="628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565785</wp:posOffset>
          </wp:positionH>
          <wp:positionV relativeFrom="paragraph">
            <wp:posOffset>166370</wp:posOffset>
          </wp:positionV>
          <wp:extent cx="655320" cy="65532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7BBD" w:rsidRDefault="00EE308B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-83816</wp:posOffset>
          </wp:positionH>
          <wp:positionV relativeFrom="paragraph">
            <wp:posOffset>137160</wp:posOffset>
          </wp:positionV>
          <wp:extent cx="998220" cy="460375"/>
          <wp:effectExtent l="0" t="0" r="0" b="0"/>
          <wp:wrapNone/>
          <wp:docPr id="6" name="image6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Logotipo, nome da empresa&#10;&#10;Descrição gerada automaticamente"/>
                  <pic:cNvPicPr preferRelativeResize="0"/>
                </pic:nvPicPr>
                <pic:blipFill>
                  <a:blip r:embed="rId3"/>
                  <a:srcRect l="20038" t="30040" r="23378" b="27537"/>
                  <a:stretch>
                    <a:fillRect/>
                  </a:stretch>
                </pic:blipFill>
                <pic:spPr>
                  <a:xfrm>
                    <a:off x="0" y="0"/>
                    <a:ext cx="998220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86360</wp:posOffset>
          </wp:positionV>
          <wp:extent cx="678180" cy="583565"/>
          <wp:effectExtent l="0" t="0" r="0" b="0"/>
          <wp:wrapNone/>
          <wp:docPr id="1" name="image1.png" descr="Uma imagem contendo quar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quarto&#10;&#10;Descrição gerada automaticamente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583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3766184</wp:posOffset>
          </wp:positionH>
          <wp:positionV relativeFrom="paragraph">
            <wp:posOffset>44450</wp:posOffset>
          </wp:positionV>
          <wp:extent cx="640080" cy="664845"/>
          <wp:effectExtent l="0" t="0" r="0" b="0"/>
          <wp:wrapNone/>
          <wp:docPr id="2" name="image2.png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Ícone&#10;&#10;Descrição gerada automaticamente"/>
                  <pic:cNvPicPr preferRelativeResize="0"/>
                </pic:nvPicPr>
                <pic:blipFill>
                  <a:blip r:embed="rId5"/>
                  <a:srcRect l="14418" r="14336"/>
                  <a:stretch>
                    <a:fillRect/>
                  </a:stretch>
                </pic:blipFill>
                <pic:spPr>
                  <a:xfrm>
                    <a:off x="0" y="0"/>
                    <a:ext cx="640080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7BBD" w:rsidRDefault="00037BBD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08B" w:rsidRDefault="00EE308B" w:rsidP="00037BBD">
      <w:r>
        <w:separator/>
      </w:r>
    </w:p>
  </w:footnote>
  <w:footnote w:type="continuationSeparator" w:id="1">
    <w:p w:rsidR="00EE308B" w:rsidRDefault="00EE308B" w:rsidP="00037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BD" w:rsidRDefault="00EE308B">
    <w:pPr>
      <w:pStyle w:val="normal0"/>
      <w:widowControl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inline distT="0" distB="0" distL="0" distR="0">
          <wp:extent cx="2860065" cy="1202395"/>
          <wp:effectExtent l="0" t="0" r="0" b="0"/>
          <wp:docPr id="4" name="image4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tipo, nome da empresa&#10;&#10;Descrição gerada automaticamente"/>
                  <pic:cNvPicPr preferRelativeResize="0"/>
                </pic:nvPicPr>
                <pic:blipFill>
                  <a:blip r:embed="rId1"/>
                  <a:srcRect l="1320" t="13641" r="1442" b="13680"/>
                  <a:stretch>
                    <a:fillRect/>
                  </a:stretch>
                </pic:blipFill>
                <pic:spPr>
                  <a:xfrm>
                    <a:off x="0" y="0"/>
                    <a:ext cx="2860065" cy="1202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37BBD"/>
    <w:rsid w:val="00037BBD"/>
    <w:rsid w:val="00175D38"/>
    <w:rsid w:val="00EE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37BB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037BB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037BB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037BB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0"/>
    <w:next w:val="normal0"/>
    <w:rsid w:val="00037BB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0"/>
    <w:next w:val="normal0"/>
    <w:rsid w:val="00037BB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37BBD"/>
  </w:style>
  <w:style w:type="table" w:customStyle="1" w:styleId="TableNormal">
    <w:name w:val="Table Normal"/>
    <w:rsid w:val="00037B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37BBD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037BB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5D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5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714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maria.figueiredo</cp:lastModifiedBy>
  <cp:revision>2</cp:revision>
  <dcterms:created xsi:type="dcterms:W3CDTF">2023-11-09T17:07:00Z</dcterms:created>
  <dcterms:modified xsi:type="dcterms:W3CDTF">2023-11-09T17:20:00Z</dcterms:modified>
</cp:coreProperties>
</file>