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750F" w14:textId="52FC3EC6" w:rsidR="00216486" w:rsidRDefault="00F10A2E" w:rsidP="00613E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2E">
        <w:rPr>
          <w:rFonts w:ascii="Times New Roman" w:hAnsi="Times New Roman" w:cs="Times New Roman"/>
          <w:b/>
          <w:sz w:val="24"/>
          <w:szCs w:val="24"/>
        </w:rPr>
        <w:t xml:space="preserve">O ATIVISMO JUDICIAL DA CORTE INTERNACIONAL DE JUSTIÇA NA EVOLUÇĀO DA TUTELA DOS DIREITOS HUMANOS: UMA </w:t>
      </w:r>
      <w:r w:rsidR="005D5BC6" w:rsidRPr="00F10A2E">
        <w:rPr>
          <w:rFonts w:ascii="Times New Roman" w:hAnsi="Times New Roman" w:cs="Times New Roman"/>
          <w:b/>
          <w:sz w:val="24"/>
          <w:szCs w:val="24"/>
        </w:rPr>
        <w:t>ANÁLISE DO</w:t>
      </w:r>
      <w:r w:rsidRPr="00F10A2E">
        <w:rPr>
          <w:rFonts w:ascii="Times New Roman" w:hAnsi="Times New Roman" w:cs="Times New Roman"/>
          <w:b/>
          <w:sz w:val="24"/>
          <w:szCs w:val="24"/>
        </w:rPr>
        <w:t xml:space="preserve"> CASO ROHINGYA</w:t>
      </w:r>
    </w:p>
    <w:p w14:paraId="65693E6B" w14:textId="77777777" w:rsidR="00216486" w:rsidRDefault="00216486" w:rsidP="00613E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31EC8" w14:textId="61D02119" w:rsidR="00216486" w:rsidRPr="00216486" w:rsidRDefault="00216486" w:rsidP="00613E7B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Ellen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Akemy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KUROCE</w:t>
      </w:r>
      <w:r w:rsidR="00DA3131">
        <w:rPr>
          <w:rStyle w:val="Refdenotaderodap"/>
          <w:rFonts w:ascii="Times New Roman" w:hAnsi="Times New Roman" w:cs="Times New Roman"/>
          <w:bCs/>
          <w:i/>
          <w:iCs/>
          <w:sz w:val="24"/>
          <w:szCs w:val="24"/>
        </w:rPr>
        <w:footnoteReference w:id="1"/>
      </w:r>
    </w:p>
    <w:p w14:paraId="6235B7F5" w14:textId="77777777" w:rsidR="00073C6E" w:rsidRPr="00216486" w:rsidRDefault="00073C6E" w:rsidP="00613E7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B46AA5" w14:textId="77777777" w:rsidR="00966456" w:rsidRPr="00966456" w:rsidRDefault="00966456" w:rsidP="009664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2431F" w14:textId="105779ED" w:rsidR="006B1FC7" w:rsidRDefault="00966456" w:rsidP="0058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resumo </w:t>
      </w:r>
      <w:r w:rsidR="007416C4">
        <w:rPr>
          <w:rFonts w:ascii="Times New Roman" w:hAnsi="Times New Roman" w:cs="Times New Roman"/>
          <w:sz w:val="24"/>
          <w:szCs w:val="24"/>
        </w:rPr>
        <w:t>se propõe a</w:t>
      </w:r>
      <w:r>
        <w:rPr>
          <w:rFonts w:ascii="Times New Roman" w:hAnsi="Times New Roman" w:cs="Times New Roman"/>
          <w:sz w:val="24"/>
          <w:szCs w:val="24"/>
        </w:rPr>
        <w:t xml:space="preserve"> analisar a</w:t>
      </w:r>
      <w:r w:rsidRPr="00966456">
        <w:rPr>
          <w:rFonts w:ascii="Times New Roman" w:hAnsi="Times New Roman" w:cs="Times New Roman"/>
          <w:sz w:val="24"/>
          <w:szCs w:val="24"/>
        </w:rPr>
        <w:t xml:space="preserve"> recente decisão da Corte Internacional de Justiça no caso Aplicação da Convenção para a Prevenção e Punição do Crime de Genocídio (Gâmbia v. Myanmar)</w:t>
      </w:r>
      <w:r w:rsidR="007416C4">
        <w:rPr>
          <w:rFonts w:ascii="Times New Roman" w:hAnsi="Times New Roman" w:cs="Times New Roman"/>
          <w:sz w:val="24"/>
          <w:szCs w:val="24"/>
        </w:rPr>
        <w:t xml:space="preserve">. O </w:t>
      </w:r>
      <w:r w:rsidR="007416C4" w:rsidRPr="007416C4">
        <w:rPr>
          <w:rFonts w:ascii="Times New Roman" w:hAnsi="Times New Roman" w:cs="Times New Roman"/>
          <w:i/>
          <w:iCs/>
          <w:sz w:val="24"/>
          <w:szCs w:val="24"/>
        </w:rPr>
        <w:t>decisum</w:t>
      </w:r>
      <w:r w:rsidR="007416C4">
        <w:rPr>
          <w:rFonts w:ascii="Times New Roman" w:hAnsi="Times New Roman" w:cs="Times New Roman"/>
          <w:sz w:val="24"/>
          <w:szCs w:val="24"/>
        </w:rPr>
        <w:t xml:space="preserve"> e</w:t>
      </w:r>
      <w:r w:rsidRPr="00966456">
        <w:rPr>
          <w:rFonts w:ascii="Times New Roman" w:hAnsi="Times New Roman" w:cs="Times New Roman"/>
          <w:sz w:val="24"/>
          <w:szCs w:val="24"/>
        </w:rPr>
        <w:t>xprime a mudança do foco do Direito Internacional de assuntos meramente estatais para assuntos que envolvem a justiça social com relação a pessoas em situação de vulnerabilidade, o que representa uma ampliação do escopo da proteção dos Direitos Humanos e a expansão dos sujeitos de Direito Internacional para incluir o ser humano como prioridade.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F52FB1">
        <w:rPr>
          <w:rFonts w:ascii="Times New Roman" w:hAnsi="Times New Roman" w:cs="Times New Roman"/>
          <w:sz w:val="24"/>
          <w:szCs w:val="24"/>
        </w:rPr>
        <w:t>Em</w:t>
      </w:r>
      <w:r w:rsidR="00EA0B1A">
        <w:rPr>
          <w:rFonts w:ascii="Times New Roman" w:hAnsi="Times New Roman" w:cs="Times New Roman"/>
          <w:sz w:val="24"/>
          <w:szCs w:val="24"/>
        </w:rPr>
        <w:t xml:space="preserve"> 23 de </w:t>
      </w:r>
      <w:r w:rsidR="00511789">
        <w:rPr>
          <w:rFonts w:ascii="Times New Roman" w:hAnsi="Times New Roman" w:cs="Times New Roman"/>
          <w:sz w:val="24"/>
          <w:szCs w:val="24"/>
        </w:rPr>
        <w:t>j</w:t>
      </w:r>
      <w:r w:rsidR="00EA0B1A">
        <w:rPr>
          <w:rFonts w:ascii="Times New Roman" w:hAnsi="Times New Roman" w:cs="Times New Roman"/>
          <w:sz w:val="24"/>
          <w:szCs w:val="24"/>
        </w:rPr>
        <w:t xml:space="preserve">aneiro </w:t>
      </w:r>
      <w:r w:rsidR="00F52FB1">
        <w:rPr>
          <w:rFonts w:ascii="Times New Roman" w:hAnsi="Times New Roman" w:cs="Times New Roman"/>
          <w:sz w:val="24"/>
          <w:szCs w:val="24"/>
        </w:rPr>
        <w:t>de 2020, a Corte Internacional de Justiça</w:t>
      </w:r>
      <w:r w:rsidR="00870A2C">
        <w:rPr>
          <w:rFonts w:ascii="Times New Roman" w:hAnsi="Times New Roman" w:cs="Times New Roman"/>
          <w:sz w:val="24"/>
          <w:szCs w:val="24"/>
        </w:rPr>
        <w:t xml:space="preserve"> decidiu acerca das medidas provisórias no caso</w:t>
      </w:r>
      <w:r w:rsidR="00E75987">
        <w:rPr>
          <w:rFonts w:ascii="Times New Roman" w:hAnsi="Times New Roman" w:cs="Times New Roman"/>
          <w:sz w:val="24"/>
          <w:szCs w:val="24"/>
        </w:rPr>
        <w:t xml:space="preserve"> </w:t>
      </w:r>
      <w:r w:rsidR="00511789">
        <w:rPr>
          <w:rFonts w:ascii="Times New Roman" w:hAnsi="Times New Roman" w:cs="Times New Roman"/>
          <w:sz w:val="24"/>
          <w:szCs w:val="24"/>
        </w:rPr>
        <w:t xml:space="preserve">envolvendo a </w:t>
      </w:r>
      <w:r w:rsidR="00E75987" w:rsidRPr="007416C4">
        <w:rPr>
          <w:rFonts w:ascii="Times New Roman" w:hAnsi="Times New Roman" w:cs="Times New Roman"/>
          <w:sz w:val="24"/>
          <w:szCs w:val="24"/>
        </w:rPr>
        <w:t>G</w:t>
      </w:r>
      <w:r w:rsidR="00906971" w:rsidRPr="007416C4">
        <w:rPr>
          <w:rFonts w:ascii="Times New Roman" w:hAnsi="Times New Roman" w:cs="Times New Roman"/>
          <w:sz w:val="24"/>
          <w:szCs w:val="24"/>
        </w:rPr>
        <w:t>â</w:t>
      </w:r>
      <w:r w:rsidR="00E75987" w:rsidRPr="007416C4">
        <w:rPr>
          <w:rFonts w:ascii="Times New Roman" w:hAnsi="Times New Roman" w:cs="Times New Roman"/>
          <w:sz w:val="24"/>
          <w:szCs w:val="24"/>
        </w:rPr>
        <w:t xml:space="preserve">mbia </w:t>
      </w:r>
      <w:r w:rsidR="00511789">
        <w:rPr>
          <w:rFonts w:ascii="Times New Roman" w:hAnsi="Times New Roman" w:cs="Times New Roman"/>
          <w:sz w:val="24"/>
          <w:szCs w:val="24"/>
        </w:rPr>
        <w:t>e o</w:t>
      </w:r>
      <w:r w:rsidR="00E75987" w:rsidRPr="007416C4">
        <w:rPr>
          <w:rFonts w:ascii="Times New Roman" w:hAnsi="Times New Roman" w:cs="Times New Roman"/>
          <w:sz w:val="24"/>
          <w:szCs w:val="24"/>
        </w:rPr>
        <w:t xml:space="preserve"> Myanmar,</w:t>
      </w:r>
      <w:r w:rsidR="00E75987">
        <w:rPr>
          <w:rFonts w:ascii="Times New Roman" w:hAnsi="Times New Roman" w:cs="Times New Roman"/>
          <w:sz w:val="24"/>
          <w:szCs w:val="24"/>
        </w:rPr>
        <w:t xml:space="preserve"> concordando com sua jurisdição </w:t>
      </w:r>
      <w:r w:rsidR="00E75987" w:rsidRPr="00E75987">
        <w:rPr>
          <w:rFonts w:ascii="Times New Roman" w:hAnsi="Times New Roman" w:cs="Times New Roman"/>
          <w:i/>
          <w:iCs/>
          <w:sz w:val="24"/>
          <w:szCs w:val="24"/>
        </w:rPr>
        <w:t>prima facie</w:t>
      </w:r>
      <w:r w:rsidR="00E75987">
        <w:rPr>
          <w:rFonts w:ascii="Times New Roman" w:hAnsi="Times New Roman" w:cs="Times New Roman"/>
          <w:sz w:val="24"/>
          <w:szCs w:val="24"/>
        </w:rPr>
        <w:t xml:space="preserve"> para decidir sobre os aspectos preliminares do caso</w:t>
      </w:r>
      <w:r w:rsidR="00D86B6F">
        <w:rPr>
          <w:rFonts w:ascii="Times New Roman" w:hAnsi="Times New Roman" w:cs="Times New Roman"/>
          <w:sz w:val="24"/>
          <w:szCs w:val="24"/>
        </w:rPr>
        <w:t xml:space="preserve"> e determinando que Myanmar</w:t>
      </w:r>
      <w:r w:rsidR="0040596C">
        <w:rPr>
          <w:rFonts w:ascii="Times New Roman" w:hAnsi="Times New Roman" w:cs="Times New Roman"/>
          <w:sz w:val="24"/>
          <w:szCs w:val="24"/>
        </w:rPr>
        <w:t xml:space="preserve"> garanta que seu corpo militar ou forças armadas irregulares </w:t>
      </w:r>
      <w:r w:rsidR="00511789">
        <w:rPr>
          <w:rFonts w:ascii="Times New Roman" w:hAnsi="Times New Roman" w:cs="Times New Roman"/>
          <w:sz w:val="24"/>
          <w:szCs w:val="24"/>
        </w:rPr>
        <w:t xml:space="preserve">não </w:t>
      </w:r>
      <w:r w:rsidR="0040596C">
        <w:rPr>
          <w:rFonts w:ascii="Times New Roman" w:hAnsi="Times New Roman" w:cs="Times New Roman"/>
          <w:sz w:val="24"/>
          <w:szCs w:val="24"/>
        </w:rPr>
        <w:t xml:space="preserve">cometam atos de genocídio ou </w:t>
      </w:r>
      <w:r w:rsidR="00511789">
        <w:rPr>
          <w:rFonts w:ascii="Times New Roman" w:hAnsi="Times New Roman" w:cs="Times New Roman"/>
          <w:sz w:val="24"/>
          <w:szCs w:val="24"/>
        </w:rPr>
        <w:t xml:space="preserve">não </w:t>
      </w:r>
      <w:r w:rsidR="0040596C">
        <w:rPr>
          <w:rFonts w:ascii="Times New Roman" w:hAnsi="Times New Roman" w:cs="Times New Roman"/>
          <w:sz w:val="24"/>
          <w:szCs w:val="24"/>
        </w:rPr>
        <w:t>conspire para cometer atos de genocídio.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F52FB1">
        <w:rPr>
          <w:rFonts w:ascii="Times New Roman" w:hAnsi="Times New Roman" w:cs="Times New Roman"/>
          <w:sz w:val="24"/>
          <w:szCs w:val="24"/>
        </w:rPr>
        <w:t xml:space="preserve">Acerca dos aspectos </w:t>
      </w:r>
      <w:r w:rsidR="00200133">
        <w:rPr>
          <w:rFonts w:ascii="Times New Roman" w:hAnsi="Times New Roman" w:cs="Times New Roman"/>
          <w:sz w:val="24"/>
          <w:szCs w:val="24"/>
        </w:rPr>
        <w:t xml:space="preserve">fáticos </w:t>
      </w:r>
      <w:r w:rsidR="00F52FB1">
        <w:rPr>
          <w:rFonts w:ascii="Times New Roman" w:hAnsi="Times New Roman" w:cs="Times New Roman"/>
          <w:sz w:val="24"/>
          <w:szCs w:val="24"/>
        </w:rPr>
        <w:t>que levaram a instauração desse procedimento</w:t>
      </w:r>
      <w:r w:rsidR="00C45720">
        <w:rPr>
          <w:rFonts w:ascii="Times New Roman" w:hAnsi="Times New Roman" w:cs="Times New Roman"/>
          <w:sz w:val="24"/>
          <w:szCs w:val="24"/>
        </w:rPr>
        <w:t xml:space="preserve"> em 11 de </w:t>
      </w:r>
      <w:r w:rsidR="00511789">
        <w:rPr>
          <w:rFonts w:ascii="Times New Roman" w:hAnsi="Times New Roman" w:cs="Times New Roman"/>
          <w:sz w:val="24"/>
          <w:szCs w:val="24"/>
        </w:rPr>
        <w:t>n</w:t>
      </w:r>
      <w:r w:rsidR="00C45720">
        <w:rPr>
          <w:rFonts w:ascii="Times New Roman" w:hAnsi="Times New Roman" w:cs="Times New Roman"/>
          <w:sz w:val="24"/>
          <w:szCs w:val="24"/>
        </w:rPr>
        <w:t>ovembro de 2019</w:t>
      </w:r>
      <w:r w:rsidR="00F52FB1">
        <w:rPr>
          <w:rFonts w:ascii="Times New Roman" w:hAnsi="Times New Roman" w:cs="Times New Roman"/>
          <w:sz w:val="24"/>
          <w:szCs w:val="24"/>
        </w:rPr>
        <w:t xml:space="preserve">, </w:t>
      </w:r>
      <w:r w:rsidR="009B55A1">
        <w:rPr>
          <w:rFonts w:ascii="Times New Roman" w:hAnsi="Times New Roman" w:cs="Times New Roman"/>
          <w:sz w:val="24"/>
          <w:szCs w:val="24"/>
        </w:rPr>
        <w:t xml:space="preserve">a Gâmbia alega perante a Corte Internacional de Justiça que, em </w:t>
      </w:r>
      <w:r w:rsidR="00511789">
        <w:rPr>
          <w:rFonts w:ascii="Times New Roman" w:hAnsi="Times New Roman" w:cs="Times New Roman"/>
          <w:sz w:val="24"/>
          <w:szCs w:val="24"/>
        </w:rPr>
        <w:t>o</w:t>
      </w:r>
      <w:r w:rsidR="009B55A1">
        <w:rPr>
          <w:rFonts w:ascii="Times New Roman" w:hAnsi="Times New Roman" w:cs="Times New Roman"/>
          <w:sz w:val="24"/>
          <w:szCs w:val="24"/>
        </w:rPr>
        <w:t>utubro de 2016, as forças militares de Myanmar espalharam operações de “limpeza</w:t>
      </w:r>
      <w:r w:rsidR="00511789">
        <w:rPr>
          <w:rFonts w:ascii="Times New Roman" w:hAnsi="Times New Roman" w:cs="Times New Roman"/>
          <w:sz w:val="24"/>
          <w:szCs w:val="24"/>
        </w:rPr>
        <w:t xml:space="preserve"> étnica</w:t>
      </w:r>
      <w:r w:rsidR="009B55A1">
        <w:rPr>
          <w:rFonts w:ascii="Times New Roman" w:hAnsi="Times New Roman" w:cs="Times New Roman"/>
          <w:sz w:val="24"/>
          <w:szCs w:val="24"/>
        </w:rPr>
        <w:t>”</w:t>
      </w:r>
      <w:r w:rsidR="00870A2C">
        <w:rPr>
          <w:rFonts w:ascii="Times New Roman" w:hAnsi="Times New Roman" w:cs="Times New Roman"/>
          <w:sz w:val="24"/>
          <w:szCs w:val="24"/>
        </w:rPr>
        <w:t xml:space="preserve"> contra o grupo </w:t>
      </w:r>
      <w:proofErr w:type="spellStart"/>
      <w:r w:rsidR="00870A2C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="00870A2C">
        <w:rPr>
          <w:rFonts w:ascii="Times New Roman" w:hAnsi="Times New Roman" w:cs="Times New Roman"/>
          <w:sz w:val="24"/>
          <w:szCs w:val="24"/>
        </w:rPr>
        <w:t xml:space="preserve">, cometendo crimes como assassinato em massa, estupro e outras formas de violência sexual, e iniciou a destruição sistemática de vilas por meio de incêndios, muitas vezes com pessoas dentro das casas incendiadas, com a intenção de destruir, em todo ou em parte, os </w:t>
      </w:r>
      <w:proofErr w:type="spellStart"/>
      <w:r w:rsidR="00870A2C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="00870A2C">
        <w:rPr>
          <w:rFonts w:ascii="Times New Roman" w:hAnsi="Times New Roman" w:cs="Times New Roman"/>
          <w:sz w:val="24"/>
          <w:szCs w:val="24"/>
        </w:rPr>
        <w:t>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870A2C">
        <w:rPr>
          <w:rFonts w:ascii="Times New Roman" w:hAnsi="Times New Roman" w:cs="Times New Roman"/>
          <w:sz w:val="24"/>
          <w:szCs w:val="24"/>
        </w:rPr>
        <w:t>Desde</w:t>
      </w:r>
      <w:r w:rsidR="0089538F">
        <w:rPr>
          <w:rFonts w:ascii="Times New Roman" w:hAnsi="Times New Roman" w:cs="Times New Roman"/>
          <w:sz w:val="24"/>
          <w:szCs w:val="24"/>
        </w:rPr>
        <w:t xml:space="preserve"> 2012</w:t>
      </w:r>
      <w:r w:rsidR="00DA7F23">
        <w:rPr>
          <w:rFonts w:ascii="Times New Roman" w:hAnsi="Times New Roman" w:cs="Times New Roman"/>
          <w:sz w:val="24"/>
          <w:szCs w:val="24"/>
        </w:rPr>
        <w:t xml:space="preserve">, a mídia denuncia as perseguições de Myanmar contra a população </w:t>
      </w:r>
      <w:proofErr w:type="spellStart"/>
      <w:r w:rsidR="00DA7F23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="00DA7F23">
        <w:rPr>
          <w:rFonts w:ascii="Times New Roman" w:hAnsi="Times New Roman" w:cs="Times New Roman"/>
          <w:sz w:val="24"/>
          <w:szCs w:val="24"/>
        </w:rPr>
        <w:t xml:space="preserve"> visando promover a “limpeza étnica” em seu território, promovendo atos de genocídio a fim de extingui</w:t>
      </w:r>
      <w:r w:rsidR="00C07CEB">
        <w:rPr>
          <w:rFonts w:ascii="Times New Roman" w:hAnsi="Times New Roman" w:cs="Times New Roman"/>
          <w:sz w:val="24"/>
          <w:szCs w:val="24"/>
        </w:rPr>
        <w:t>-los</w:t>
      </w:r>
      <w:r w:rsidR="00DA7F23">
        <w:rPr>
          <w:rFonts w:ascii="Times New Roman" w:hAnsi="Times New Roman" w:cs="Times New Roman"/>
          <w:sz w:val="24"/>
          <w:szCs w:val="24"/>
        </w:rPr>
        <w:t xml:space="preserve">. </w:t>
      </w:r>
      <w:r w:rsidR="00E75987">
        <w:rPr>
          <w:rFonts w:ascii="Times New Roman" w:hAnsi="Times New Roman" w:cs="Times New Roman"/>
          <w:sz w:val="24"/>
          <w:szCs w:val="24"/>
        </w:rPr>
        <w:t xml:space="preserve">O grupo </w:t>
      </w:r>
      <w:proofErr w:type="spellStart"/>
      <w:r w:rsidR="00E75987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="00E75987">
        <w:rPr>
          <w:rFonts w:ascii="Times New Roman" w:hAnsi="Times New Roman" w:cs="Times New Roman"/>
          <w:sz w:val="24"/>
          <w:szCs w:val="24"/>
        </w:rPr>
        <w:t xml:space="preserve"> é</w:t>
      </w:r>
      <w:r w:rsidR="0040596C">
        <w:rPr>
          <w:rFonts w:ascii="Times New Roman" w:hAnsi="Times New Roman" w:cs="Times New Roman"/>
          <w:sz w:val="24"/>
          <w:szCs w:val="24"/>
        </w:rPr>
        <w:t xml:space="preserve"> uma minoria muçulmana</w:t>
      </w:r>
      <w:r w:rsidR="00C07CEB" w:rsidRPr="00C07CEB">
        <w:rPr>
          <w:rFonts w:ascii="Times New Roman" w:hAnsi="Times New Roman" w:cs="Times New Roman"/>
          <w:sz w:val="24"/>
          <w:szCs w:val="24"/>
        </w:rPr>
        <w:t xml:space="preserve"> </w:t>
      </w:r>
      <w:r w:rsidR="00C07CEB">
        <w:rPr>
          <w:rFonts w:ascii="Times New Roman" w:hAnsi="Times New Roman" w:cs="Times New Roman"/>
          <w:sz w:val="24"/>
          <w:szCs w:val="24"/>
        </w:rPr>
        <w:t xml:space="preserve">que vive no norte do Myanmar, se auto identificando como tais, possuindo idioma e cultura próprios, entretanto, não são reconhecidos como grupo étnico </w:t>
      </w:r>
      <w:r w:rsidR="00511789">
        <w:rPr>
          <w:rFonts w:ascii="Times New Roman" w:hAnsi="Times New Roman" w:cs="Times New Roman"/>
          <w:sz w:val="24"/>
          <w:szCs w:val="24"/>
        </w:rPr>
        <w:t xml:space="preserve">no país </w:t>
      </w:r>
      <w:r w:rsidR="00C07CEB">
        <w:rPr>
          <w:rFonts w:ascii="Times New Roman" w:hAnsi="Times New Roman" w:cs="Times New Roman"/>
          <w:sz w:val="24"/>
          <w:szCs w:val="24"/>
        </w:rPr>
        <w:t xml:space="preserve">e tiveram sua cidadania retirada. Desse modo, a maioria da população é </w:t>
      </w:r>
      <w:r w:rsidR="0040596C">
        <w:rPr>
          <w:rFonts w:ascii="Times New Roman" w:hAnsi="Times New Roman" w:cs="Times New Roman"/>
          <w:sz w:val="24"/>
          <w:szCs w:val="24"/>
        </w:rPr>
        <w:t>apátrida</w:t>
      </w:r>
      <w:r w:rsidR="00033DAC">
        <w:rPr>
          <w:rFonts w:ascii="Times New Roman" w:hAnsi="Times New Roman" w:cs="Times New Roman"/>
          <w:sz w:val="24"/>
          <w:szCs w:val="24"/>
        </w:rPr>
        <w:t xml:space="preserve">, </w:t>
      </w:r>
      <w:r w:rsidR="00C07CEB">
        <w:rPr>
          <w:rFonts w:ascii="Times New Roman" w:hAnsi="Times New Roman" w:cs="Times New Roman"/>
          <w:sz w:val="24"/>
          <w:szCs w:val="24"/>
        </w:rPr>
        <w:t>vivendo</w:t>
      </w:r>
      <w:r w:rsidR="00033DAC">
        <w:rPr>
          <w:rFonts w:ascii="Times New Roman" w:hAnsi="Times New Roman" w:cs="Times New Roman"/>
          <w:sz w:val="24"/>
          <w:szCs w:val="24"/>
        </w:rPr>
        <w:t xml:space="preserve"> à margem dos direitos básicos garantidos aos cidadãos</w:t>
      </w:r>
      <w:r w:rsidR="00C07CEB">
        <w:rPr>
          <w:rFonts w:ascii="Times New Roman" w:hAnsi="Times New Roman" w:cs="Times New Roman"/>
          <w:sz w:val="24"/>
          <w:szCs w:val="24"/>
        </w:rPr>
        <w:t xml:space="preserve"> que </w:t>
      </w:r>
      <w:r w:rsidR="00C07CEB">
        <w:rPr>
          <w:rFonts w:ascii="Times New Roman" w:hAnsi="Times New Roman" w:cs="Times New Roman"/>
          <w:sz w:val="24"/>
          <w:szCs w:val="24"/>
        </w:rPr>
        <w:lastRenderedPageBreak/>
        <w:t>possuem uma nacionalidade, como educação e saúde, sendo obrigados a migrar de maneira irregular constantemente</w:t>
      </w:r>
      <w:r w:rsidR="00171755">
        <w:rPr>
          <w:rFonts w:ascii="Times New Roman" w:hAnsi="Times New Roman" w:cs="Times New Roman"/>
          <w:sz w:val="24"/>
          <w:szCs w:val="24"/>
        </w:rPr>
        <w:t>, dificilmente reconhecidos como refugiados devido às políticas discriminatórias implementadas por décadas</w:t>
      </w:r>
      <w:r w:rsidR="005E38BB">
        <w:rPr>
          <w:rFonts w:ascii="Times New Roman" w:hAnsi="Times New Roman" w:cs="Times New Roman"/>
          <w:sz w:val="24"/>
          <w:szCs w:val="24"/>
        </w:rPr>
        <w:t xml:space="preserve">. </w:t>
      </w:r>
      <w:r w:rsidR="00AB26C4">
        <w:rPr>
          <w:rFonts w:ascii="Times New Roman" w:hAnsi="Times New Roman" w:cs="Times New Roman"/>
          <w:sz w:val="24"/>
          <w:szCs w:val="24"/>
        </w:rPr>
        <w:t>Vale lembrar que além da não discriminação (Artigo 2), a Declaração Universal de Direitos Humanos prevê que todo ser humano tem direito a uma nacionalidade (Artigo 15)</w:t>
      </w:r>
      <w:r w:rsidR="00C51753">
        <w:rPr>
          <w:rFonts w:ascii="Times New Roman" w:hAnsi="Times New Roman" w:cs="Times New Roman"/>
          <w:sz w:val="24"/>
          <w:szCs w:val="24"/>
        </w:rPr>
        <w:t xml:space="preserve">. Além disso, também como consequência da situação de apatridia, muitos </w:t>
      </w:r>
      <w:proofErr w:type="spellStart"/>
      <w:r w:rsidR="00C51753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="00C51753">
        <w:rPr>
          <w:rFonts w:ascii="Times New Roman" w:hAnsi="Times New Roman" w:cs="Times New Roman"/>
          <w:sz w:val="24"/>
          <w:szCs w:val="24"/>
        </w:rPr>
        <w:t xml:space="preserve"> </w:t>
      </w:r>
      <w:r w:rsidR="00171755">
        <w:rPr>
          <w:rFonts w:ascii="Times New Roman" w:hAnsi="Times New Roman" w:cs="Times New Roman"/>
          <w:sz w:val="24"/>
          <w:szCs w:val="24"/>
        </w:rPr>
        <w:t xml:space="preserve">se encontram em situação de extrema vulnerabilidade, sem um Estado de pertencimento ao qual recorrer para garantir seus direitos fundamentais, motivo pelo qual a Gâmbia intentou a ação perante a Corte em nome da população, suscitando o caráter </w:t>
      </w:r>
      <w:r w:rsidR="00171755" w:rsidRPr="00171755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171755">
        <w:rPr>
          <w:rFonts w:ascii="Times New Roman" w:hAnsi="Times New Roman" w:cs="Times New Roman"/>
          <w:sz w:val="24"/>
          <w:szCs w:val="24"/>
        </w:rPr>
        <w:t xml:space="preserve"> dos direitos violados.</w:t>
      </w:r>
      <w:r w:rsidR="00D679F5">
        <w:rPr>
          <w:rFonts w:ascii="Times New Roman" w:hAnsi="Times New Roman" w:cs="Times New Roman"/>
          <w:sz w:val="24"/>
          <w:szCs w:val="24"/>
        </w:rPr>
        <w:t xml:space="preserve"> Essa</w:t>
      </w:r>
      <w:r w:rsidR="00162772">
        <w:rPr>
          <w:rFonts w:ascii="Times New Roman" w:hAnsi="Times New Roman" w:cs="Times New Roman"/>
          <w:sz w:val="24"/>
          <w:szCs w:val="24"/>
        </w:rPr>
        <w:t xml:space="preserve"> categoria de obrigações criada por meio da própria Corte Internacional de Justiça, que no caso </w:t>
      </w:r>
      <w:r w:rsidR="00162772" w:rsidRPr="00162772">
        <w:rPr>
          <w:rFonts w:ascii="Times New Roman" w:hAnsi="Times New Roman" w:cs="Times New Roman"/>
          <w:i/>
          <w:iCs/>
          <w:sz w:val="24"/>
          <w:szCs w:val="24"/>
        </w:rPr>
        <w:t xml:space="preserve">Barcelona </w:t>
      </w:r>
      <w:proofErr w:type="spellStart"/>
      <w:r w:rsidR="00162772" w:rsidRPr="00162772">
        <w:rPr>
          <w:rFonts w:ascii="Times New Roman" w:hAnsi="Times New Roman" w:cs="Times New Roman"/>
          <w:i/>
          <w:iCs/>
          <w:sz w:val="24"/>
          <w:szCs w:val="24"/>
        </w:rPr>
        <w:t>Traction</w:t>
      </w:r>
      <w:proofErr w:type="spellEnd"/>
      <w:r w:rsidR="00162772">
        <w:rPr>
          <w:rFonts w:ascii="Times New Roman" w:hAnsi="Times New Roman" w:cs="Times New Roman"/>
          <w:sz w:val="24"/>
          <w:szCs w:val="24"/>
        </w:rPr>
        <w:t xml:space="preserve"> </w:t>
      </w:r>
      <w:r w:rsidR="00162772" w:rsidRPr="00D679F5">
        <w:rPr>
          <w:rFonts w:ascii="Times New Roman" w:hAnsi="Times New Roman" w:cs="Times New Roman"/>
          <w:sz w:val="24"/>
          <w:szCs w:val="24"/>
        </w:rPr>
        <w:t xml:space="preserve">(Bélgica </w:t>
      </w:r>
      <w:r w:rsidR="00D679F5">
        <w:rPr>
          <w:rFonts w:ascii="Times New Roman" w:hAnsi="Times New Roman" w:cs="Times New Roman"/>
          <w:sz w:val="24"/>
          <w:szCs w:val="24"/>
        </w:rPr>
        <w:t xml:space="preserve">v. </w:t>
      </w:r>
      <w:r w:rsidR="00162772" w:rsidRPr="00D679F5">
        <w:rPr>
          <w:rFonts w:ascii="Times New Roman" w:hAnsi="Times New Roman" w:cs="Times New Roman"/>
          <w:sz w:val="24"/>
          <w:szCs w:val="24"/>
        </w:rPr>
        <w:t>Espanha)</w:t>
      </w:r>
      <w:r w:rsidR="00162772">
        <w:rPr>
          <w:rFonts w:ascii="Times New Roman" w:hAnsi="Times New Roman" w:cs="Times New Roman"/>
          <w:sz w:val="24"/>
          <w:szCs w:val="24"/>
        </w:rPr>
        <w:t xml:space="preserve"> as definiu como sendo</w:t>
      </w:r>
      <w:r w:rsidR="00073C6E">
        <w:rPr>
          <w:rFonts w:ascii="Times New Roman" w:hAnsi="Times New Roman" w:cs="Times New Roman"/>
          <w:sz w:val="24"/>
          <w:szCs w:val="24"/>
        </w:rPr>
        <w:t xml:space="preserve"> aquelas obrigações não decorrentes </w:t>
      </w:r>
      <w:r w:rsidR="00073C6E" w:rsidRPr="00073C6E">
        <w:rPr>
          <w:rFonts w:ascii="Times New Roman" w:hAnsi="Times New Roman" w:cs="Times New Roman"/>
          <w:i/>
          <w:iCs/>
          <w:sz w:val="24"/>
          <w:szCs w:val="24"/>
        </w:rPr>
        <w:t>vis-à-vis</w:t>
      </w:r>
      <w:r w:rsidR="00073C6E">
        <w:rPr>
          <w:rFonts w:ascii="Times New Roman" w:hAnsi="Times New Roman" w:cs="Times New Roman"/>
          <w:sz w:val="24"/>
          <w:szCs w:val="24"/>
        </w:rPr>
        <w:t xml:space="preserve"> entre Estados, mas de um Estado para a comunidade internacional como um todo.</w:t>
      </w:r>
      <w:r w:rsidR="00C1079C">
        <w:rPr>
          <w:rFonts w:ascii="Times New Roman" w:hAnsi="Times New Roman" w:cs="Times New Roman"/>
          <w:sz w:val="24"/>
          <w:szCs w:val="24"/>
        </w:rPr>
        <w:t xml:space="preserve"> </w:t>
      </w:r>
      <w:r w:rsidR="00162772">
        <w:rPr>
          <w:rFonts w:ascii="Times New Roman" w:hAnsi="Times New Roman" w:cs="Times New Roman"/>
          <w:sz w:val="24"/>
          <w:szCs w:val="24"/>
        </w:rPr>
        <w:t>Ainda, na mesma decisão mencionou um pequeno rol de direitos que se encaixariam na nova categoria obrigacional, incluindo, entre eles, o genocídio.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C1079C">
        <w:rPr>
          <w:rFonts w:ascii="Times New Roman" w:hAnsi="Times New Roman" w:cs="Times New Roman"/>
          <w:sz w:val="24"/>
          <w:szCs w:val="24"/>
        </w:rPr>
        <w:t xml:space="preserve">Desse modo, a tutela de uma obrigação </w:t>
      </w:r>
      <w:r w:rsidR="00C1079C" w:rsidRPr="00C1079C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C1079C">
        <w:rPr>
          <w:rFonts w:ascii="Times New Roman" w:hAnsi="Times New Roman" w:cs="Times New Roman"/>
          <w:sz w:val="24"/>
          <w:szCs w:val="24"/>
        </w:rPr>
        <w:t xml:space="preserve"> não interessa apenas a um ou alguns Estados, mas a todos. Corroborando com tal fundamento, o Artigo 48</w:t>
      </w:r>
      <w:r w:rsidR="00EA0B1A">
        <w:rPr>
          <w:rFonts w:ascii="Times New Roman" w:hAnsi="Times New Roman" w:cs="Times New Roman"/>
          <w:sz w:val="24"/>
          <w:szCs w:val="24"/>
        </w:rPr>
        <w:t>, parágrafo 2 do</w:t>
      </w:r>
      <w:r w:rsidR="00EA0B1A" w:rsidRPr="00EA0B1A">
        <w:rPr>
          <w:rFonts w:ascii="Times New Roman" w:hAnsi="Times New Roman" w:cs="Times New Roman"/>
          <w:sz w:val="24"/>
          <w:szCs w:val="24"/>
        </w:rPr>
        <w:t xml:space="preserve"> </w:t>
      </w:r>
      <w:r w:rsidR="00EA0B1A" w:rsidRPr="00C1079C">
        <w:rPr>
          <w:rFonts w:ascii="Times New Roman" w:hAnsi="Times New Roman" w:cs="Times New Roman"/>
          <w:sz w:val="24"/>
          <w:szCs w:val="24"/>
        </w:rPr>
        <w:t>Projeto de Artigos sobre Responsabilidade dos Estados por Atos Ilícitos (2001) da Comissão de Direito Internacional da Organização das Nações Unidas</w:t>
      </w:r>
      <w:r w:rsidR="00EA0B1A">
        <w:rPr>
          <w:rFonts w:ascii="Times New Roman" w:hAnsi="Times New Roman" w:cs="Times New Roman"/>
          <w:sz w:val="24"/>
          <w:szCs w:val="24"/>
        </w:rPr>
        <w:t xml:space="preserve">, que apesar de considerado instrumento de </w:t>
      </w:r>
      <w:r w:rsidR="00EA0B1A" w:rsidRPr="00EA0B1A">
        <w:rPr>
          <w:rFonts w:ascii="Times New Roman" w:hAnsi="Times New Roman" w:cs="Times New Roman"/>
          <w:i/>
          <w:iCs/>
          <w:sz w:val="24"/>
          <w:szCs w:val="24"/>
        </w:rPr>
        <w:t xml:space="preserve">soft </w:t>
      </w:r>
      <w:proofErr w:type="spellStart"/>
      <w:r w:rsidR="00EA0B1A" w:rsidRPr="00EA0B1A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="00EA0B1A">
        <w:rPr>
          <w:rFonts w:ascii="Times New Roman" w:hAnsi="Times New Roman" w:cs="Times New Roman"/>
          <w:sz w:val="24"/>
          <w:szCs w:val="24"/>
        </w:rPr>
        <w:t xml:space="preserve"> é usado como um parâmetro no assunto, autoriza um Estado diverso do Estado diretamente prejudicado pela conduta ilícita invoque a responsabilidade de outro Estado perante um tribunal internacional quando a</w:t>
      </w:r>
      <w:r w:rsidR="00EA0B1A" w:rsidRPr="00EA0B1A">
        <w:rPr>
          <w:rFonts w:ascii="Times New Roman" w:hAnsi="Times New Roman" w:cs="Times New Roman"/>
          <w:sz w:val="24"/>
          <w:szCs w:val="24"/>
        </w:rPr>
        <w:t xml:space="preserve">  obrigação  violada  é  devida  à  comunidade  internacional  como  um todo</w:t>
      </w:r>
      <w:r w:rsidR="00EA0B1A">
        <w:rPr>
          <w:rFonts w:ascii="Times New Roman" w:hAnsi="Times New Roman" w:cs="Times New Roman"/>
          <w:sz w:val="24"/>
          <w:szCs w:val="24"/>
        </w:rPr>
        <w:t>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E75987">
        <w:rPr>
          <w:rFonts w:ascii="Times New Roman" w:hAnsi="Times New Roman" w:cs="Times New Roman"/>
          <w:sz w:val="24"/>
          <w:szCs w:val="24"/>
        </w:rPr>
        <w:t xml:space="preserve">No caso em análise, a Corte Internacional de Justiça entendeu que </w:t>
      </w:r>
      <w:r w:rsidR="00D86B6F">
        <w:rPr>
          <w:rFonts w:ascii="Times New Roman" w:hAnsi="Times New Roman" w:cs="Times New Roman"/>
          <w:sz w:val="24"/>
          <w:szCs w:val="24"/>
        </w:rPr>
        <w:t xml:space="preserve">sendo a obrigação de prevenir crimes de genocídio uma obrigação </w:t>
      </w:r>
      <w:r w:rsidR="00D86B6F" w:rsidRPr="00D86B6F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D86B6F">
        <w:rPr>
          <w:rFonts w:ascii="Times New Roman" w:hAnsi="Times New Roman" w:cs="Times New Roman"/>
          <w:sz w:val="24"/>
          <w:szCs w:val="24"/>
        </w:rPr>
        <w:t xml:space="preserve">, todos os Estados partes da </w:t>
      </w:r>
      <w:r w:rsidR="00D86B6F" w:rsidRPr="00D86B6F">
        <w:rPr>
          <w:rFonts w:ascii="Times New Roman" w:hAnsi="Times New Roman" w:cs="Times New Roman"/>
          <w:sz w:val="24"/>
          <w:szCs w:val="24"/>
        </w:rPr>
        <w:t xml:space="preserve">Convenção para a </w:t>
      </w:r>
      <w:r w:rsidR="00D86B6F">
        <w:rPr>
          <w:rFonts w:ascii="Times New Roman" w:hAnsi="Times New Roman" w:cs="Times New Roman"/>
          <w:sz w:val="24"/>
          <w:szCs w:val="24"/>
        </w:rPr>
        <w:t>P</w:t>
      </w:r>
      <w:r w:rsidR="00D86B6F" w:rsidRPr="00D86B6F">
        <w:rPr>
          <w:rFonts w:ascii="Times New Roman" w:hAnsi="Times New Roman" w:cs="Times New Roman"/>
          <w:sz w:val="24"/>
          <w:szCs w:val="24"/>
        </w:rPr>
        <w:t xml:space="preserve">revenção e </w:t>
      </w:r>
      <w:r w:rsidR="00D86B6F">
        <w:rPr>
          <w:rFonts w:ascii="Times New Roman" w:hAnsi="Times New Roman" w:cs="Times New Roman"/>
          <w:sz w:val="24"/>
          <w:szCs w:val="24"/>
        </w:rPr>
        <w:t>P</w:t>
      </w:r>
      <w:r w:rsidR="00D86B6F" w:rsidRPr="00D86B6F">
        <w:rPr>
          <w:rFonts w:ascii="Times New Roman" w:hAnsi="Times New Roman" w:cs="Times New Roman"/>
          <w:sz w:val="24"/>
          <w:szCs w:val="24"/>
        </w:rPr>
        <w:t xml:space="preserve">unição do </w:t>
      </w:r>
      <w:r w:rsidR="00D86B6F">
        <w:rPr>
          <w:rFonts w:ascii="Times New Roman" w:hAnsi="Times New Roman" w:cs="Times New Roman"/>
          <w:sz w:val="24"/>
          <w:szCs w:val="24"/>
        </w:rPr>
        <w:t>C</w:t>
      </w:r>
      <w:r w:rsidR="00D86B6F" w:rsidRPr="00D86B6F">
        <w:rPr>
          <w:rFonts w:ascii="Times New Roman" w:hAnsi="Times New Roman" w:cs="Times New Roman"/>
          <w:sz w:val="24"/>
          <w:szCs w:val="24"/>
        </w:rPr>
        <w:t>rime de Genocídio</w:t>
      </w:r>
      <w:r w:rsidR="00D86B6F">
        <w:rPr>
          <w:rFonts w:ascii="Times New Roman" w:hAnsi="Times New Roman" w:cs="Times New Roman"/>
          <w:sz w:val="24"/>
          <w:szCs w:val="24"/>
        </w:rPr>
        <w:t xml:space="preserve"> (1948) tem um interesse comum de garantir que atos de genocídio sejam prevenidos e, caso ocorram, que os autores sejam punidos. Dito isso</w:t>
      </w:r>
      <w:r w:rsidR="007E5F2F">
        <w:rPr>
          <w:rFonts w:ascii="Times New Roman" w:hAnsi="Times New Roman" w:cs="Times New Roman"/>
          <w:sz w:val="24"/>
          <w:szCs w:val="24"/>
        </w:rPr>
        <w:t>, ainda que Myanmar não tenha cometido atos ilícitos contra a Gâmbia ou seus nacionais, esta foi declarada competente para demandar a primeira, considerando a natureza da obrigação violada.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D679F5">
        <w:rPr>
          <w:rFonts w:ascii="Times New Roman" w:hAnsi="Times New Roman" w:cs="Times New Roman"/>
          <w:sz w:val="24"/>
          <w:szCs w:val="24"/>
        </w:rPr>
        <w:t>Como resultados da presente pesquisa</w:t>
      </w:r>
      <w:r w:rsidR="007E5F2F">
        <w:rPr>
          <w:rFonts w:ascii="Times New Roman" w:hAnsi="Times New Roman" w:cs="Times New Roman"/>
          <w:sz w:val="24"/>
          <w:szCs w:val="24"/>
        </w:rPr>
        <w:t xml:space="preserve">, </w:t>
      </w:r>
      <w:r w:rsidR="00D679F5">
        <w:rPr>
          <w:rFonts w:ascii="Times New Roman" w:hAnsi="Times New Roman" w:cs="Times New Roman"/>
          <w:sz w:val="24"/>
          <w:szCs w:val="24"/>
        </w:rPr>
        <w:t xml:space="preserve">tem-se que </w:t>
      </w:r>
      <w:r w:rsidR="00F24C8F">
        <w:rPr>
          <w:rFonts w:ascii="Times New Roman" w:hAnsi="Times New Roman" w:cs="Times New Roman"/>
          <w:sz w:val="24"/>
          <w:szCs w:val="24"/>
        </w:rPr>
        <w:t xml:space="preserve">não somente a criação da categoria de obrigações </w:t>
      </w:r>
      <w:r w:rsidR="00F24C8F" w:rsidRPr="00DA7F23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F24C8F">
        <w:rPr>
          <w:rFonts w:ascii="Times New Roman" w:hAnsi="Times New Roman" w:cs="Times New Roman"/>
          <w:sz w:val="24"/>
          <w:szCs w:val="24"/>
        </w:rPr>
        <w:t xml:space="preserve">, como também a decisão da Corte Internacional de Justiça no caso envolvendo a Gâmbia e Myanmar representam </w:t>
      </w:r>
      <w:r w:rsidR="002B4596">
        <w:rPr>
          <w:rFonts w:ascii="Times New Roman" w:hAnsi="Times New Roman" w:cs="Times New Roman"/>
          <w:sz w:val="24"/>
          <w:szCs w:val="24"/>
        </w:rPr>
        <w:t>o ativismo dos tribunais internacionais</w:t>
      </w:r>
      <w:r w:rsidR="00D679F5">
        <w:rPr>
          <w:rFonts w:ascii="Times New Roman" w:hAnsi="Times New Roman" w:cs="Times New Roman"/>
          <w:sz w:val="24"/>
          <w:szCs w:val="24"/>
        </w:rPr>
        <w:t xml:space="preserve"> no sentido de incorporar a proteção aos direitos humanos para além dos sistemas internacionais regionais</w:t>
      </w:r>
      <w:r w:rsidR="002B4596">
        <w:rPr>
          <w:rFonts w:ascii="Times New Roman" w:hAnsi="Times New Roman" w:cs="Times New Roman"/>
          <w:sz w:val="24"/>
          <w:szCs w:val="24"/>
        </w:rPr>
        <w:t xml:space="preserve">. Como o juiz Antônio Augusto </w:t>
      </w:r>
      <w:proofErr w:type="spellStart"/>
      <w:r w:rsidR="002B4596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 w:rsidR="002B4596">
        <w:rPr>
          <w:rFonts w:ascii="Times New Roman" w:hAnsi="Times New Roman" w:cs="Times New Roman"/>
          <w:sz w:val="24"/>
          <w:szCs w:val="24"/>
        </w:rPr>
        <w:t xml:space="preserve"> Trindade explora na sua opinião dissidente sobre o caso, a Corte deve estar constantemente atenta à necessidade de desenvolvimento no sentido de ir além das relações interestatais e demonstrar sua preocupação também com as pessoas humanas em situação de risco, </w:t>
      </w:r>
      <w:r w:rsidR="002B4596">
        <w:rPr>
          <w:rFonts w:ascii="Times New Roman" w:hAnsi="Times New Roman" w:cs="Times New Roman"/>
          <w:sz w:val="24"/>
          <w:szCs w:val="24"/>
        </w:rPr>
        <w:lastRenderedPageBreak/>
        <w:t>vulnerabilidade ou adversidade.</w:t>
      </w:r>
      <w:r w:rsidR="00D679F5">
        <w:rPr>
          <w:rFonts w:ascii="Times New Roman" w:hAnsi="Times New Roman" w:cs="Times New Roman"/>
          <w:sz w:val="24"/>
          <w:szCs w:val="24"/>
        </w:rPr>
        <w:t xml:space="preserve"> </w:t>
      </w:r>
      <w:r w:rsidR="002B4596">
        <w:rPr>
          <w:rFonts w:ascii="Times New Roman" w:hAnsi="Times New Roman" w:cs="Times New Roman"/>
          <w:sz w:val="24"/>
          <w:szCs w:val="24"/>
        </w:rPr>
        <w:t>Assim, o</w:t>
      </w:r>
      <w:r w:rsidR="00F24C8F">
        <w:rPr>
          <w:rFonts w:ascii="Times New Roman" w:hAnsi="Times New Roman" w:cs="Times New Roman"/>
          <w:sz w:val="24"/>
          <w:szCs w:val="24"/>
        </w:rPr>
        <w:t xml:space="preserve"> ser humano </w:t>
      </w:r>
      <w:r w:rsidR="002B4596">
        <w:rPr>
          <w:rFonts w:ascii="Times New Roman" w:hAnsi="Times New Roman" w:cs="Times New Roman"/>
          <w:sz w:val="24"/>
          <w:szCs w:val="24"/>
        </w:rPr>
        <w:t>começa a ocupar uma nova posição como sujeito de</w:t>
      </w:r>
      <w:r w:rsidR="00F24C8F">
        <w:rPr>
          <w:rFonts w:ascii="Times New Roman" w:hAnsi="Times New Roman" w:cs="Times New Roman"/>
          <w:sz w:val="24"/>
          <w:szCs w:val="24"/>
        </w:rPr>
        <w:t xml:space="preserve"> Direito Internacional</w:t>
      </w:r>
      <w:r w:rsidR="00DA7F23">
        <w:rPr>
          <w:rFonts w:ascii="Times New Roman" w:hAnsi="Times New Roman" w:cs="Times New Roman"/>
          <w:sz w:val="24"/>
          <w:szCs w:val="24"/>
        </w:rPr>
        <w:t>, antes focada apenas na relação</w:t>
      </w:r>
      <w:r w:rsidR="00F24C8F">
        <w:rPr>
          <w:rFonts w:ascii="Times New Roman" w:hAnsi="Times New Roman" w:cs="Times New Roman"/>
          <w:sz w:val="24"/>
          <w:szCs w:val="24"/>
        </w:rPr>
        <w:t xml:space="preserve"> entre Estados-nações</w:t>
      </w:r>
      <w:r w:rsidR="00366535">
        <w:rPr>
          <w:rFonts w:ascii="Times New Roman" w:hAnsi="Times New Roman" w:cs="Times New Roman"/>
          <w:sz w:val="24"/>
          <w:szCs w:val="24"/>
        </w:rPr>
        <w:t xml:space="preserve">. Apesar da criação de tribunais internacionais especializados em Direitos Humanos, a Corte Mundial não consegue se esquivar de assuntos que envolvam o ser humano e precisa se adaptar a especificidade de tais demandas a fim de concretizar </w:t>
      </w:r>
      <w:r w:rsidR="00906971">
        <w:rPr>
          <w:rFonts w:ascii="Times New Roman" w:hAnsi="Times New Roman" w:cs="Times New Roman"/>
          <w:sz w:val="24"/>
          <w:szCs w:val="24"/>
        </w:rPr>
        <w:t xml:space="preserve">o objetivo de </w:t>
      </w:r>
      <w:r w:rsidR="00366535">
        <w:rPr>
          <w:rFonts w:ascii="Times New Roman" w:hAnsi="Times New Roman" w:cs="Times New Roman"/>
          <w:sz w:val="24"/>
          <w:szCs w:val="24"/>
        </w:rPr>
        <w:t>pacificação social, e nesse cenário as recentes decisões podem representa</w:t>
      </w:r>
      <w:r w:rsidR="006B1FC7">
        <w:rPr>
          <w:rFonts w:ascii="Times New Roman" w:hAnsi="Times New Roman" w:cs="Times New Roman"/>
          <w:sz w:val="24"/>
          <w:szCs w:val="24"/>
        </w:rPr>
        <w:t>r</w:t>
      </w:r>
      <w:r w:rsidR="00366535">
        <w:rPr>
          <w:rFonts w:ascii="Times New Roman" w:hAnsi="Times New Roman" w:cs="Times New Roman"/>
          <w:sz w:val="24"/>
          <w:szCs w:val="24"/>
        </w:rPr>
        <w:t xml:space="preserve"> uma mudança de paradigma.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CF04F6">
        <w:rPr>
          <w:rFonts w:ascii="Times New Roman" w:hAnsi="Times New Roman" w:cs="Times New Roman"/>
          <w:sz w:val="24"/>
          <w:szCs w:val="24"/>
        </w:rPr>
        <w:t>C</w:t>
      </w:r>
      <w:r w:rsidR="00D679F5">
        <w:rPr>
          <w:rFonts w:ascii="Times New Roman" w:hAnsi="Times New Roman" w:cs="Times New Roman"/>
          <w:sz w:val="24"/>
          <w:szCs w:val="24"/>
        </w:rPr>
        <w:t xml:space="preserve">onclui-se que </w:t>
      </w:r>
      <w:r w:rsidR="00B947A4">
        <w:rPr>
          <w:rFonts w:ascii="Times New Roman" w:hAnsi="Times New Roman" w:cs="Times New Roman"/>
          <w:sz w:val="24"/>
          <w:szCs w:val="24"/>
        </w:rPr>
        <w:t>o que antes era exclusivamente voltado à resolução de conflitos</w:t>
      </w:r>
      <w:r w:rsidR="00EA58CA">
        <w:rPr>
          <w:rFonts w:ascii="Times New Roman" w:hAnsi="Times New Roman" w:cs="Times New Roman"/>
          <w:sz w:val="24"/>
          <w:szCs w:val="24"/>
        </w:rPr>
        <w:t xml:space="preserve"> entre Estados, volta-se agora à tutela do indivíduo frente a condutas irregulares por partes de Estados, sendo nacionais destes ou não, efetivando o </w:t>
      </w:r>
      <w:r w:rsidR="00EA58CA" w:rsidRPr="00EA58CA">
        <w:rPr>
          <w:rFonts w:ascii="Times New Roman" w:hAnsi="Times New Roman" w:cs="Times New Roman"/>
          <w:i/>
          <w:iCs/>
          <w:sz w:val="24"/>
          <w:szCs w:val="24"/>
        </w:rPr>
        <w:t>Jus Gentium</w:t>
      </w:r>
      <w:r w:rsidR="00EA58CA">
        <w:rPr>
          <w:rFonts w:ascii="Times New Roman" w:hAnsi="Times New Roman" w:cs="Times New Roman"/>
          <w:sz w:val="24"/>
          <w:szCs w:val="24"/>
        </w:rPr>
        <w:t xml:space="preserve">. </w:t>
      </w:r>
      <w:r w:rsidR="00B947A4">
        <w:rPr>
          <w:rFonts w:ascii="Times New Roman" w:hAnsi="Times New Roman" w:cs="Times New Roman"/>
          <w:sz w:val="24"/>
          <w:szCs w:val="24"/>
        </w:rPr>
        <w:t>Como consequência, tem-se uma crescente atuação nesse sentido não só através da criação Tribunais Internacionais de Direitos Humanos, mas também daqueles já existentes, como a Corte Internacional de Justiça.</w:t>
      </w:r>
      <w:r w:rsidR="007416C4">
        <w:rPr>
          <w:rFonts w:ascii="Times New Roman" w:hAnsi="Times New Roman" w:cs="Times New Roman"/>
          <w:sz w:val="24"/>
          <w:szCs w:val="24"/>
        </w:rPr>
        <w:t xml:space="preserve"> </w:t>
      </w:r>
      <w:r w:rsidR="00200133">
        <w:rPr>
          <w:rFonts w:ascii="Times New Roman" w:hAnsi="Times New Roman" w:cs="Times New Roman"/>
          <w:sz w:val="24"/>
          <w:szCs w:val="24"/>
        </w:rPr>
        <w:t xml:space="preserve">Até o momento, </w:t>
      </w:r>
      <w:r w:rsidR="00EA58CA">
        <w:rPr>
          <w:rFonts w:ascii="Times New Roman" w:hAnsi="Times New Roman" w:cs="Times New Roman"/>
          <w:sz w:val="24"/>
          <w:szCs w:val="24"/>
        </w:rPr>
        <w:t xml:space="preserve">o caso </w:t>
      </w:r>
      <w:r w:rsidR="00EA58CA" w:rsidRPr="00511789">
        <w:rPr>
          <w:rFonts w:ascii="Times New Roman" w:hAnsi="Times New Roman" w:cs="Times New Roman"/>
          <w:sz w:val="24"/>
          <w:szCs w:val="24"/>
        </w:rPr>
        <w:t>Aplicação da Convenção para a Prevenção e Punição do Crime de Genocídio (G</w:t>
      </w:r>
      <w:r w:rsidR="00906971" w:rsidRPr="00511789">
        <w:rPr>
          <w:rFonts w:ascii="Times New Roman" w:hAnsi="Times New Roman" w:cs="Times New Roman"/>
          <w:sz w:val="24"/>
          <w:szCs w:val="24"/>
        </w:rPr>
        <w:t>â</w:t>
      </w:r>
      <w:r w:rsidR="00EA58CA" w:rsidRPr="00511789">
        <w:rPr>
          <w:rFonts w:ascii="Times New Roman" w:hAnsi="Times New Roman" w:cs="Times New Roman"/>
          <w:sz w:val="24"/>
          <w:szCs w:val="24"/>
        </w:rPr>
        <w:t>mbia v. Myanmar</w:t>
      </w:r>
      <w:r w:rsidR="00EA58CA" w:rsidRPr="00E7598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048A5">
        <w:rPr>
          <w:rFonts w:ascii="Times New Roman" w:hAnsi="Times New Roman" w:cs="Times New Roman"/>
          <w:sz w:val="24"/>
          <w:szCs w:val="24"/>
        </w:rPr>
        <w:t xml:space="preserve"> é um exemplo prático das teorias expostas, tendo sido inovador ao reconhecer que em decorrência de a prevenção ao genocídio pertencer à categoria de obrigações </w:t>
      </w:r>
      <w:r w:rsidR="000048A5" w:rsidRPr="000048A5">
        <w:rPr>
          <w:rFonts w:ascii="Times New Roman" w:hAnsi="Times New Roman" w:cs="Times New Roman"/>
          <w:i/>
          <w:iCs/>
          <w:sz w:val="24"/>
          <w:szCs w:val="24"/>
        </w:rPr>
        <w:t>erga omnes</w:t>
      </w:r>
      <w:r w:rsidR="000048A5">
        <w:rPr>
          <w:rFonts w:ascii="Times New Roman" w:hAnsi="Times New Roman" w:cs="Times New Roman"/>
          <w:sz w:val="24"/>
          <w:szCs w:val="24"/>
        </w:rPr>
        <w:t xml:space="preserve">, um Estado que não tenha sido diretamente afetado pelos atos ilícitos de um outro Estado pode demandá-lo </w:t>
      </w:r>
      <w:r w:rsidR="0055157A">
        <w:rPr>
          <w:rFonts w:ascii="Times New Roman" w:hAnsi="Times New Roman" w:cs="Times New Roman"/>
          <w:sz w:val="24"/>
          <w:szCs w:val="24"/>
        </w:rPr>
        <w:t>arguindo a sua responsabilização internacional</w:t>
      </w:r>
      <w:r w:rsidR="000048A5">
        <w:rPr>
          <w:rFonts w:ascii="Times New Roman" w:hAnsi="Times New Roman" w:cs="Times New Roman"/>
          <w:sz w:val="24"/>
          <w:szCs w:val="24"/>
        </w:rPr>
        <w:t xml:space="preserve">. Além disso, também reforça </w:t>
      </w:r>
      <w:r w:rsidR="0055157A">
        <w:rPr>
          <w:rFonts w:ascii="Times New Roman" w:hAnsi="Times New Roman" w:cs="Times New Roman"/>
          <w:sz w:val="24"/>
          <w:szCs w:val="24"/>
        </w:rPr>
        <w:t xml:space="preserve">a visão de que a Corte Internacional de Justiça está intensificando a aplicação de Direitos Humanos, principalmente em decorrência de seus novos juízes, com destaque o brasileiro Antônio Augusto </w:t>
      </w:r>
      <w:proofErr w:type="spellStart"/>
      <w:r w:rsidR="0055157A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 w:rsidR="0055157A">
        <w:rPr>
          <w:rFonts w:ascii="Times New Roman" w:hAnsi="Times New Roman" w:cs="Times New Roman"/>
          <w:sz w:val="24"/>
          <w:szCs w:val="24"/>
        </w:rPr>
        <w:t xml:space="preserve"> Trindade.</w:t>
      </w:r>
      <w:r w:rsidR="00511789">
        <w:rPr>
          <w:rFonts w:ascii="Times New Roman" w:hAnsi="Times New Roman" w:cs="Times New Roman"/>
          <w:sz w:val="24"/>
          <w:szCs w:val="24"/>
        </w:rPr>
        <w:t xml:space="preserve"> </w:t>
      </w:r>
      <w:r w:rsidR="006B1FC7">
        <w:rPr>
          <w:rFonts w:ascii="Times New Roman" w:hAnsi="Times New Roman" w:cs="Times New Roman"/>
          <w:sz w:val="24"/>
          <w:szCs w:val="24"/>
        </w:rPr>
        <w:t xml:space="preserve">Questões envolvendo Direitos Humanos de pessoas ou grupos em situação de vulnerabilidade afetam não somente os próprios indivíduos, mas também relações entre Estados. Dessa forma, é necessária uma interconexão entre o Direito Internacional dos Direitos Humanos e outros ramos do Direito Internacional, </w:t>
      </w:r>
      <w:r w:rsidR="007D3784">
        <w:rPr>
          <w:rFonts w:ascii="Times New Roman" w:hAnsi="Times New Roman" w:cs="Times New Roman"/>
          <w:sz w:val="24"/>
          <w:szCs w:val="24"/>
        </w:rPr>
        <w:t xml:space="preserve">principalmente aqueles vinculados à vontade política dos Estados, </w:t>
      </w:r>
      <w:r w:rsidR="006B1FC7">
        <w:rPr>
          <w:rFonts w:ascii="Times New Roman" w:hAnsi="Times New Roman" w:cs="Times New Roman"/>
          <w:sz w:val="24"/>
          <w:szCs w:val="24"/>
        </w:rPr>
        <w:t>de modo a incluir o primeiro em áreas que inicialmente não focam no ser humano como sujeito de direitos.</w:t>
      </w:r>
      <w:r w:rsidR="00511789">
        <w:rPr>
          <w:rFonts w:ascii="Times New Roman" w:hAnsi="Times New Roman" w:cs="Times New Roman"/>
          <w:sz w:val="24"/>
          <w:szCs w:val="24"/>
        </w:rPr>
        <w:t xml:space="preserve"> </w:t>
      </w:r>
      <w:r w:rsidR="00584E95" w:rsidRPr="00584E95">
        <w:rPr>
          <w:rFonts w:ascii="Times New Roman" w:hAnsi="Times New Roman" w:cs="Times New Roman"/>
          <w:sz w:val="24"/>
          <w:szCs w:val="24"/>
        </w:rPr>
        <w:t>Neste trabalho, foi utilizado o método de pesquisa</w:t>
      </w:r>
      <w:r w:rsidR="00584E95">
        <w:rPr>
          <w:rFonts w:ascii="Times New Roman" w:hAnsi="Times New Roman" w:cs="Times New Roman"/>
          <w:sz w:val="24"/>
          <w:szCs w:val="24"/>
        </w:rPr>
        <w:t xml:space="preserve"> </w:t>
      </w:r>
      <w:r w:rsidR="00584E95" w:rsidRPr="00584E95">
        <w:rPr>
          <w:rFonts w:ascii="Times New Roman" w:hAnsi="Times New Roman" w:cs="Times New Roman"/>
          <w:sz w:val="24"/>
          <w:szCs w:val="24"/>
        </w:rPr>
        <w:t>dedutivo, partindo-se do estudo de conceitos gerais para chegar-se à uma conclusão</w:t>
      </w:r>
      <w:r w:rsidR="00584E95">
        <w:rPr>
          <w:rFonts w:ascii="Times New Roman" w:hAnsi="Times New Roman" w:cs="Times New Roman"/>
          <w:sz w:val="24"/>
          <w:szCs w:val="24"/>
        </w:rPr>
        <w:t xml:space="preserve"> </w:t>
      </w:r>
      <w:r w:rsidR="00584E95" w:rsidRPr="00584E95">
        <w:rPr>
          <w:rFonts w:ascii="Times New Roman" w:hAnsi="Times New Roman" w:cs="Times New Roman"/>
          <w:sz w:val="24"/>
          <w:szCs w:val="24"/>
        </w:rPr>
        <w:t xml:space="preserve">sobre o tema ora debatido, qual seja </w:t>
      </w:r>
      <w:r w:rsidR="00CF04F6">
        <w:rPr>
          <w:rFonts w:ascii="Times New Roman" w:hAnsi="Times New Roman" w:cs="Times New Roman"/>
          <w:sz w:val="24"/>
          <w:szCs w:val="24"/>
        </w:rPr>
        <w:t>a mudança de paradigma da Corte Internacional de Justiça sobre direitos humanos</w:t>
      </w:r>
      <w:r w:rsidR="00584E95" w:rsidRPr="00584E95">
        <w:rPr>
          <w:rFonts w:ascii="Times New Roman" w:hAnsi="Times New Roman" w:cs="Times New Roman"/>
          <w:sz w:val="24"/>
          <w:szCs w:val="24"/>
        </w:rPr>
        <w:t>. A construção teórica foi realizada com base na pesquisa</w:t>
      </w:r>
      <w:r w:rsidR="00584E95">
        <w:rPr>
          <w:rFonts w:ascii="Times New Roman" w:hAnsi="Times New Roman" w:cs="Times New Roman"/>
          <w:sz w:val="24"/>
          <w:szCs w:val="24"/>
        </w:rPr>
        <w:t xml:space="preserve"> </w:t>
      </w:r>
      <w:r w:rsidR="00584E95" w:rsidRPr="00584E95">
        <w:rPr>
          <w:rFonts w:ascii="Times New Roman" w:hAnsi="Times New Roman" w:cs="Times New Roman"/>
          <w:sz w:val="24"/>
          <w:szCs w:val="24"/>
        </w:rPr>
        <w:t>bibliográfica, utilizando-se de doutrina nacional e estrangeira, e documental, através</w:t>
      </w:r>
      <w:r w:rsidR="00584E95">
        <w:rPr>
          <w:rFonts w:ascii="Times New Roman" w:hAnsi="Times New Roman" w:cs="Times New Roman"/>
          <w:sz w:val="24"/>
          <w:szCs w:val="24"/>
        </w:rPr>
        <w:t xml:space="preserve"> </w:t>
      </w:r>
      <w:r w:rsidR="00584E95" w:rsidRPr="00584E95">
        <w:rPr>
          <w:rFonts w:ascii="Times New Roman" w:hAnsi="Times New Roman" w:cs="Times New Roman"/>
          <w:sz w:val="24"/>
          <w:szCs w:val="24"/>
        </w:rPr>
        <w:t>de relatórios e documentos de Organizações Internacionais</w:t>
      </w:r>
      <w:r w:rsidR="00CF04F6">
        <w:rPr>
          <w:rFonts w:ascii="Times New Roman" w:hAnsi="Times New Roman" w:cs="Times New Roman"/>
          <w:sz w:val="24"/>
          <w:szCs w:val="24"/>
        </w:rPr>
        <w:t xml:space="preserve"> e Cortes Internacionais</w:t>
      </w:r>
      <w:r w:rsidR="00584E95" w:rsidRPr="00584E95">
        <w:rPr>
          <w:rFonts w:ascii="Times New Roman" w:hAnsi="Times New Roman" w:cs="Times New Roman"/>
          <w:sz w:val="24"/>
          <w:szCs w:val="24"/>
        </w:rPr>
        <w:t>.</w:t>
      </w:r>
    </w:p>
    <w:p w14:paraId="334E83D7" w14:textId="77777777" w:rsidR="00906971" w:rsidRPr="000F462F" w:rsidRDefault="00906971" w:rsidP="00613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D1FA8" w14:textId="731637B1" w:rsidR="004744D8" w:rsidRPr="004744D8" w:rsidRDefault="004744D8" w:rsidP="00613E7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456">
        <w:rPr>
          <w:rFonts w:ascii="Times New Roman" w:hAnsi="Times New Roman" w:cs="Times New Roman"/>
          <w:bCs/>
          <w:sz w:val="24"/>
          <w:szCs w:val="24"/>
        </w:rPr>
        <w:t xml:space="preserve">Migração e </w:t>
      </w:r>
      <w:r w:rsidR="00613E7B">
        <w:rPr>
          <w:rFonts w:ascii="Times New Roman" w:hAnsi="Times New Roman" w:cs="Times New Roman"/>
          <w:bCs/>
          <w:sz w:val="24"/>
          <w:szCs w:val="24"/>
        </w:rPr>
        <w:t>Refúgio, Corte Internacional de Justiça, Direitos Humanos,</w:t>
      </w:r>
      <w:r w:rsidR="00966456">
        <w:rPr>
          <w:rFonts w:ascii="Times New Roman" w:hAnsi="Times New Roman" w:cs="Times New Roman"/>
          <w:bCs/>
          <w:sz w:val="24"/>
          <w:szCs w:val="24"/>
        </w:rPr>
        <w:t xml:space="preserve"> Tribunais Internacionais</w:t>
      </w:r>
      <w:r w:rsidR="00584E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03C6BE" w14:textId="77777777" w:rsidR="004744D8" w:rsidRDefault="004744D8" w:rsidP="00613E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82409" w14:textId="2C3421DC" w:rsidR="0030018D" w:rsidRPr="000F462F" w:rsidRDefault="004744D8" w:rsidP="00613E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29B3B46" w14:textId="77777777" w:rsidR="0030018D" w:rsidRPr="000F462F" w:rsidRDefault="0030018D" w:rsidP="00613E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904382"/>
    </w:p>
    <w:p w14:paraId="383DA347" w14:textId="77777777" w:rsidR="00C31CDF" w:rsidRPr="000F462F" w:rsidRDefault="0030018D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6696549"/>
      <w:r w:rsidRPr="000F462F">
        <w:rPr>
          <w:rFonts w:ascii="Times New Roman" w:hAnsi="Times New Roman" w:cs="Times New Roman"/>
          <w:sz w:val="24"/>
          <w:szCs w:val="24"/>
        </w:rPr>
        <w:t xml:space="preserve">ACCIOLY, Hildebrando. CASELLA, Paulo Borba. SILVA, G. E. do Nascimento. </w:t>
      </w:r>
      <w:r w:rsidRPr="000F462F">
        <w:rPr>
          <w:rFonts w:ascii="Times New Roman" w:hAnsi="Times New Roman" w:cs="Times New Roman"/>
          <w:b/>
          <w:sz w:val="24"/>
          <w:szCs w:val="24"/>
        </w:rPr>
        <w:t xml:space="preserve">Manual de Direito Internacional Público. </w:t>
      </w:r>
      <w:r w:rsidRPr="000F462F">
        <w:rPr>
          <w:rFonts w:ascii="Times New Roman" w:hAnsi="Times New Roman" w:cs="Times New Roman"/>
          <w:sz w:val="24"/>
          <w:szCs w:val="24"/>
        </w:rPr>
        <w:t>São Paulo, 22</w:t>
      </w:r>
      <w:r w:rsidR="00F313BC" w:rsidRPr="000F462F">
        <w:rPr>
          <w:rFonts w:ascii="Times New Roman" w:hAnsi="Times New Roman" w:cs="Times New Roman"/>
          <w:sz w:val="24"/>
          <w:szCs w:val="24"/>
        </w:rPr>
        <w:t>.</w:t>
      </w:r>
      <w:r w:rsidRPr="000F462F">
        <w:rPr>
          <w:rFonts w:ascii="Times New Roman" w:hAnsi="Times New Roman" w:cs="Times New Roman"/>
          <w:sz w:val="24"/>
          <w:szCs w:val="24"/>
        </w:rPr>
        <w:t xml:space="preserve"> ed., editora Saraiva, 2016.</w:t>
      </w:r>
    </w:p>
    <w:bookmarkEnd w:id="1"/>
    <w:p w14:paraId="01812194" w14:textId="77777777" w:rsidR="002D7D92" w:rsidRPr="000F3AFC" w:rsidRDefault="002D7D92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1ECDA" w14:textId="77777777" w:rsidR="00DD1926" w:rsidRPr="00216486" w:rsidRDefault="00DD192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62F">
        <w:rPr>
          <w:rFonts w:ascii="Times New Roman" w:hAnsi="Times New Roman" w:cs="Times New Roman"/>
          <w:sz w:val="24"/>
          <w:szCs w:val="24"/>
          <w:lang w:val="en-US"/>
        </w:rPr>
        <w:t xml:space="preserve">BROWNLIE, Ian. </w:t>
      </w:r>
      <w:r w:rsidRPr="000F462F">
        <w:rPr>
          <w:rFonts w:ascii="Times New Roman" w:hAnsi="Times New Roman" w:cs="Times New Roman"/>
          <w:b/>
          <w:sz w:val="24"/>
          <w:szCs w:val="24"/>
          <w:lang w:val="en-US"/>
        </w:rPr>
        <w:t>Principles of Public International Law</w:t>
      </w:r>
      <w:r w:rsidRPr="000F462F">
        <w:rPr>
          <w:rFonts w:ascii="Times New Roman" w:hAnsi="Times New Roman" w:cs="Times New Roman"/>
          <w:sz w:val="24"/>
          <w:szCs w:val="24"/>
          <w:lang w:val="en-US"/>
        </w:rPr>
        <w:t>. 5</w:t>
      </w:r>
      <w:r w:rsidR="00F313BC" w:rsidRPr="000F46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462F">
        <w:rPr>
          <w:rFonts w:ascii="Times New Roman" w:hAnsi="Times New Roman" w:cs="Times New Roman"/>
          <w:sz w:val="24"/>
          <w:szCs w:val="24"/>
          <w:lang w:val="en-US"/>
        </w:rPr>
        <w:t xml:space="preserve"> ed. </w:t>
      </w:r>
      <w:r w:rsidRPr="00216486">
        <w:rPr>
          <w:rFonts w:ascii="Times New Roman" w:hAnsi="Times New Roman" w:cs="Times New Roman"/>
          <w:sz w:val="24"/>
          <w:szCs w:val="24"/>
        </w:rPr>
        <w:t xml:space="preserve">Nova Iorque: Oxford </w:t>
      </w:r>
      <w:proofErr w:type="spellStart"/>
      <w:r w:rsidRPr="0021648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16486">
        <w:rPr>
          <w:rFonts w:ascii="Times New Roman" w:hAnsi="Times New Roman" w:cs="Times New Roman"/>
          <w:sz w:val="24"/>
          <w:szCs w:val="24"/>
        </w:rPr>
        <w:t xml:space="preserve"> Press, 1998.</w:t>
      </w:r>
    </w:p>
    <w:p w14:paraId="491848FA" w14:textId="77777777" w:rsidR="00DD1926" w:rsidRPr="00216486" w:rsidRDefault="00DD192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86480" w14:textId="356EBD49" w:rsidR="00216486" w:rsidRDefault="0021648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6696597"/>
      <w:r w:rsidRPr="00216486">
        <w:rPr>
          <w:rFonts w:ascii="Times New Roman" w:hAnsi="Times New Roman" w:cs="Times New Roman"/>
          <w:sz w:val="24"/>
          <w:szCs w:val="24"/>
        </w:rPr>
        <w:t xml:space="preserve">CERQUEIRA REIS, R. A proteção dos Direitos Humanos na Corte Internacional de Justiça: comentários ao julgamento das medidas provisórias de proteção à população </w:t>
      </w:r>
      <w:proofErr w:type="spellStart"/>
      <w:r w:rsidRPr="00216486">
        <w:rPr>
          <w:rFonts w:ascii="Times New Roman" w:hAnsi="Times New Roman" w:cs="Times New Roman"/>
          <w:sz w:val="24"/>
          <w:szCs w:val="24"/>
        </w:rPr>
        <w:t>Rohingya</w:t>
      </w:r>
      <w:proofErr w:type="spellEnd"/>
      <w:r w:rsidRPr="00216486">
        <w:rPr>
          <w:rFonts w:ascii="Times New Roman" w:hAnsi="Times New Roman" w:cs="Times New Roman"/>
          <w:sz w:val="24"/>
          <w:szCs w:val="24"/>
        </w:rPr>
        <w:t xml:space="preserve"> no caso Gâmbia vs. Myanmar sobre a violação da Convenção de Genocídio (1948). </w:t>
      </w:r>
      <w:r w:rsidRPr="00216486">
        <w:rPr>
          <w:rFonts w:ascii="Times New Roman" w:hAnsi="Times New Roman" w:cs="Times New Roman"/>
          <w:b/>
          <w:bCs/>
          <w:sz w:val="24"/>
          <w:szCs w:val="24"/>
        </w:rPr>
        <w:t>Carta Internacional</w:t>
      </w:r>
      <w:r w:rsidRPr="00216486">
        <w:rPr>
          <w:rFonts w:ascii="Times New Roman" w:hAnsi="Times New Roman" w:cs="Times New Roman"/>
          <w:sz w:val="24"/>
          <w:szCs w:val="24"/>
        </w:rPr>
        <w:t>, [S. l.], v. 15, n. 3, 2020. DOI: 10.21530/</w:t>
      </w:r>
      <w:proofErr w:type="gramStart"/>
      <w:r w:rsidRPr="00216486">
        <w:rPr>
          <w:rFonts w:ascii="Times New Roman" w:hAnsi="Times New Roman" w:cs="Times New Roman"/>
          <w:sz w:val="24"/>
          <w:szCs w:val="24"/>
        </w:rPr>
        <w:t>ci.v</w:t>
      </w:r>
      <w:proofErr w:type="gramEnd"/>
      <w:r w:rsidRPr="00216486">
        <w:rPr>
          <w:rFonts w:ascii="Times New Roman" w:hAnsi="Times New Roman" w:cs="Times New Roman"/>
          <w:sz w:val="24"/>
          <w:szCs w:val="24"/>
        </w:rPr>
        <w:t xml:space="preserve">15n3.2020.1061. Disponível em: https://cartainternacional.abri.org.br/Carta/article/view/1061. </w:t>
      </w:r>
      <w:proofErr w:type="spellStart"/>
      <w:r w:rsidRPr="00216486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216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48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216486">
        <w:rPr>
          <w:rFonts w:ascii="Times New Roman" w:hAnsi="Times New Roman" w:cs="Times New Roman"/>
          <w:sz w:val="24"/>
          <w:szCs w:val="24"/>
          <w:lang w:val="en-US"/>
        </w:rPr>
        <w:t>: 25 mar. 2021.</w:t>
      </w:r>
    </w:p>
    <w:p w14:paraId="6DA191F0" w14:textId="77777777" w:rsidR="00216486" w:rsidRDefault="0021648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E89A14" w14:textId="51D7B255" w:rsidR="00216486" w:rsidRPr="00216486" w:rsidRDefault="0021648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CORTE INTERNACIONAL DE JUSTIÇA. </w:t>
      </w:r>
      <w:r w:rsidRPr="00216486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of the Convention on the Prevention and Punishment of the Crime of Genocide (The Gambia v. Myanmar)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16486">
        <w:rPr>
          <w:rFonts w:ascii="Times New Roman" w:hAnsi="Times New Roman" w:cs="Times New Roman"/>
          <w:sz w:val="24"/>
          <w:szCs w:val="24"/>
          <w:lang w:val="en-US"/>
        </w:rPr>
        <w:t>Order of 23 January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6486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Pr="00216486">
        <w:rPr>
          <w:rFonts w:ascii="Times New Roman" w:hAnsi="Times New Roman" w:cs="Times New Roman"/>
          <w:sz w:val="24"/>
          <w:szCs w:val="24"/>
          <w:lang w:val="en-US"/>
        </w:rPr>
        <w:t>equest for the indication of provisional measures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2020. </w:t>
      </w:r>
      <w:r w:rsidRPr="00216486">
        <w:rPr>
          <w:rFonts w:ascii="Times New Roman" w:hAnsi="Times New Roman" w:cs="Times New Roman"/>
          <w:sz w:val="24"/>
          <w:szCs w:val="24"/>
        </w:rPr>
        <w:t>Disponível em: https://www.icj-cij.org/public/files/case-related/178/178-20200123-ORD-01-00-EN.pdf. Acesso em: 25 mar. 202</w:t>
      </w:r>
      <w:r w:rsidR="001C3BC7">
        <w:rPr>
          <w:rFonts w:ascii="Times New Roman" w:hAnsi="Times New Roman" w:cs="Times New Roman"/>
          <w:sz w:val="24"/>
          <w:szCs w:val="24"/>
        </w:rPr>
        <w:t>1</w:t>
      </w:r>
      <w:r w:rsidRPr="00216486">
        <w:rPr>
          <w:rFonts w:ascii="Times New Roman" w:hAnsi="Times New Roman" w:cs="Times New Roman"/>
          <w:sz w:val="24"/>
          <w:szCs w:val="24"/>
        </w:rPr>
        <w:t>.</w:t>
      </w:r>
    </w:p>
    <w:p w14:paraId="277EC8F8" w14:textId="77777777" w:rsidR="00216486" w:rsidRPr="00216486" w:rsidRDefault="0021648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p w14:paraId="5560777A" w14:textId="2E027322" w:rsidR="00AE7527" w:rsidRPr="00AE7527" w:rsidRDefault="00AE7527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27">
        <w:rPr>
          <w:rFonts w:ascii="Times New Roman" w:hAnsi="Times New Roman" w:cs="Times New Roman"/>
          <w:sz w:val="24"/>
          <w:szCs w:val="24"/>
          <w:lang w:val="en-US"/>
        </w:rPr>
        <w:t xml:space="preserve">CORTE INTERNACIONAL DE JUSTIÇA. </w:t>
      </w:r>
      <w:r w:rsidRPr="00AE7527">
        <w:rPr>
          <w:rFonts w:ascii="Times New Roman" w:hAnsi="Times New Roman" w:cs="Times New Roman"/>
          <w:b/>
          <w:bCs/>
          <w:sz w:val="24"/>
          <w:szCs w:val="24"/>
          <w:lang w:val="en-US"/>
        </w:rPr>
        <w:t>Barcelona Traction, Light and Power Company, Limited (Belgium v. Spain) (New Application: 1962)</w:t>
      </w:r>
      <w:r w:rsidRPr="00AE75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F3AFC">
        <w:rPr>
          <w:rFonts w:ascii="Times New Roman" w:hAnsi="Times New Roman" w:cs="Times New Roman"/>
          <w:sz w:val="24"/>
          <w:szCs w:val="24"/>
        </w:rPr>
        <w:t>Judgment</w:t>
      </w:r>
      <w:proofErr w:type="spellEnd"/>
      <w:r w:rsidRPr="000F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AF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F3AF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0F3AFC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0F3AFC">
        <w:rPr>
          <w:rFonts w:ascii="Times New Roman" w:hAnsi="Times New Roman" w:cs="Times New Roman"/>
          <w:sz w:val="24"/>
          <w:szCs w:val="24"/>
        </w:rPr>
        <w:t xml:space="preserve"> 1970, </w:t>
      </w:r>
      <w:proofErr w:type="spellStart"/>
      <w:r w:rsidRPr="000F3AFC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0F3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AFC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F3AFC">
        <w:rPr>
          <w:rFonts w:ascii="Times New Roman" w:hAnsi="Times New Roman" w:cs="Times New Roman"/>
          <w:sz w:val="24"/>
          <w:szCs w:val="24"/>
        </w:rPr>
        <w:t xml:space="preserve">, Haia, 1970. </w:t>
      </w:r>
      <w:r w:rsidRPr="00AE7527">
        <w:rPr>
          <w:rFonts w:ascii="Times New Roman" w:hAnsi="Times New Roman" w:cs="Times New Roman"/>
          <w:sz w:val="24"/>
          <w:szCs w:val="24"/>
        </w:rPr>
        <w:t>Disponível em: https://www.icj-cij.org/files/case-related/50/050-19700205-JUD-01-00-EN.pdf. Acesso em 25 mar. 202</w:t>
      </w:r>
      <w:r w:rsidR="001C3BC7">
        <w:rPr>
          <w:rFonts w:ascii="Times New Roman" w:hAnsi="Times New Roman" w:cs="Times New Roman"/>
          <w:sz w:val="24"/>
          <w:szCs w:val="24"/>
        </w:rPr>
        <w:t>1</w:t>
      </w:r>
      <w:r w:rsidRPr="00AE7527">
        <w:rPr>
          <w:rFonts w:ascii="Times New Roman" w:hAnsi="Times New Roman" w:cs="Times New Roman"/>
          <w:sz w:val="24"/>
          <w:szCs w:val="24"/>
        </w:rPr>
        <w:t>.</w:t>
      </w:r>
    </w:p>
    <w:p w14:paraId="42F623EA" w14:textId="576F47F7" w:rsidR="006C3A1A" w:rsidRDefault="006C3A1A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8AF63" w14:textId="19ED5B11" w:rsidR="002E30B6" w:rsidRPr="002E30B6" w:rsidRDefault="002E30B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30B6">
        <w:rPr>
          <w:rFonts w:ascii="Times New Roman" w:hAnsi="Times New Roman" w:cs="Times New Roman"/>
          <w:sz w:val="24"/>
          <w:szCs w:val="24"/>
          <w:lang w:val="en-US"/>
        </w:rPr>
        <w:t xml:space="preserve">KOSKENNIEMI, </w:t>
      </w:r>
      <w:proofErr w:type="spellStart"/>
      <w:r w:rsidRPr="002E30B6">
        <w:rPr>
          <w:rFonts w:ascii="Times New Roman" w:hAnsi="Times New Roman" w:cs="Times New Roman"/>
          <w:sz w:val="24"/>
          <w:szCs w:val="24"/>
          <w:lang w:val="en-US"/>
        </w:rPr>
        <w:t>Martti</w:t>
      </w:r>
      <w:proofErr w:type="spellEnd"/>
      <w:r w:rsidRPr="002E30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E30B6">
        <w:rPr>
          <w:rFonts w:ascii="Times New Roman" w:hAnsi="Times New Roman" w:cs="Times New Roman"/>
          <w:b/>
          <w:bCs/>
          <w:sz w:val="24"/>
          <w:szCs w:val="24"/>
          <w:lang w:val="en-US"/>
        </w:rPr>
        <w:t>From Apology to Utopia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E30B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30B6">
        <w:rPr>
          <w:rFonts w:ascii="Times New Roman" w:hAnsi="Times New Roman" w:cs="Times New Roman"/>
          <w:sz w:val="24"/>
          <w:szCs w:val="24"/>
          <w:lang w:val="en-US"/>
        </w:rPr>
        <w:t>tructure of International Legal Argumen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t; </w:t>
      </w:r>
      <w:r w:rsidRPr="002E30B6">
        <w:rPr>
          <w:rFonts w:ascii="Times New Roman" w:hAnsi="Times New Roman" w:cs="Times New Roman"/>
          <w:sz w:val="24"/>
          <w:szCs w:val="24"/>
          <w:lang w:val="en-US"/>
        </w:rPr>
        <w:t xml:space="preserve">Reissue with a new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E30B6">
        <w:rPr>
          <w:rFonts w:ascii="Times New Roman" w:hAnsi="Times New Roman" w:cs="Times New Roman"/>
          <w:sz w:val="24"/>
          <w:szCs w:val="24"/>
          <w:lang w:val="en-US"/>
        </w:rPr>
        <w:t>pilogue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3131">
        <w:rPr>
          <w:rFonts w:ascii="Times New Roman" w:hAnsi="Times New Roman" w:cs="Times New Roman"/>
          <w:sz w:val="24"/>
          <w:szCs w:val="24"/>
          <w:lang w:val="en-US"/>
        </w:rPr>
        <w:t xml:space="preserve">Nova </w:t>
      </w:r>
      <w:proofErr w:type="spellStart"/>
      <w:r w:rsidRPr="00DA3131">
        <w:rPr>
          <w:rFonts w:ascii="Times New Roman" w:hAnsi="Times New Roman" w:cs="Times New Roman"/>
          <w:sz w:val="24"/>
          <w:szCs w:val="24"/>
          <w:lang w:val="en-US"/>
        </w:rPr>
        <w:t>Iorque</w:t>
      </w:r>
      <w:proofErr w:type="spellEnd"/>
      <w:r w:rsidRPr="00DA3131">
        <w:rPr>
          <w:rFonts w:ascii="Times New Roman" w:hAnsi="Times New Roman" w:cs="Times New Roman"/>
          <w:sz w:val="24"/>
          <w:szCs w:val="24"/>
          <w:lang w:val="en-US"/>
        </w:rPr>
        <w:t>: Oxford University Press, 2005.</w:t>
      </w:r>
    </w:p>
    <w:p w14:paraId="072A5590" w14:textId="77777777" w:rsidR="002E30B6" w:rsidRPr="002E30B6" w:rsidRDefault="002E30B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6CD902" w14:textId="3F00BD94" w:rsidR="001C3BC7" w:rsidRDefault="001C3BC7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20">
        <w:rPr>
          <w:rFonts w:ascii="Times New Roman" w:hAnsi="Times New Roman" w:cs="Times New Roman"/>
          <w:sz w:val="24"/>
          <w:szCs w:val="24"/>
          <w:lang w:val="en-US"/>
        </w:rPr>
        <w:t xml:space="preserve">ORGANIZAÇÃO DAS NAÇÕES UNIDAS. </w:t>
      </w:r>
      <w:r w:rsidRPr="001C3BC7">
        <w:rPr>
          <w:rFonts w:ascii="Times New Roman" w:hAnsi="Times New Roman" w:cs="Times New Roman"/>
          <w:sz w:val="24"/>
          <w:szCs w:val="24"/>
          <w:lang w:val="en-US"/>
        </w:rPr>
        <w:t xml:space="preserve">Situation of human rights of Rohingya Muslims and other minorities in Myanmar. </w:t>
      </w:r>
      <w:r w:rsidRPr="001C3BC7">
        <w:rPr>
          <w:rFonts w:ascii="Times New Roman" w:hAnsi="Times New Roman" w:cs="Times New Roman"/>
          <w:b/>
          <w:bCs/>
          <w:sz w:val="24"/>
          <w:szCs w:val="24"/>
          <w:lang w:val="en-US"/>
        </w:rPr>
        <w:t>Report of the United Nations High Commissioner for Human Rights. Human Rights Council A/HRC/32/18</w:t>
      </w:r>
      <w:r w:rsidRPr="001C3BC7">
        <w:rPr>
          <w:rFonts w:ascii="Times New Roman" w:hAnsi="Times New Roman" w:cs="Times New Roman"/>
          <w:sz w:val="24"/>
          <w:szCs w:val="24"/>
          <w:lang w:val="en-US"/>
        </w:rPr>
        <w:t xml:space="preserve">. 29 jun. 2016. </w:t>
      </w:r>
      <w:proofErr w:type="spellStart"/>
      <w:r w:rsidRPr="00C45720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C457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5720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45720">
        <w:rPr>
          <w:rFonts w:ascii="Times New Roman" w:hAnsi="Times New Roman" w:cs="Times New Roman"/>
          <w:sz w:val="24"/>
          <w:szCs w:val="24"/>
          <w:lang w:val="en-US"/>
        </w:rPr>
        <w:t xml:space="preserve">: https://digitallibrary.un.org/record/846981. </w:t>
      </w:r>
      <w:r w:rsidRPr="001C3BC7">
        <w:rPr>
          <w:rFonts w:ascii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hAnsi="Times New Roman" w:cs="Times New Roman"/>
          <w:sz w:val="24"/>
          <w:szCs w:val="24"/>
        </w:rPr>
        <w:t>25 mar. 2021.</w:t>
      </w:r>
    </w:p>
    <w:p w14:paraId="15CA7B48" w14:textId="77777777" w:rsidR="001C3BC7" w:rsidRDefault="001C3BC7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13A8C" w14:textId="03CE20BC" w:rsidR="00AE7527" w:rsidRPr="000F3AFC" w:rsidRDefault="00AE7527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527">
        <w:rPr>
          <w:rFonts w:ascii="Times New Roman" w:hAnsi="Times New Roman" w:cs="Times New Roman"/>
          <w:sz w:val="24"/>
          <w:szCs w:val="24"/>
        </w:rPr>
        <w:t xml:space="preserve">RAMOS, André de Carvalho. </w:t>
      </w:r>
      <w:r w:rsidRPr="00AE7527">
        <w:rPr>
          <w:rFonts w:ascii="Times New Roman" w:hAnsi="Times New Roman" w:cs="Times New Roman"/>
          <w:b/>
          <w:bCs/>
          <w:sz w:val="24"/>
          <w:szCs w:val="24"/>
        </w:rPr>
        <w:t>Teoria dos Direitos Humanos na Ordem Internacional</w:t>
      </w:r>
      <w:r w:rsidRPr="00AE7527">
        <w:rPr>
          <w:rFonts w:ascii="Times New Roman" w:hAnsi="Times New Roman" w:cs="Times New Roman"/>
          <w:sz w:val="24"/>
          <w:szCs w:val="24"/>
        </w:rPr>
        <w:t xml:space="preserve">. </w:t>
      </w:r>
      <w:r w:rsidRPr="000F3AFC">
        <w:rPr>
          <w:rFonts w:ascii="Times New Roman" w:hAnsi="Times New Roman" w:cs="Times New Roman"/>
          <w:sz w:val="24"/>
          <w:szCs w:val="24"/>
        </w:rPr>
        <w:t>6. ed. São Paulo: Saraiva, 2016.</w:t>
      </w:r>
    </w:p>
    <w:p w14:paraId="22DF37CE" w14:textId="6065E4A0" w:rsidR="001A09BE" w:rsidRDefault="001A09BE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0C3C3" w14:textId="1AA2CA97" w:rsidR="00A350D2" w:rsidRDefault="00A350D2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67657081"/>
      <w:r w:rsidRPr="00A350D2">
        <w:rPr>
          <w:rFonts w:ascii="Times New Roman" w:hAnsi="Times New Roman" w:cs="Times New Roman"/>
          <w:sz w:val="24"/>
          <w:szCs w:val="24"/>
        </w:rPr>
        <w:t xml:space="preserve">SILVA, Carlos Augusto Canedo Gonçalves da; REIS, Roberta Cerqueira. </w:t>
      </w:r>
      <w:r w:rsidR="00F24C8F" w:rsidRPr="00A350D2">
        <w:rPr>
          <w:rFonts w:ascii="Times New Roman" w:hAnsi="Times New Roman" w:cs="Times New Roman"/>
          <w:sz w:val="24"/>
          <w:szCs w:val="24"/>
        </w:rPr>
        <w:t xml:space="preserve">Direitos Humanos </w:t>
      </w:r>
      <w:r w:rsidR="00F24C8F">
        <w:rPr>
          <w:rFonts w:ascii="Times New Roman" w:hAnsi="Times New Roman" w:cs="Times New Roman"/>
          <w:sz w:val="24"/>
          <w:szCs w:val="24"/>
        </w:rPr>
        <w:t>e a</w:t>
      </w:r>
      <w:r w:rsidR="00F24C8F" w:rsidRPr="00A350D2">
        <w:rPr>
          <w:rFonts w:ascii="Times New Roman" w:hAnsi="Times New Roman" w:cs="Times New Roman"/>
          <w:sz w:val="24"/>
          <w:szCs w:val="24"/>
        </w:rPr>
        <w:t xml:space="preserve"> Corte Internacional </w:t>
      </w:r>
      <w:r w:rsidR="00F24C8F">
        <w:rPr>
          <w:rFonts w:ascii="Times New Roman" w:hAnsi="Times New Roman" w:cs="Times New Roman"/>
          <w:sz w:val="24"/>
          <w:szCs w:val="24"/>
        </w:rPr>
        <w:t>d</w:t>
      </w:r>
      <w:r w:rsidR="00F24C8F" w:rsidRPr="00A350D2">
        <w:rPr>
          <w:rFonts w:ascii="Times New Roman" w:hAnsi="Times New Roman" w:cs="Times New Roman"/>
          <w:sz w:val="24"/>
          <w:szCs w:val="24"/>
        </w:rPr>
        <w:t>e Justiç</w:t>
      </w:r>
      <w:r w:rsidR="00F24C8F">
        <w:rPr>
          <w:rFonts w:ascii="Times New Roman" w:hAnsi="Times New Roman" w:cs="Times New Roman"/>
          <w:sz w:val="24"/>
          <w:szCs w:val="24"/>
        </w:rPr>
        <w:t>a</w:t>
      </w:r>
      <w:r w:rsidRPr="00A350D2">
        <w:rPr>
          <w:rFonts w:ascii="Times New Roman" w:hAnsi="Times New Roman" w:cs="Times New Roman"/>
          <w:sz w:val="24"/>
          <w:szCs w:val="24"/>
        </w:rPr>
        <w:t xml:space="preserve">. </w:t>
      </w:r>
      <w:r w:rsidRPr="00F24C8F">
        <w:rPr>
          <w:rFonts w:ascii="Times New Roman" w:hAnsi="Times New Roman" w:cs="Times New Roman"/>
          <w:b/>
          <w:bCs/>
          <w:sz w:val="24"/>
          <w:szCs w:val="24"/>
        </w:rPr>
        <w:t>Revista do Instituto Brasileiro de Direitos Humanos</w:t>
      </w:r>
      <w:r w:rsidRPr="00A350D2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A350D2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A350D2">
        <w:rPr>
          <w:rFonts w:ascii="Times New Roman" w:hAnsi="Times New Roman" w:cs="Times New Roman"/>
          <w:sz w:val="24"/>
          <w:szCs w:val="24"/>
        </w:rPr>
        <w:t>.], n. 16, nov. 2016. ISSN 1677-1419. Disponível em: http://revista.ibdh.org.br/index.php/ibdh/article/view/344. Acesso em: 2</w:t>
      </w:r>
      <w:r w:rsidR="00F24C8F">
        <w:rPr>
          <w:rFonts w:ascii="Times New Roman" w:hAnsi="Times New Roman" w:cs="Times New Roman"/>
          <w:sz w:val="24"/>
          <w:szCs w:val="24"/>
        </w:rPr>
        <w:t>5</w:t>
      </w:r>
      <w:r w:rsidRPr="00A350D2">
        <w:rPr>
          <w:rFonts w:ascii="Times New Roman" w:hAnsi="Times New Roman" w:cs="Times New Roman"/>
          <w:sz w:val="24"/>
          <w:szCs w:val="24"/>
        </w:rPr>
        <w:t xml:space="preserve"> mar. 2021.</w:t>
      </w:r>
    </w:p>
    <w:bookmarkEnd w:id="3"/>
    <w:p w14:paraId="06AE3E3F" w14:textId="77777777" w:rsidR="00A350D2" w:rsidRPr="000F462F" w:rsidRDefault="00A350D2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CABA8" w14:textId="77777777" w:rsidR="001A09BE" w:rsidRPr="000F462F" w:rsidRDefault="00AC01D1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62F">
        <w:rPr>
          <w:rFonts w:ascii="Times New Roman" w:hAnsi="Times New Roman" w:cs="Times New Roman"/>
          <w:sz w:val="24"/>
          <w:szCs w:val="24"/>
        </w:rPr>
        <w:t xml:space="preserve">TRINDADE, Antônio Augusto </w:t>
      </w:r>
      <w:proofErr w:type="spellStart"/>
      <w:r w:rsidRPr="000F462F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 w:rsidRPr="000F462F">
        <w:rPr>
          <w:rFonts w:ascii="Times New Roman" w:hAnsi="Times New Roman" w:cs="Times New Roman"/>
          <w:sz w:val="24"/>
          <w:szCs w:val="24"/>
        </w:rPr>
        <w:t>.</w:t>
      </w:r>
      <w:r w:rsidR="001A09BE" w:rsidRPr="000F462F">
        <w:rPr>
          <w:rFonts w:ascii="Times New Roman" w:hAnsi="Times New Roman" w:cs="Times New Roman"/>
          <w:sz w:val="24"/>
          <w:szCs w:val="24"/>
        </w:rPr>
        <w:t xml:space="preserve"> </w:t>
      </w:r>
      <w:r w:rsidR="001A09BE" w:rsidRPr="000F462F">
        <w:rPr>
          <w:rFonts w:ascii="Times New Roman" w:hAnsi="Times New Roman" w:cs="Times New Roman"/>
          <w:b/>
          <w:sz w:val="24"/>
          <w:szCs w:val="24"/>
        </w:rPr>
        <w:t xml:space="preserve">Os Tribunais Internacionais Contemporâneos. </w:t>
      </w:r>
      <w:r w:rsidR="001A09BE" w:rsidRPr="000F462F">
        <w:rPr>
          <w:rFonts w:ascii="Times New Roman" w:hAnsi="Times New Roman" w:cs="Times New Roman"/>
          <w:sz w:val="24"/>
          <w:szCs w:val="24"/>
        </w:rPr>
        <w:t>Brasília: FUNAG, 2013.</w:t>
      </w:r>
    </w:p>
    <w:p w14:paraId="66293F53" w14:textId="77777777" w:rsidR="002E30B6" w:rsidRDefault="002E30B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39587" w14:textId="7147AF9E" w:rsidR="00C15B6A" w:rsidRPr="000F462F" w:rsidRDefault="00AC01D1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F462F">
        <w:rPr>
          <w:rFonts w:ascii="Times New Roman" w:hAnsi="Times New Roman" w:cs="Times New Roman"/>
          <w:sz w:val="24"/>
          <w:szCs w:val="24"/>
        </w:rPr>
        <w:t xml:space="preserve">TRINDADE, Antônio Augusto </w:t>
      </w:r>
      <w:proofErr w:type="spellStart"/>
      <w:r w:rsidRPr="000F462F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 w:rsidRPr="000F462F">
        <w:rPr>
          <w:rFonts w:ascii="Times New Roman" w:hAnsi="Times New Roman" w:cs="Times New Roman"/>
          <w:sz w:val="24"/>
          <w:szCs w:val="24"/>
        </w:rPr>
        <w:t>.</w:t>
      </w:r>
      <w:r w:rsidR="00C15B6A" w:rsidRPr="000F462F">
        <w:rPr>
          <w:rFonts w:ascii="Times New Roman" w:hAnsi="Times New Roman" w:cs="Times New Roman"/>
          <w:sz w:val="24"/>
          <w:szCs w:val="24"/>
        </w:rPr>
        <w:t xml:space="preserve"> </w:t>
      </w:r>
      <w:r w:rsidR="00C15B6A" w:rsidRPr="000F462F">
        <w:rPr>
          <w:rFonts w:ascii="Times New Roman" w:hAnsi="Times New Roman" w:cs="Times New Roman"/>
          <w:b/>
          <w:sz w:val="24"/>
          <w:szCs w:val="24"/>
        </w:rPr>
        <w:t>Tratado de Direito Internacional dos</w:t>
      </w:r>
      <w:r w:rsidR="00F313BC" w:rsidRPr="000F4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B6A" w:rsidRPr="000F462F">
        <w:rPr>
          <w:rFonts w:ascii="Times New Roman" w:hAnsi="Times New Roman" w:cs="Times New Roman"/>
          <w:b/>
          <w:sz w:val="24"/>
          <w:szCs w:val="24"/>
        </w:rPr>
        <w:t>Direitos Humanos</w:t>
      </w:r>
      <w:r w:rsidR="00C15B6A" w:rsidRPr="000F462F">
        <w:rPr>
          <w:rFonts w:ascii="Times New Roman" w:hAnsi="Times New Roman" w:cs="Times New Roman"/>
          <w:sz w:val="24"/>
          <w:szCs w:val="24"/>
        </w:rPr>
        <w:t xml:space="preserve">. Volume II. Porto Alegre: Sergio </w:t>
      </w:r>
      <w:proofErr w:type="spellStart"/>
      <w:r w:rsidR="00C15B6A" w:rsidRPr="000F462F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C15B6A" w:rsidRPr="000F462F">
        <w:rPr>
          <w:rFonts w:ascii="Times New Roman" w:hAnsi="Times New Roman" w:cs="Times New Roman"/>
          <w:sz w:val="24"/>
          <w:szCs w:val="24"/>
        </w:rPr>
        <w:t xml:space="preserve"> Fabris Editor, 2003.</w:t>
      </w:r>
    </w:p>
    <w:p w14:paraId="27CC410C" w14:textId="77777777" w:rsidR="00F97016" w:rsidRPr="000F462F" w:rsidRDefault="00F97016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E83D81" w14:textId="53DC92A2" w:rsidR="00050364" w:rsidRPr="000F462F" w:rsidRDefault="00EA703E" w:rsidP="0061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67609185"/>
      <w:bookmarkEnd w:id="0"/>
      <w:r>
        <w:rPr>
          <w:rFonts w:ascii="Times New Roman" w:hAnsi="Times New Roman" w:cs="Times New Roman"/>
          <w:sz w:val="24"/>
          <w:szCs w:val="24"/>
        </w:rPr>
        <w:t xml:space="preserve">VARGAS, Flávio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Aristimunho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LIBORIO, Guilherme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Sturion</w:t>
      </w:r>
      <w:proofErr w:type="spellEnd"/>
      <w:r w:rsidRPr="00EA703E">
        <w:rPr>
          <w:rFonts w:ascii="Times New Roman" w:hAnsi="Times New Roman" w:cs="Times New Roman"/>
          <w:sz w:val="24"/>
          <w:szCs w:val="24"/>
        </w:rPr>
        <w:t>. Repensando a personalidade jurídica internacional: os indivíd</w:t>
      </w:r>
      <w:r>
        <w:rPr>
          <w:rFonts w:ascii="Times New Roman" w:hAnsi="Times New Roman" w:cs="Times New Roman"/>
          <w:sz w:val="24"/>
          <w:szCs w:val="24"/>
        </w:rPr>
        <w:t>uos como sujeitos do Direito Internacional</w:t>
      </w:r>
      <w:r w:rsidRPr="00EA703E">
        <w:rPr>
          <w:rFonts w:ascii="Times New Roman" w:hAnsi="Times New Roman" w:cs="Times New Roman"/>
          <w:sz w:val="24"/>
          <w:szCs w:val="24"/>
        </w:rPr>
        <w:t xml:space="preserve">, p.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F3AFC">
        <w:rPr>
          <w:rFonts w:ascii="Times New Roman" w:hAnsi="Times New Roman" w:cs="Times New Roman"/>
          <w:sz w:val="24"/>
          <w:szCs w:val="24"/>
        </w:rPr>
        <w:t>7-</w:t>
      </w:r>
      <w:r w:rsidR="000F3AFC" w:rsidRPr="000F3AFC">
        <w:rPr>
          <w:rFonts w:ascii="Times New Roman" w:hAnsi="Times New Roman" w:cs="Times New Roman"/>
          <w:sz w:val="24"/>
          <w:szCs w:val="24"/>
        </w:rPr>
        <w:t>322</w:t>
      </w:r>
      <w:r w:rsidRPr="000F3AFC">
        <w:rPr>
          <w:rFonts w:ascii="Times New Roman" w:hAnsi="Times New Roman" w:cs="Times New Roman"/>
          <w:sz w:val="24"/>
          <w:szCs w:val="24"/>
        </w:rPr>
        <w:t xml:space="preserve">. </w:t>
      </w:r>
      <w:r w:rsidRPr="000F3AFC">
        <w:rPr>
          <w:rFonts w:ascii="Times New Roman" w:hAnsi="Times New Roman" w:cs="Times New Roman"/>
          <w:b/>
          <w:bCs/>
          <w:sz w:val="24"/>
          <w:szCs w:val="24"/>
        </w:rPr>
        <w:t>Boletim da Sociedade Brasileira de Direito Internacional</w:t>
      </w:r>
      <w:r w:rsidRPr="000F3AFC">
        <w:rPr>
          <w:rFonts w:ascii="Times New Roman" w:hAnsi="Times New Roman" w:cs="Times New Roman"/>
          <w:sz w:val="24"/>
          <w:szCs w:val="24"/>
        </w:rPr>
        <w:t>. Ano C</w:t>
      </w:r>
      <w:r w:rsidR="000F3AFC" w:rsidRPr="000F3AFC">
        <w:rPr>
          <w:rFonts w:ascii="Times New Roman" w:hAnsi="Times New Roman" w:cs="Times New Roman"/>
          <w:sz w:val="24"/>
          <w:szCs w:val="24"/>
        </w:rPr>
        <w:t>V</w:t>
      </w:r>
      <w:r w:rsidRPr="000F3AFC">
        <w:rPr>
          <w:rFonts w:ascii="Times New Roman" w:hAnsi="Times New Roman" w:cs="Times New Roman"/>
          <w:sz w:val="24"/>
          <w:szCs w:val="24"/>
        </w:rPr>
        <w:t xml:space="preserve">I, </w:t>
      </w:r>
      <w:proofErr w:type="gramStart"/>
      <w:r w:rsidR="000F3AFC" w:rsidRPr="000F3AFC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="000F3AFC" w:rsidRPr="000F3AFC">
        <w:rPr>
          <w:rFonts w:ascii="Times New Roman" w:hAnsi="Times New Roman" w:cs="Times New Roman"/>
          <w:sz w:val="24"/>
          <w:szCs w:val="24"/>
        </w:rPr>
        <w:t>/Junho</w:t>
      </w:r>
      <w:r w:rsidRPr="000F3AFC">
        <w:rPr>
          <w:rFonts w:ascii="Times New Roman" w:hAnsi="Times New Roman" w:cs="Times New Roman"/>
          <w:sz w:val="24"/>
          <w:szCs w:val="24"/>
        </w:rPr>
        <w:t xml:space="preserve"> 20</w:t>
      </w:r>
      <w:r w:rsidR="000F3AFC" w:rsidRPr="000F3AFC">
        <w:rPr>
          <w:rFonts w:ascii="Times New Roman" w:hAnsi="Times New Roman" w:cs="Times New Roman"/>
          <w:sz w:val="24"/>
          <w:szCs w:val="24"/>
        </w:rPr>
        <w:t>20</w:t>
      </w:r>
      <w:r w:rsidRPr="000F3AFC">
        <w:rPr>
          <w:rFonts w:ascii="Times New Roman" w:hAnsi="Times New Roman" w:cs="Times New Roman"/>
          <w:sz w:val="24"/>
          <w:szCs w:val="24"/>
        </w:rPr>
        <w:t>, nº. 1</w:t>
      </w:r>
      <w:r w:rsidR="000F3AFC" w:rsidRPr="000F3AFC">
        <w:rPr>
          <w:rFonts w:ascii="Times New Roman" w:hAnsi="Times New Roman" w:cs="Times New Roman"/>
          <w:sz w:val="24"/>
          <w:szCs w:val="24"/>
        </w:rPr>
        <w:t>51-155</w:t>
      </w:r>
      <w:r w:rsidRPr="000F3AFC">
        <w:rPr>
          <w:rFonts w:ascii="Times New Roman" w:hAnsi="Times New Roman" w:cs="Times New Roman"/>
          <w:sz w:val="24"/>
          <w:szCs w:val="24"/>
        </w:rPr>
        <w:t>, V.10</w:t>
      </w:r>
      <w:r w:rsidR="000F3AFC" w:rsidRPr="000F3AFC">
        <w:rPr>
          <w:rFonts w:ascii="Times New Roman" w:hAnsi="Times New Roman" w:cs="Times New Roman"/>
          <w:sz w:val="24"/>
          <w:szCs w:val="24"/>
        </w:rPr>
        <w:t>8</w:t>
      </w:r>
      <w:r w:rsidRPr="000F3AFC">
        <w:rPr>
          <w:rFonts w:ascii="Times New Roman" w:hAnsi="Times New Roman" w:cs="Times New Roman"/>
          <w:sz w:val="24"/>
          <w:szCs w:val="24"/>
        </w:rPr>
        <w:t>.</w:t>
      </w:r>
      <w:bookmarkEnd w:id="4"/>
    </w:p>
    <w:sectPr w:rsidR="00050364" w:rsidRPr="000F462F" w:rsidSect="00D2614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87E5" w14:textId="77777777" w:rsidR="00E74B34" w:rsidRDefault="00E74B34" w:rsidP="0090654C">
      <w:pPr>
        <w:spacing w:after="0" w:line="240" w:lineRule="auto"/>
      </w:pPr>
      <w:r>
        <w:separator/>
      </w:r>
    </w:p>
  </w:endnote>
  <w:endnote w:type="continuationSeparator" w:id="0">
    <w:p w14:paraId="5D176AEA" w14:textId="77777777" w:rsidR="00E74B34" w:rsidRDefault="00E74B34" w:rsidP="0090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1BCF" w14:textId="77777777" w:rsidR="00E74B34" w:rsidRDefault="00E74B34" w:rsidP="0090654C">
      <w:pPr>
        <w:spacing w:after="0" w:line="240" w:lineRule="auto"/>
      </w:pPr>
      <w:r>
        <w:separator/>
      </w:r>
    </w:p>
  </w:footnote>
  <w:footnote w:type="continuationSeparator" w:id="0">
    <w:p w14:paraId="7D833AAF" w14:textId="77777777" w:rsidR="00E74B34" w:rsidRDefault="00E74B34" w:rsidP="0090654C">
      <w:pPr>
        <w:spacing w:after="0" w:line="240" w:lineRule="auto"/>
      </w:pPr>
      <w:r>
        <w:continuationSeparator/>
      </w:r>
    </w:p>
  </w:footnote>
  <w:footnote w:id="1">
    <w:p w14:paraId="0892AEBA" w14:textId="1CFC5DBD" w:rsidR="00DA3131" w:rsidRPr="00DA3131" w:rsidRDefault="00DA3131" w:rsidP="00DA3131">
      <w:pPr>
        <w:pStyle w:val="Textodenotaderodap"/>
        <w:jc w:val="both"/>
        <w:rPr>
          <w:rFonts w:ascii="Times New Roman" w:hAnsi="Times New Roman" w:cs="Times New Roman"/>
        </w:rPr>
      </w:pPr>
      <w:r w:rsidRPr="00DA3131">
        <w:rPr>
          <w:rStyle w:val="Refdenotaderodap"/>
          <w:rFonts w:ascii="Times New Roman" w:hAnsi="Times New Roman" w:cs="Times New Roman"/>
        </w:rPr>
        <w:footnoteRef/>
      </w:r>
      <w:r w:rsidRPr="00DA3131">
        <w:rPr>
          <w:rFonts w:ascii="Times New Roman" w:hAnsi="Times New Roman" w:cs="Times New Roman"/>
        </w:rPr>
        <w:t xml:space="preserve"> Graduada em Direito pelo Centro Universitário “Antônio Eufrásio de Toledo” de Presidente Prudente. Técnica da </w:t>
      </w:r>
      <w:proofErr w:type="spellStart"/>
      <w:r w:rsidRPr="00DA3131">
        <w:rPr>
          <w:rFonts w:ascii="Times New Roman" w:hAnsi="Times New Roman" w:cs="Times New Roman"/>
        </w:rPr>
        <w:t>International</w:t>
      </w:r>
      <w:proofErr w:type="spellEnd"/>
      <w:r w:rsidRPr="00DA3131">
        <w:rPr>
          <w:rFonts w:ascii="Times New Roman" w:hAnsi="Times New Roman" w:cs="Times New Roman"/>
        </w:rPr>
        <w:t xml:space="preserve"> </w:t>
      </w:r>
      <w:proofErr w:type="spellStart"/>
      <w:r w:rsidRPr="00DA3131">
        <w:rPr>
          <w:rFonts w:ascii="Times New Roman" w:hAnsi="Times New Roman" w:cs="Times New Roman"/>
        </w:rPr>
        <w:t>Humanitarian</w:t>
      </w:r>
      <w:proofErr w:type="spellEnd"/>
      <w:r w:rsidRPr="00DA3131">
        <w:rPr>
          <w:rFonts w:ascii="Times New Roman" w:hAnsi="Times New Roman" w:cs="Times New Roman"/>
        </w:rPr>
        <w:t xml:space="preserve"> Law </w:t>
      </w:r>
      <w:proofErr w:type="spellStart"/>
      <w:r w:rsidRPr="00DA3131">
        <w:rPr>
          <w:rFonts w:ascii="Times New Roman" w:hAnsi="Times New Roman" w:cs="Times New Roman"/>
        </w:rPr>
        <w:t>Clinic</w:t>
      </w:r>
      <w:proofErr w:type="spellEnd"/>
      <w:r w:rsidRPr="00DA3131">
        <w:rPr>
          <w:rFonts w:ascii="Times New Roman" w:hAnsi="Times New Roman" w:cs="Times New Roman"/>
        </w:rPr>
        <w:t xml:space="preserve"> (UFRGS). Pesquisadora do Núcleo de Estudos em Tribunais Internacionais da Faculdade de Direito da Universidade de São Paulo - NETI-USP. E-mail: ellenakemy@gmail.com. Link para o currículo Lattes: http://lattes.cnpq.br/2818462372628698.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3371"/>
    <w:multiLevelType w:val="hybridMultilevel"/>
    <w:tmpl w:val="6B14414C"/>
    <w:lvl w:ilvl="0" w:tplc="73DC338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D"/>
    <w:rsid w:val="000048A3"/>
    <w:rsid w:val="000048A5"/>
    <w:rsid w:val="00033DAC"/>
    <w:rsid w:val="00047646"/>
    <w:rsid w:val="00050364"/>
    <w:rsid w:val="000654CE"/>
    <w:rsid w:val="00066D89"/>
    <w:rsid w:val="00073C6E"/>
    <w:rsid w:val="0008509B"/>
    <w:rsid w:val="000C25C3"/>
    <w:rsid w:val="000D1030"/>
    <w:rsid w:val="000E51DF"/>
    <w:rsid w:val="000F3AFC"/>
    <w:rsid w:val="000F462F"/>
    <w:rsid w:val="000F64DE"/>
    <w:rsid w:val="001159A2"/>
    <w:rsid w:val="0011759D"/>
    <w:rsid w:val="001202AB"/>
    <w:rsid w:val="001250AC"/>
    <w:rsid w:val="001360CC"/>
    <w:rsid w:val="00141C36"/>
    <w:rsid w:val="00162772"/>
    <w:rsid w:val="001676AD"/>
    <w:rsid w:val="00171755"/>
    <w:rsid w:val="001A09BE"/>
    <w:rsid w:val="001B7FB0"/>
    <w:rsid w:val="001C3A61"/>
    <w:rsid w:val="001C3BC7"/>
    <w:rsid w:val="001E369E"/>
    <w:rsid w:val="001F2BEB"/>
    <w:rsid w:val="00200133"/>
    <w:rsid w:val="002037D1"/>
    <w:rsid w:val="00216486"/>
    <w:rsid w:val="00217715"/>
    <w:rsid w:val="002602B2"/>
    <w:rsid w:val="00264AE1"/>
    <w:rsid w:val="00271EBA"/>
    <w:rsid w:val="002723D9"/>
    <w:rsid w:val="00286919"/>
    <w:rsid w:val="0029134D"/>
    <w:rsid w:val="002B0525"/>
    <w:rsid w:val="002B4596"/>
    <w:rsid w:val="002C6AE9"/>
    <w:rsid w:val="002D1A76"/>
    <w:rsid w:val="002D7D92"/>
    <w:rsid w:val="002E30B6"/>
    <w:rsid w:val="002F1A71"/>
    <w:rsid w:val="0030018D"/>
    <w:rsid w:val="00323B47"/>
    <w:rsid w:val="00334265"/>
    <w:rsid w:val="00336C0F"/>
    <w:rsid w:val="00342D68"/>
    <w:rsid w:val="0034451B"/>
    <w:rsid w:val="00344543"/>
    <w:rsid w:val="003560C4"/>
    <w:rsid w:val="00361222"/>
    <w:rsid w:val="00366535"/>
    <w:rsid w:val="003673F6"/>
    <w:rsid w:val="003710E7"/>
    <w:rsid w:val="00376BFA"/>
    <w:rsid w:val="00387820"/>
    <w:rsid w:val="003914A7"/>
    <w:rsid w:val="003A3B4D"/>
    <w:rsid w:val="003A6E44"/>
    <w:rsid w:val="003B16A9"/>
    <w:rsid w:val="003C1EB4"/>
    <w:rsid w:val="003C6890"/>
    <w:rsid w:val="003D5FFB"/>
    <w:rsid w:val="003D73B0"/>
    <w:rsid w:val="003F02FD"/>
    <w:rsid w:val="0040596C"/>
    <w:rsid w:val="00416558"/>
    <w:rsid w:val="00420580"/>
    <w:rsid w:val="0042161D"/>
    <w:rsid w:val="00424DA3"/>
    <w:rsid w:val="00443350"/>
    <w:rsid w:val="00446621"/>
    <w:rsid w:val="004548A6"/>
    <w:rsid w:val="0047093A"/>
    <w:rsid w:val="00474116"/>
    <w:rsid w:val="004744D8"/>
    <w:rsid w:val="00474F81"/>
    <w:rsid w:val="004B0ADE"/>
    <w:rsid w:val="004D3DF5"/>
    <w:rsid w:val="004D4CA6"/>
    <w:rsid w:val="00501AD8"/>
    <w:rsid w:val="00511789"/>
    <w:rsid w:val="00516B56"/>
    <w:rsid w:val="005238DD"/>
    <w:rsid w:val="005318DB"/>
    <w:rsid w:val="005342A4"/>
    <w:rsid w:val="005443E1"/>
    <w:rsid w:val="00546F60"/>
    <w:rsid w:val="0055157A"/>
    <w:rsid w:val="005623F9"/>
    <w:rsid w:val="0057561B"/>
    <w:rsid w:val="00584E95"/>
    <w:rsid w:val="00587750"/>
    <w:rsid w:val="00590134"/>
    <w:rsid w:val="00594842"/>
    <w:rsid w:val="005A3013"/>
    <w:rsid w:val="005B004C"/>
    <w:rsid w:val="005B18FB"/>
    <w:rsid w:val="005D114F"/>
    <w:rsid w:val="005D5BC6"/>
    <w:rsid w:val="005E38BB"/>
    <w:rsid w:val="00601FC4"/>
    <w:rsid w:val="00604B66"/>
    <w:rsid w:val="006116BE"/>
    <w:rsid w:val="006124E4"/>
    <w:rsid w:val="00613E7B"/>
    <w:rsid w:val="0062738F"/>
    <w:rsid w:val="00630B70"/>
    <w:rsid w:val="0063618C"/>
    <w:rsid w:val="0065496A"/>
    <w:rsid w:val="00694269"/>
    <w:rsid w:val="00696E4C"/>
    <w:rsid w:val="006A300E"/>
    <w:rsid w:val="006B1FC7"/>
    <w:rsid w:val="006C3A1A"/>
    <w:rsid w:val="006F2AA9"/>
    <w:rsid w:val="00713C3F"/>
    <w:rsid w:val="00720D55"/>
    <w:rsid w:val="00730C94"/>
    <w:rsid w:val="007416C4"/>
    <w:rsid w:val="007478E1"/>
    <w:rsid w:val="00760202"/>
    <w:rsid w:val="00766D63"/>
    <w:rsid w:val="00770DF4"/>
    <w:rsid w:val="00774673"/>
    <w:rsid w:val="0078124A"/>
    <w:rsid w:val="007908F2"/>
    <w:rsid w:val="007A3C46"/>
    <w:rsid w:val="007A49AB"/>
    <w:rsid w:val="007A7DF1"/>
    <w:rsid w:val="007B0C7A"/>
    <w:rsid w:val="007B5E21"/>
    <w:rsid w:val="007C2B89"/>
    <w:rsid w:val="007C778B"/>
    <w:rsid w:val="007D3784"/>
    <w:rsid w:val="007E5F2F"/>
    <w:rsid w:val="007F0B04"/>
    <w:rsid w:val="00802956"/>
    <w:rsid w:val="008149F1"/>
    <w:rsid w:val="00823496"/>
    <w:rsid w:val="008363A7"/>
    <w:rsid w:val="008466B1"/>
    <w:rsid w:val="00865BBE"/>
    <w:rsid w:val="00870A2C"/>
    <w:rsid w:val="0089538F"/>
    <w:rsid w:val="008A5C1A"/>
    <w:rsid w:val="008B5869"/>
    <w:rsid w:val="008C52BF"/>
    <w:rsid w:val="008F184E"/>
    <w:rsid w:val="00902BA1"/>
    <w:rsid w:val="0090654C"/>
    <w:rsid w:val="00906971"/>
    <w:rsid w:val="00925D72"/>
    <w:rsid w:val="00936277"/>
    <w:rsid w:val="0094504B"/>
    <w:rsid w:val="00960F65"/>
    <w:rsid w:val="0096306A"/>
    <w:rsid w:val="00963F20"/>
    <w:rsid w:val="00966456"/>
    <w:rsid w:val="00982081"/>
    <w:rsid w:val="009B41ED"/>
    <w:rsid w:val="009B55A1"/>
    <w:rsid w:val="009C382E"/>
    <w:rsid w:val="009E2AC4"/>
    <w:rsid w:val="009F4EA0"/>
    <w:rsid w:val="009F538D"/>
    <w:rsid w:val="009F6C62"/>
    <w:rsid w:val="00A128B7"/>
    <w:rsid w:val="00A15031"/>
    <w:rsid w:val="00A25E48"/>
    <w:rsid w:val="00A33D89"/>
    <w:rsid w:val="00A350D2"/>
    <w:rsid w:val="00A416CD"/>
    <w:rsid w:val="00A4781C"/>
    <w:rsid w:val="00A52DE8"/>
    <w:rsid w:val="00A5327D"/>
    <w:rsid w:val="00A57A61"/>
    <w:rsid w:val="00A82495"/>
    <w:rsid w:val="00AA52C4"/>
    <w:rsid w:val="00AA5845"/>
    <w:rsid w:val="00AB26C4"/>
    <w:rsid w:val="00AB7866"/>
    <w:rsid w:val="00AC01D1"/>
    <w:rsid w:val="00AC3B8E"/>
    <w:rsid w:val="00AD0969"/>
    <w:rsid w:val="00AE2015"/>
    <w:rsid w:val="00AE696F"/>
    <w:rsid w:val="00AE7527"/>
    <w:rsid w:val="00AF7719"/>
    <w:rsid w:val="00B02866"/>
    <w:rsid w:val="00B076C6"/>
    <w:rsid w:val="00B17FD8"/>
    <w:rsid w:val="00B500A2"/>
    <w:rsid w:val="00B67758"/>
    <w:rsid w:val="00B81259"/>
    <w:rsid w:val="00B86553"/>
    <w:rsid w:val="00B87813"/>
    <w:rsid w:val="00B947A4"/>
    <w:rsid w:val="00BA65DF"/>
    <w:rsid w:val="00BC08A5"/>
    <w:rsid w:val="00BC264F"/>
    <w:rsid w:val="00BE4942"/>
    <w:rsid w:val="00BF63F4"/>
    <w:rsid w:val="00C07CEB"/>
    <w:rsid w:val="00C1079C"/>
    <w:rsid w:val="00C15B6A"/>
    <w:rsid w:val="00C20EBE"/>
    <w:rsid w:val="00C27BB8"/>
    <w:rsid w:val="00C31CDF"/>
    <w:rsid w:val="00C45720"/>
    <w:rsid w:val="00C51753"/>
    <w:rsid w:val="00C54D62"/>
    <w:rsid w:val="00C558C7"/>
    <w:rsid w:val="00C61814"/>
    <w:rsid w:val="00CA7994"/>
    <w:rsid w:val="00CD60F6"/>
    <w:rsid w:val="00CE38A0"/>
    <w:rsid w:val="00CF04F6"/>
    <w:rsid w:val="00D2614C"/>
    <w:rsid w:val="00D462C8"/>
    <w:rsid w:val="00D56C33"/>
    <w:rsid w:val="00D622F5"/>
    <w:rsid w:val="00D66DF4"/>
    <w:rsid w:val="00D67667"/>
    <w:rsid w:val="00D679F5"/>
    <w:rsid w:val="00D67CB0"/>
    <w:rsid w:val="00D735E6"/>
    <w:rsid w:val="00D86B6F"/>
    <w:rsid w:val="00DA3131"/>
    <w:rsid w:val="00DA7F23"/>
    <w:rsid w:val="00DC119F"/>
    <w:rsid w:val="00DC1C39"/>
    <w:rsid w:val="00DD1926"/>
    <w:rsid w:val="00DE65DB"/>
    <w:rsid w:val="00E01E0C"/>
    <w:rsid w:val="00E033CE"/>
    <w:rsid w:val="00E04A1F"/>
    <w:rsid w:val="00E24C47"/>
    <w:rsid w:val="00E34265"/>
    <w:rsid w:val="00E53638"/>
    <w:rsid w:val="00E550A6"/>
    <w:rsid w:val="00E6270D"/>
    <w:rsid w:val="00E74B34"/>
    <w:rsid w:val="00E75987"/>
    <w:rsid w:val="00EA01AB"/>
    <w:rsid w:val="00EA0B1A"/>
    <w:rsid w:val="00EA58CA"/>
    <w:rsid w:val="00EA703E"/>
    <w:rsid w:val="00EA720B"/>
    <w:rsid w:val="00EC0E78"/>
    <w:rsid w:val="00EC4649"/>
    <w:rsid w:val="00EC5105"/>
    <w:rsid w:val="00EC58A2"/>
    <w:rsid w:val="00F10A2E"/>
    <w:rsid w:val="00F24C8F"/>
    <w:rsid w:val="00F313BC"/>
    <w:rsid w:val="00F32BFC"/>
    <w:rsid w:val="00F422B3"/>
    <w:rsid w:val="00F52FB1"/>
    <w:rsid w:val="00F612C9"/>
    <w:rsid w:val="00F97016"/>
    <w:rsid w:val="00FC3A01"/>
    <w:rsid w:val="00FD7C6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3329"/>
  <w15:chartTrackingRefBased/>
  <w15:docId w15:val="{59EBEE9F-69E4-4C2A-9E01-DA352211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D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6C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6C6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65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65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6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E591-452C-4213-B833-5F06902A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Akemy Kuroce</dc:creator>
  <cp:keywords/>
  <dc:description/>
  <cp:lastModifiedBy>ellenkuroce</cp:lastModifiedBy>
  <cp:revision>2</cp:revision>
  <cp:lastPrinted>2021-03-26T20:59:00Z</cp:lastPrinted>
  <dcterms:created xsi:type="dcterms:W3CDTF">2021-11-15T02:08:00Z</dcterms:created>
  <dcterms:modified xsi:type="dcterms:W3CDTF">2021-11-15T02:08:00Z</dcterms:modified>
</cp:coreProperties>
</file>