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A3867" w14:textId="76B064C0" w:rsidR="0009236A" w:rsidRPr="001D7F97" w:rsidRDefault="00E3103A" w:rsidP="00343416">
      <w:pPr>
        <w:spacing w:line="360" w:lineRule="auto"/>
        <w:jc w:val="center"/>
        <w:rPr>
          <w:b/>
          <w:bCs/>
          <w:sz w:val="24"/>
          <w:szCs w:val="24"/>
        </w:rPr>
      </w:pPr>
      <w:r w:rsidRPr="001D7F97">
        <w:rPr>
          <w:b/>
          <w:bCs/>
          <w:sz w:val="24"/>
          <w:szCs w:val="24"/>
        </w:rPr>
        <w:t xml:space="preserve">QUANDO A </w:t>
      </w:r>
      <w:r>
        <w:rPr>
          <w:b/>
          <w:bCs/>
          <w:sz w:val="24"/>
          <w:szCs w:val="24"/>
        </w:rPr>
        <w:t>L</w:t>
      </w:r>
      <w:r w:rsidRPr="001D7F97">
        <w:rPr>
          <w:b/>
          <w:bCs/>
          <w:sz w:val="24"/>
          <w:szCs w:val="24"/>
        </w:rPr>
        <w:t xml:space="preserve">EI </w:t>
      </w:r>
      <w:r>
        <w:rPr>
          <w:b/>
          <w:bCs/>
          <w:sz w:val="24"/>
          <w:szCs w:val="24"/>
        </w:rPr>
        <w:t>C</w:t>
      </w:r>
      <w:r w:rsidRPr="001D7F97">
        <w:rPr>
          <w:b/>
          <w:bCs/>
          <w:sz w:val="24"/>
          <w:szCs w:val="24"/>
        </w:rPr>
        <w:t xml:space="preserve">HEGA </w:t>
      </w:r>
      <w:r>
        <w:rPr>
          <w:b/>
          <w:bCs/>
          <w:sz w:val="24"/>
          <w:szCs w:val="24"/>
        </w:rPr>
        <w:t>T</w:t>
      </w:r>
      <w:r w:rsidRPr="001D7F97">
        <w:rPr>
          <w:b/>
          <w:bCs/>
          <w:sz w:val="24"/>
          <w:szCs w:val="24"/>
        </w:rPr>
        <w:t>ARDE</w:t>
      </w:r>
      <w:r w:rsidR="0009236A" w:rsidRPr="001D7F97">
        <w:rPr>
          <w:b/>
          <w:bCs/>
          <w:sz w:val="24"/>
          <w:szCs w:val="24"/>
        </w:rPr>
        <w:t xml:space="preserve">: </w:t>
      </w:r>
      <w:r w:rsidR="001C4336">
        <w:rPr>
          <w:sz w:val="24"/>
          <w:szCs w:val="24"/>
        </w:rPr>
        <w:t>f</w:t>
      </w:r>
      <w:r w:rsidR="0009236A" w:rsidRPr="001D7F97">
        <w:rPr>
          <w:sz w:val="24"/>
          <w:szCs w:val="24"/>
        </w:rPr>
        <w:t xml:space="preserve">eminicídio no Brasil e o </w:t>
      </w:r>
      <w:r w:rsidR="001C4336">
        <w:rPr>
          <w:sz w:val="24"/>
          <w:szCs w:val="24"/>
        </w:rPr>
        <w:t>s</w:t>
      </w:r>
      <w:r w:rsidR="0009236A" w:rsidRPr="001D7F97">
        <w:rPr>
          <w:sz w:val="24"/>
          <w:szCs w:val="24"/>
        </w:rPr>
        <w:t xml:space="preserve">ilêncio </w:t>
      </w:r>
      <w:r w:rsidR="001C4336">
        <w:rPr>
          <w:sz w:val="24"/>
          <w:szCs w:val="24"/>
        </w:rPr>
        <w:t>s</w:t>
      </w:r>
      <w:r w:rsidR="0009236A" w:rsidRPr="001D7F97">
        <w:rPr>
          <w:sz w:val="24"/>
          <w:szCs w:val="24"/>
        </w:rPr>
        <w:t xml:space="preserve">ocial que </w:t>
      </w:r>
      <w:r w:rsidR="001C4336">
        <w:rPr>
          <w:sz w:val="24"/>
          <w:szCs w:val="24"/>
        </w:rPr>
        <w:t>c</w:t>
      </w:r>
      <w:r w:rsidR="0009236A" w:rsidRPr="001D7F97">
        <w:rPr>
          <w:sz w:val="24"/>
          <w:szCs w:val="24"/>
        </w:rPr>
        <w:t xml:space="preserve">ontinua </w:t>
      </w:r>
      <w:r w:rsidR="001C4336">
        <w:rPr>
          <w:sz w:val="24"/>
          <w:szCs w:val="24"/>
        </w:rPr>
        <w:t>m</w:t>
      </w:r>
      <w:r w:rsidR="0009236A" w:rsidRPr="001D7F97">
        <w:rPr>
          <w:sz w:val="24"/>
          <w:szCs w:val="24"/>
        </w:rPr>
        <w:t xml:space="preserve">atando </w:t>
      </w:r>
      <w:r w:rsidR="001C4336">
        <w:rPr>
          <w:sz w:val="24"/>
          <w:szCs w:val="24"/>
        </w:rPr>
        <w:t>m</w:t>
      </w:r>
      <w:r w:rsidR="0009236A" w:rsidRPr="001D7F97">
        <w:rPr>
          <w:sz w:val="24"/>
          <w:szCs w:val="24"/>
        </w:rPr>
        <w:t>ulheres</w:t>
      </w:r>
    </w:p>
    <w:p w14:paraId="49B8CB58" w14:textId="77777777" w:rsidR="00C34B88" w:rsidRPr="001D7F97" w:rsidRDefault="00C34B88">
      <w:pPr>
        <w:tabs>
          <w:tab w:val="left" w:pos="1540"/>
        </w:tabs>
        <w:spacing w:line="360" w:lineRule="auto"/>
        <w:ind w:left="-360"/>
        <w:jc w:val="right"/>
        <w:rPr>
          <w:sz w:val="24"/>
          <w:szCs w:val="24"/>
        </w:rPr>
      </w:pPr>
    </w:p>
    <w:p w14:paraId="515DBED7" w14:textId="68161E85" w:rsidR="00C34B88" w:rsidRPr="001D7F97" w:rsidRDefault="0009236A" w:rsidP="00343416">
      <w:pPr>
        <w:tabs>
          <w:tab w:val="left" w:pos="1540"/>
        </w:tabs>
        <w:ind w:left="-360"/>
        <w:jc w:val="right"/>
        <w:rPr>
          <w:sz w:val="24"/>
          <w:szCs w:val="24"/>
        </w:rPr>
      </w:pPr>
      <w:r w:rsidRPr="001D7F97">
        <w:rPr>
          <w:sz w:val="24"/>
          <w:szCs w:val="24"/>
        </w:rPr>
        <w:t>Hosana Scarletti Mendes Costa</w:t>
      </w:r>
      <w:r w:rsidRPr="001D7F97">
        <w:rPr>
          <w:sz w:val="24"/>
          <w:szCs w:val="24"/>
          <w:vertAlign w:val="superscript"/>
        </w:rPr>
        <w:footnoteReference w:id="1"/>
      </w:r>
    </w:p>
    <w:p w14:paraId="146F3013" w14:textId="13B8BD41" w:rsidR="00C34B88" w:rsidRPr="001D7F97" w:rsidRDefault="008D56F7" w:rsidP="00343416">
      <w:pPr>
        <w:tabs>
          <w:tab w:val="left" w:pos="2060"/>
        </w:tabs>
        <w:ind w:left="-360"/>
        <w:jc w:val="right"/>
        <w:rPr>
          <w:sz w:val="24"/>
          <w:szCs w:val="24"/>
        </w:rPr>
      </w:pPr>
      <w:proofErr w:type="spellStart"/>
      <w:r w:rsidRPr="001D7F97">
        <w:rPr>
          <w:sz w:val="24"/>
          <w:szCs w:val="24"/>
        </w:rPr>
        <w:t>Nayra</w:t>
      </w:r>
      <w:proofErr w:type="spellEnd"/>
      <w:r w:rsidRPr="001D7F97">
        <w:rPr>
          <w:sz w:val="24"/>
          <w:szCs w:val="24"/>
        </w:rPr>
        <w:t xml:space="preserve"> </w:t>
      </w:r>
      <w:proofErr w:type="spellStart"/>
      <w:r w:rsidRPr="001D7F97">
        <w:rPr>
          <w:sz w:val="24"/>
          <w:szCs w:val="24"/>
        </w:rPr>
        <w:t>Jésica</w:t>
      </w:r>
      <w:proofErr w:type="spellEnd"/>
      <w:r w:rsidRPr="001D7F97">
        <w:rPr>
          <w:sz w:val="24"/>
          <w:szCs w:val="24"/>
        </w:rPr>
        <w:t xml:space="preserve"> Borges Fausto</w:t>
      </w:r>
      <w:r w:rsidR="006554F9" w:rsidRPr="001D7F97">
        <w:rPr>
          <w:sz w:val="24"/>
          <w:szCs w:val="24"/>
        </w:rPr>
        <w:t>²</w:t>
      </w:r>
    </w:p>
    <w:p w14:paraId="335160AE" w14:textId="106F2A5C" w:rsidR="006554F9" w:rsidRDefault="008D56F7" w:rsidP="00343416">
      <w:pPr>
        <w:tabs>
          <w:tab w:val="left" w:pos="2060"/>
        </w:tabs>
        <w:ind w:left="-360"/>
        <w:jc w:val="right"/>
        <w:rPr>
          <w:sz w:val="24"/>
          <w:szCs w:val="24"/>
        </w:rPr>
      </w:pPr>
      <w:r w:rsidRPr="001D7F97">
        <w:rPr>
          <w:sz w:val="24"/>
          <w:szCs w:val="24"/>
        </w:rPr>
        <w:t>Karen Hana Gomes Costa</w:t>
      </w:r>
      <w:r w:rsidRPr="001D7F97">
        <w:rPr>
          <w:sz w:val="24"/>
          <w:szCs w:val="24"/>
        </w:rPr>
        <w:t xml:space="preserve"> </w:t>
      </w:r>
      <w:r w:rsidR="006554F9" w:rsidRPr="001D7F97">
        <w:rPr>
          <w:sz w:val="24"/>
          <w:szCs w:val="24"/>
        </w:rPr>
        <w:t>³</w:t>
      </w:r>
    </w:p>
    <w:p w14:paraId="405BE188" w14:textId="6B06AB13" w:rsidR="001C4336" w:rsidRPr="001D7F97" w:rsidRDefault="001C4336" w:rsidP="001C4336">
      <w:pPr>
        <w:tabs>
          <w:tab w:val="left" w:pos="2060"/>
          <w:tab w:val="left" w:pos="7240"/>
        </w:tabs>
        <w:ind w:left="-360"/>
        <w:jc w:val="right"/>
        <w:rPr>
          <w:sz w:val="24"/>
          <w:szCs w:val="24"/>
        </w:rPr>
      </w:pPr>
      <w:r w:rsidRPr="001D7F97">
        <w:rPr>
          <w:sz w:val="24"/>
          <w:szCs w:val="24"/>
        </w:rPr>
        <w:t>Flaviano Fer</w:t>
      </w:r>
      <w:r w:rsidR="00416A2C">
        <w:rPr>
          <w:sz w:val="24"/>
          <w:szCs w:val="24"/>
        </w:rPr>
        <w:t>r</w:t>
      </w:r>
      <w:r w:rsidRPr="001D7F97">
        <w:rPr>
          <w:sz w:val="24"/>
          <w:szCs w:val="24"/>
        </w:rPr>
        <w:t>eira de Araújo</w:t>
      </w:r>
      <w:r w:rsidRPr="001C4336">
        <w:rPr>
          <w:sz w:val="24"/>
          <w:szCs w:val="24"/>
          <w:vertAlign w:val="superscript"/>
        </w:rPr>
        <w:t>4</w:t>
      </w:r>
    </w:p>
    <w:p w14:paraId="5AF2590F" w14:textId="2BA3FC69" w:rsidR="006554F9" w:rsidRPr="001D7F97" w:rsidRDefault="0009236A" w:rsidP="00343416">
      <w:pPr>
        <w:tabs>
          <w:tab w:val="left" w:pos="2060"/>
          <w:tab w:val="left" w:pos="7240"/>
        </w:tabs>
        <w:ind w:left="-360"/>
        <w:jc w:val="right"/>
        <w:rPr>
          <w:sz w:val="24"/>
          <w:szCs w:val="24"/>
        </w:rPr>
      </w:pPr>
      <w:r w:rsidRPr="001D7F97">
        <w:rPr>
          <w:sz w:val="24"/>
          <w:szCs w:val="24"/>
        </w:rPr>
        <w:t>Guilherme</w:t>
      </w:r>
      <w:r w:rsidR="005E2C1E" w:rsidRPr="001D7F97">
        <w:rPr>
          <w:sz w:val="24"/>
          <w:szCs w:val="24"/>
        </w:rPr>
        <w:t xml:space="preserve"> Antônio Lopes de Oliveira</w:t>
      </w:r>
      <w:r w:rsidR="001C4336" w:rsidRPr="001C4336">
        <w:rPr>
          <w:sz w:val="24"/>
          <w:szCs w:val="24"/>
          <w:vertAlign w:val="superscript"/>
        </w:rPr>
        <w:t>5</w:t>
      </w:r>
    </w:p>
    <w:p w14:paraId="7F381E15" w14:textId="77777777" w:rsidR="00C34B88" w:rsidRPr="001D7F97" w:rsidRDefault="00C34B88">
      <w:pPr>
        <w:tabs>
          <w:tab w:val="left" w:pos="2060"/>
          <w:tab w:val="left" w:pos="7240"/>
        </w:tabs>
        <w:spacing w:line="360" w:lineRule="auto"/>
        <w:ind w:left="-360"/>
        <w:jc w:val="right"/>
        <w:rPr>
          <w:sz w:val="24"/>
          <w:szCs w:val="24"/>
        </w:rPr>
      </w:pPr>
    </w:p>
    <w:p w14:paraId="26E6FFEB" w14:textId="77777777" w:rsidR="00C34B88" w:rsidRPr="001D7F97" w:rsidRDefault="00950DCA">
      <w:pPr>
        <w:spacing w:line="360" w:lineRule="auto"/>
        <w:jc w:val="center"/>
        <w:rPr>
          <w:sz w:val="24"/>
          <w:szCs w:val="24"/>
        </w:rPr>
      </w:pPr>
      <w:r w:rsidRPr="001D7F97">
        <w:rPr>
          <w:b/>
          <w:bCs/>
          <w:sz w:val="24"/>
          <w:szCs w:val="24"/>
        </w:rPr>
        <w:t>RESUMO</w:t>
      </w:r>
    </w:p>
    <w:p w14:paraId="7B5BC95E" w14:textId="0DCAD8B8" w:rsidR="0009236A" w:rsidRPr="001D7F97" w:rsidRDefault="0009236A" w:rsidP="0009236A">
      <w:pPr>
        <w:jc w:val="both"/>
        <w:rPr>
          <w:sz w:val="24"/>
          <w:szCs w:val="24"/>
        </w:rPr>
      </w:pPr>
      <w:r w:rsidRPr="001D7F97">
        <w:rPr>
          <w:sz w:val="24"/>
          <w:szCs w:val="24"/>
        </w:rPr>
        <w:t xml:space="preserve">O feminicídio representa uma das formas mais extremas da violência de gênero e evidencia profundas desigualdades históricas na sociedade brasileira. Mesmo diante dos avanços legislativos, como a Lei Maria da Penha, a Lei nº 13.104/2015 e, mais recentemente, a Lei nº 14.994/2024, os índices de assassinatos de mulheres continuam alarmantes, o que revela que o problema ultrapassa o âmbito jurídico e alcança dimensões sociais, culturais e educacionais. O presente artigo tem como objetivo analisar criticamente a efetividade das leis de combate ao feminicídio no Brasil, discutindo seus avanços, limitações e os desafios relacionados à prevenção da violência contra a mulher. A metodologia utilizada baseia-se em pesquisa bibliográfica e documental, recorrendo à doutrina jurídica, a artigos científicos, à legislação brasileira e a notícias de casos reais amplamente divulgados pela mídia nacional. Os resultados demonstram que, embora o endurecimento das penas represente um importante instrumento jurídico de responsabilização, a legislação, isoladamente, não é suficiente para impedir a continuidade das mortes de mulheres. Observa-se que muitas vítimas já haviam denunciado seus agressores ou solicitado medidas protetivas antes de serem assassinadas, o que revela falhas estruturais na proteção estatal. </w:t>
      </w:r>
      <w:r w:rsidR="005018AE" w:rsidRPr="001D7F97">
        <w:rPr>
          <w:sz w:val="24"/>
          <w:szCs w:val="24"/>
        </w:rPr>
        <w:t>Diante disso, percebe-se que combater o feminicídio vai além de punir o agressor. É preciso investir na prevenção, fortalecer as redes de apoio às mulheres e, principalmente, promover uma educação voltada ao respeito e à igualdade, para que a violência seja reconhecida e interrompida antes de resultar em mais mortes.</w:t>
      </w:r>
    </w:p>
    <w:p w14:paraId="338082F1" w14:textId="77777777" w:rsidR="005018AE" w:rsidRPr="001D7F97" w:rsidRDefault="005018AE" w:rsidP="0009236A">
      <w:pPr>
        <w:jc w:val="both"/>
        <w:rPr>
          <w:sz w:val="24"/>
          <w:szCs w:val="24"/>
        </w:rPr>
      </w:pPr>
    </w:p>
    <w:p w14:paraId="0B4907DF" w14:textId="2DE16BF2" w:rsidR="0009236A" w:rsidRPr="001D7F97" w:rsidRDefault="0009236A" w:rsidP="0009236A">
      <w:pPr>
        <w:jc w:val="both"/>
        <w:rPr>
          <w:sz w:val="24"/>
          <w:szCs w:val="24"/>
        </w:rPr>
      </w:pPr>
      <w:r w:rsidRPr="001D7F97">
        <w:rPr>
          <w:b/>
          <w:bCs/>
          <w:sz w:val="24"/>
          <w:szCs w:val="24"/>
        </w:rPr>
        <w:t>Palavras-chave:</w:t>
      </w:r>
      <w:r w:rsidRPr="001D7F97">
        <w:rPr>
          <w:sz w:val="24"/>
          <w:szCs w:val="24"/>
        </w:rPr>
        <w:t xml:space="preserve"> Feminicídio; </w:t>
      </w:r>
      <w:r w:rsidR="006554F9" w:rsidRPr="001D7F97">
        <w:rPr>
          <w:sz w:val="24"/>
          <w:szCs w:val="24"/>
        </w:rPr>
        <w:t>V</w:t>
      </w:r>
      <w:r w:rsidRPr="001D7F97">
        <w:rPr>
          <w:sz w:val="24"/>
          <w:szCs w:val="24"/>
        </w:rPr>
        <w:t xml:space="preserve">iolência contra a mulher; Lei Maria da Penha; </w:t>
      </w:r>
      <w:r w:rsidR="006554F9" w:rsidRPr="001D7F97">
        <w:rPr>
          <w:sz w:val="24"/>
          <w:szCs w:val="24"/>
        </w:rPr>
        <w:t>D</w:t>
      </w:r>
      <w:r w:rsidRPr="001D7F97">
        <w:rPr>
          <w:sz w:val="24"/>
          <w:szCs w:val="24"/>
        </w:rPr>
        <w:t xml:space="preserve">ireitos humanos; </w:t>
      </w:r>
      <w:r w:rsidR="006554F9" w:rsidRPr="001D7F97">
        <w:rPr>
          <w:sz w:val="24"/>
          <w:szCs w:val="24"/>
        </w:rPr>
        <w:t>P</w:t>
      </w:r>
      <w:r w:rsidRPr="001D7F97">
        <w:rPr>
          <w:sz w:val="24"/>
          <w:szCs w:val="24"/>
        </w:rPr>
        <w:t>revenção.</w:t>
      </w:r>
    </w:p>
    <w:p w14:paraId="17F1E700" w14:textId="77777777" w:rsidR="00C34B88" w:rsidRPr="001D7F97" w:rsidRDefault="00C34B88" w:rsidP="0009236A">
      <w:pPr>
        <w:jc w:val="both"/>
        <w:rPr>
          <w:sz w:val="24"/>
          <w:szCs w:val="24"/>
        </w:rPr>
      </w:pPr>
    </w:p>
    <w:p w14:paraId="0CA501C4" w14:textId="77777777" w:rsidR="0009236A" w:rsidRPr="001D7F97" w:rsidRDefault="0009236A" w:rsidP="0009236A">
      <w:pPr>
        <w:jc w:val="both"/>
        <w:rPr>
          <w:sz w:val="24"/>
          <w:szCs w:val="24"/>
        </w:rPr>
      </w:pPr>
    </w:p>
    <w:p w14:paraId="37774B99" w14:textId="42D51F7D" w:rsidR="0009236A" w:rsidRPr="001D7F97" w:rsidRDefault="00950DCA" w:rsidP="005E2C1E">
      <w:pPr>
        <w:spacing w:line="360" w:lineRule="auto"/>
        <w:jc w:val="both"/>
        <w:rPr>
          <w:b/>
          <w:bCs/>
          <w:sz w:val="24"/>
          <w:szCs w:val="24"/>
        </w:rPr>
      </w:pPr>
      <w:bookmarkStart w:id="0" w:name="f5vk82do5j7i" w:colFirst="0" w:colLast="0"/>
      <w:bookmarkEnd w:id="0"/>
      <w:r w:rsidRPr="001D7F97">
        <w:rPr>
          <w:b/>
          <w:bCs/>
          <w:sz w:val="24"/>
          <w:szCs w:val="24"/>
        </w:rPr>
        <w:t>1 INTRODUÇÃO</w:t>
      </w:r>
    </w:p>
    <w:p w14:paraId="1F375FC3" w14:textId="3733FBEC" w:rsidR="005018AE" w:rsidRPr="001D7F97" w:rsidRDefault="005018AE" w:rsidP="00776C95">
      <w:pPr>
        <w:spacing w:line="360" w:lineRule="auto"/>
        <w:ind w:firstLine="709"/>
        <w:jc w:val="both"/>
        <w:rPr>
          <w:sz w:val="24"/>
          <w:szCs w:val="24"/>
        </w:rPr>
      </w:pPr>
      <w:r w:rsidRPr="001D7F97">
        <w:rPr>
          <w:sz w:val="24"/>
          <w:szCs w:val="24"/>
        </w:rPr>
        <w:t xml:space="preserve">O feminicídio é uma das expressões mais graves da violência contra a mulher e não pode ser compreendido apenas como mais um tipo de homicídio. Trata-se de uma violência </w:t>
      </w:r>
      <w:r w:rsidRPr="001D7F97">
        <w:rPr>
          <w:sz w:val="24"/>
          <w:szCs w:val="24"/>
        </w:rPr>
        <w:lastRenderedPageBreak/>
        <w:t>relacionada à condição de gênero, marcada por desigualdades historicamente construídas e reproduzidas. No Brasil, por muito tempo, situações de violência ocorridas em casa foram vistas como assuntos particulares, nos quais outras pessoas, ou até mesmo as instituições, não deveriam interferir. Essa forma de pensar contribuiu para que muitas agressões fossem silenciadas e naturalizadas.</w:t>
      </w:r>
    </w:p>
    <w:p w14:paraId="16FE945E" w14:textId="77777777" w:rsidR="00343416" w:rsidRPr="001D7F97" w:rsidRDefault="00343416" w:rsidP="005018AE">
      <w:pPr>
        <w:spacing w:line="360" w:lineRule="auto"/>
        <w:ind w:firstLine="709"/>
        <w:jc w:val="both"/>
        <w:rPr>
          <w:sz w:val="24"/>
          <w:szCs w:val="24"/>
        </w:rPr>
      </w:pPr>
      <w:r w:rsidRPr="001D7F97">
        <w:rPr>
          <w:sz w:val="24"/>
          <w:szCs w:val="24"/>
        </w:rPr>
        <w:t xml:space="preserve">De acordo com Ferreira </w:t>
      </w:r>
      <w:r w:rsidRPr="001D7F97">
        <w:rPr>
          <w:i/>
          <w:iCs/>
          <w:sz w:val="24"/>
          <w:szCs w:val="24"/>
        </w:rPr>
        <w:t>et al.</w:t>
      </w:r>
      <w:r w:rsidRPr="001D7F97">
        <w:rPr>
          <w:sz w:val="24"/>
          <w:szCs w:val="24"/>
        </w:rPr>
        <w:t xml:space="preserve"> (2026)</w:t>
      </w:r>
      <w:r w:rsidRPr="001D7F97">
        <w:rPr>
          <w:i/>
          <w:iCs/>
          <w:sz w:val="24"/>
          <w:szCs w:val="24"/>
        </w:rPr>
        <w:t xml:space="preserve"> </w:t>
      </w:r>
      <w:r w:rsidRPr="001D7F97">
        <w:rPr>
          <w:sz w:val="24"/>
          <w:szCs w:val="24"/>
        </w:rPr>
        <w:t>a violência de gênero foi historicamente naturalizada por estruturas sociais marcadas pelo patriarcado e pela desigualdade entre homens e mulheres, circunstância que contribuiu para a invisibilidade institucional das agressões praticadas contra mulheres ao longo do tempo. Durante décadas, os homicídios femininos foram tratados pelo ordenamento jurídico brasileiro de maneira genérica, sem o devido reconhecimento das especificidades decorrentes das relações de poder e submissão de gênero.</w:t>
      </w:r>
    </w:p>
    <w:p w14:paraId="0FDA4E8F" w14:textId="77777777" w:rsidR="001C4336" w:rsidRPr="001C4336" w:rsidRDefault="001C4336" w:rsidP="00564093">
      <w:pPr>
        <w:spacing w:line="360" w:lineRule="auto"/>
        <w:ind w:firstLine="709"/>
        <w:jc w:val="both"/>
        <w:rPr>
          <w:sz w:val="24"/>
          <w:szCs w:val="24"/>
        </w:rPr>
      </w:pPr>
      <w:r w:rsidRPr="001C4336">
        <w:rPr>
          <w:sz w:val="24"/>
          <w:szCs w:val="24"/>
        </w:rPr>
        <w:t>A mudança desse cenário também resultou da mobilização social e da criação de leis de proteção. Em 2006, a Lei Maria da Penha fortaleceu o combate à violência contra a mulher. Em 2015, a Lei nº 13.104 incluiu o feminicídio como qualificadora do homicídio. Mais recentemente, a Lei nº 14.994/2024 tornou o feminicídio crime autônomo, com penas mais severas.</w:t>
      </w:r>
    </w:p>
    <w:p w14:paraId="23BEFA59" w14:textId="77777777" w:rsidR="00776C95" w:rsidRPr="00776C95" w:rsidRDefault="00776C95" w:rsidP="005E2C1E">
      <w:pPr>
        <w:spacing w:line="360" w:lineRule="auto"/>
        <w:ind w:firstLine="709"/>
        <w:jc w:val="both"/>
        <w:rPr>
          <w:sz w:val="24"/>
          <w:szCs w:val="24"/>
        </w:rPr>
      </w:pPr>
      <w:r w:rsidRPr="00776C95">
        <w:rPr>
          <w:sz w:val="24"/>
          <w:szCs w:val="24"/>
        </w:rPr>
        <w:t>Entretanto, leis mais rigorosas não eliminaram o problema. Muitos feminicídios são precedidos por ameaças, agressões e pedidos de ajuda. Diante disso, surge a questão: se a legislação avançou, por que tantas mulheres ainda continuam morrendo?</w:t>
      </w:r>
    </w:p>
    <w:p w14:paraId="41E92BE4" w14:textId="5EE574CE" w:rsidR="0009236A" w:rsidRDefault="001C4336" w:rsidP="005E2C1E">
      <w:pPr>
        <w:spacing w:line="360" w:lineRule="auto"/>
        <w:ind w:firstLine="709"/>
        <w:jc w:val="both"/>
        <w:rPr>
          <w:sz w:val="24"/>
          <w:szCs w:val="24"/>
        </w:rPr>
      </w:pPr>
      <w:r w:rsidRPr="001C4336">
        <w:rPr>
          <w:sz w:val="24"/>
          <w:szCs w:val="24"/>
        </w:rPr>
        <w:t>Esse questionamento mostra que combater o feminicídio não depende apenas da punição. É necessário investir também em prevenção, educação, acolhimento e fortalecimento das redes de proteção. Assim, este artigo analisa os avanços e limites da legislação brasileira e as medidas capazes de interromper a violência antes que ela resulte na perda de uma vida.</w:t>
      </w:r>
    </w:p>
    <w:p w14:paraId="7F47A012" w14:textId="77777777" w:rsidR="001C4336" w:rsidRPr="001C4336" w:rsidRDefault="001C4336" w:rsidP="005E2C1E">
      <w:pPr>
        <w:spacing w:line="360" w:lineRule="auto"/>
        <w:ind w:firstLine="709"/>
        <w:jc w:val="both"/>
        <w:rPr>
          <w:sz w:val="28"/>
          <w:szCs w:val="28"/>
        </w:rPr>
      </w:pPr>
    </w:p>
    <w:p w14:paraId="24500AE6" w14:textId="77777777" w:rsidR="00C34B88" w:rsidRPr="001D7F97" w:rsidRDefault="00950DCA" w:rsidP="005E2C1E">
      <w:pPr>
        <w:spacing w:line="360" w:lineRule="auto"/>
        <w:jc w:val="both"/>
        <w:rPr>
          <w:b/>
          <w:bCs/>
          <w:sz w:val="24"/>
          <w:szCs w:val="24"/>
        </w:rPr>
      </w:pPr>
      <w:r w:rsidRPr="001D7F97">
        <w:rPr>
          <w:b/>
          <w:bCs/>
          <w:sz w:val="24"/>
          <w:szCs w:val="24"/>
        </w:rPr>
        <w:t>2 OBJETIVOS</w:t>
      </w:r>
    </w:p>
    <w:p w14:paraId="63A0E7A9" w14:textId="3E6ECE09" w:rsidR="0009236A" w:rsidRPr="001D7F97" w:rsidRDefault="0009236A" w:rsidP="005E2C1E">
      <w:pPr>
        <w:spacing w:line="360" w:lineRule="auto"/>
        <w:jc w:val="both"/>
        <w:rPr>
          <w:b/>
          <w:bCs/>
          <w:sz w:val="24"/>
          <w:szCs w:val="24"/>
        </w:rPr>
      </w:pPr>
      <w:r w:rsidRPr="001D7F97">
        <w:rPr>
          <w:b/>
          <w:bCs/>
          <w:sz w:val="24"/>
          <w:szCs w:val="24"/>
        </w:rPr>
        <w:t>2.1 O</w:t>
      </w:r>
      <w:r w:rsidR="00A1711A" w:rsidRPr="001D7F97">
        <w:rPr>
          <w:b/>
          <w:bCs/>
          <w:sz w:val="24"/>
          <w:szCs w:val="24"/>
        </w:rPr>
        <w:t>bjetivo geral</w:t>
      </w:r>
    </w:p>
    <w:p w14:paraId="1E1DEB56" w14:textId="222FE733" w:rsidR="0009236A" w:rsidRPr="001D7F97" w:rsidRDefault="0009236A" w:rsidP="005E2C1E">
      <w:pPr>
        <w:spacing w:line="360" w:lineRule="auto"/>
        <w:ind w:firstLine="709"/>
        <w:jc w:val="both"/>
        <w:rPr>
          <w:sz w:val="24"/>
          <w:szCs w:val="24"/>
        </w:rPr>
      </w:pPr>
      <w:r w:rsidRPr="001D7F97">
        <w:rPr>
          <w:sz w:val="24"/>
          <w:szCs w:val="24"/>
        </w:rPr>
        <w:t>Analisar criticamente a efetividade das leis brasileiras de combate ao feminicídio, discutindo seus avanços e limitações, bem como a necessidade de políticas preventivas para a proteção das mulheres.</w:t>
      </w:r>
    </w:p>
    <w:p w14:paraId="08B3207B" w14:textId="77777777" w:rsidR="0009236A" w:rsidRPr="001D7F97" w:rsidRDefault="0009236A" w:rsidP="005E2C1E">
      <w:pPr>
        <w:spacing w:line="360" w:lineRule="auto"/>
        <w:jc w:val="both"/>
        <w:rPr>
          <w:b/>
          <w:bCs/>
          <w:sz w:val="24"/>
          <w:szCs w:val="24"/>
        </w:rPr>
      </w:pPr>
    </w:p>
    <w:p w14:paraId="2AABA9E8" w14:textId="0C942EDE" w:rsidR="0009236A" w:rsidRPr="001D7F97" w:rsidRDefault="0009236A" w:rsidP="005E2C1E">
      <w:pPr>
        <w:spacing w:line="360" w:lineRule="auto"/>
        <w:jc w:val="both"/>
        <w:rPr>
          <w:b/>
          <w:bCs/>
          <w:sz w:val="24"/>
          <w:szCs w:val="24"/>
        </w:rPr>
      </w:pPr>
      <w:r w:rsidRPr="001D7F97">
        <w:rPr>
          <w:b/>
          <w:bCs/>
          <w:sz w:val="24"/>
          <w:szCs w:val="24"/>
        </w:rPr>
        <w:t>2.2 O</w:t>
      </w:r>
      <w:r w:rsidR="00A1711A" w:rsidRPr="001D7F97">
        <w:rPr>
          <w:b/>
          <w:bCs/>
          <w:sz w:val="24"/>
          <w:szCs w:val="24"/>
        </w:rPr>
        <w:t>bjetivos específicos</w:t>
      </w:r>
    </w:p>
    <w:p w14:paraId="3E3EA511" w14:textId="77777777" w:rsidR="0009236A" w:rsidRPr="001D7F97" w:rsidRDefault="0009236A" w:rsidP="005E2C1E">
      <w:pPr>
        <w:pStyle w:val="PargrafodaLista"/>
        <w:numPr>
          <w:ilvl w:val="0"/>
          <w:numId w:val="1"/>
        </w:numPr>
        <w:spacing w:line="360" w:lineRule="auto"/>
        <w:jc w:val="both"/>
        <w:rPr>
          <w:sz w:val="24"/>
          <w:szCs w:val="24"/>
        </w:rPr>
      </w:pPr>
      <w:r w:rsidRPr="001D7F97">
        <w:rPr>
          <w:sz w:val="24"/>
          <w:szCs w:val="24"/>
        </w:rPr>
        <w:lastRenderedPageBreak/>
        <w:t xml:space="preserve">Compreender a evolução histórica e jurídica do feminicídio no Brasil; </w:t>
      </w:r>
    </w:p>
    <w:p w14:paraId="6859B584" w14:textId="77777777" w:rsidR="0009236A" w:rsidRPr="001D7F97" w:rsidRDefault="0009236A" w:rsidP="005E2C1E">
      <w:pPr>
        <w:pStyle w:val="PargrafodaLista"/>
        <w:numPr>
          <w:ilvl w:val="0"/>
          <w:numId w:val="1"/>
        </w:numPr>
        <w:spacing w:line="360" w:lineRule="auto"/>
        <w:jc w:val="both"/>
        <w:rPr>
          <w:sz w:val="24"/>
          <w:szCs w:val="24"/>
        </w:rPr>
      </w:pPr>
      <w:r w:rsidRPr="001D7F97">
        <w:rPr>
          <w:sz w:val="24"/>
          <w:szCs w:val="24"/>
        </w:rPr>
        <w:t>Discutir a importância da educação e da conscientização social como instrumentos de prevenção da violência de gênero.</w:t>
      </w:r>
    </w:p>
    <w:p w14:paraId="5782D672" w14:textId="496ADCC0" w:rsidR="0009236A" w:rsidRPr="001D7F97" w:rsidRDefault="0009236A" w:rsidP="005E2C1E">
      <w:pPr>
        <w:pStyle w:val="PargrafodaLista"/>
        <w:numPr>
          <w:ilvl w:val="0"/>
          <w:numId w:val="1"/>
        </w:numPr>
        <w:spacing w:line="360" w:lineRule="auto"/>
        <w:jc w:val="both"/>
        <w:rPr>
          <w:sz w:val="24"/>
          <w:szCs w:val="24"/>
        </w:rPr>
      </w:pPr>
      <w:r w:rsidRPr="001D7F97">
        <w:rPr>
          <w:sz w:val="24"/>
          <w:szCs w:val="24"/>
        </w:rPr>
        <w:t>Analisar os limites da aplicação das medidas legais e institucionais de proteção às mulheres em situação de violência;</w:t>
      </w:r>
    </w:p>
    <w:p w14:paraId="2BBFA554" w14:textId="72365E0E" w:rsidR="0009236A" w:rsidRPr="001D7F97" w:rsidRDefault="0009236A" w:rsidP="005E2C1E">
      <w:pPr>
        <w:pStyle w:val="PargrafodaLista"/>
        <w:numPr>
          <w:ilvl w:val="0"/>
          <w:numId w:val="1"/>
        </w:numPr>
        <w:spacing w:line="360" w:lineRule="auto"/>
        <w:jc w:val="both"/>
        <w:rPr>
          <w:sz w:val="24"/>
          <w:szCs w:val="24"/>
        </w:rPr>
      </w:pPr>
      <w:r w:rsidRPr="001D7F97">
        <w:rPr>
          <w:sz w:val="24"/>
          <w:szCs w:val="24"/>
        </w:rPr>
        <w:t>Examinar, com base em casos concretos divulgados pela mídia, situações que evidenciam desafios e fragilidades na prevenção da violência letal contra as mulheres.</w:t>
      </w:r>
    </w:p>
    <w:p w14:paraId="0CF2F662" w14:textId="77777777" w:rsidR="0009236A" w:rsidRPr="001D7F97" w:rsidRDefault="0009236A" w:rsidP="005E2C1E">
      <w:pPr>
        <w:spacing w:line="360" w:lineRule="auto"/>
        <w:jc w:val="both"/>
        <w:rPr>
          <w:b/>
          <w:bCs/>
          <w:sz w:val="24"/>
          <w:szCs w:val="24"/>
        </w:rPr>
      </w:pPr>
    </w:p>
    <w:p w14:paraId="28DA5A94" w14:textId="274E1657" w:rsidR="005E2C1E" w:rsidRPr="001D7F97" w:rsidRDefault="00950DCA" w:rsidP="005E2C1E">
      <w:pPr>
        <w:spacing w:line="360" w:lineRule="auto"/>
        <w:jc w:val="both"/>
        <w:rPr>
          <w:b/>
          <w:bCs/>
          <w:sz w:val="24"/>
          <w:szCs w:val="24"/>
        </w:rPr>
      </w:pPr>
      <w:r w:rsidRPr="001D7F97">
        <w:rPr>
          <w:b/>
          <w:bCs/>
          <w:sz w:val="24"/>
          <w:szCs w:val="24"/>
        </w:rPr>
        <w:t>3 MÉTODO</w:t>
      </w:r>
    </w:p>
    <w:p w14:paraId="40916FDE" w14:textId="0D0BC556" w:rsidR="0009236A" w:rsidRPr="001D7F97" w:rsidRDefault="0009236A" w:rsidP="005E2C1E">
      <w:pPr>
        <w:spacing w:line="360" w:lineRule="auto"/>
        <w:ind w:firstLine="709"/>
        <w:jc w:val="both"/>
        <w:rPr>
          <w:sz w:val="24"/>
          <w:szCs w:val="24"/>
        </w:rPr>
      </w:pPr>
      <w:r w:rsidRPr="001D7F97">
        <w:rPr>
          <w:sz w:val="24"/>
          <w:szCs w:val="24"/>
        </w:rPr>
        <w:t>A presente pesquisa caracteriza-se como qualitativa, bibliográfica e documental. O estudo foi desenvolvido a partir da análise de legislações brasileiras relacionadas à proteção da mulher, como a Lei Maria da Penha (Lei nº 11.340/2006), a Lei do Feminicídio (Lei nº 13.104/2015)</w:t>
      </w:r>
      <w:r w:rsidR="000523CC">
        <w:rPr>
          <w:sz w:val="24"/>
          <w:szCs w:val="24"/>
        </w:rPr>
        <w:t xml:space="preserve">, a </w:t>
      </w:r>
      <w:r w:rsidR="000523CC" w:rsidRPr="001D7F97">
        <w:rPr>
          <w:sz w:val="24"/>
          <w:szCs w:val="24"/>
        </w:rPr>
        <w:t xml:space="preserve">Lei </w:t>
      </w:r>
      <w:r w:rsidR="008D56F7">
        <w:rPr>
          <w:sz w:val="24"/>
          <w:szCs w:val="24"/>
        </w:rPr>
        <w:t xml:space="preserve">nº 15.398/2026, que cria o Programa Antes </w:t>
      </w:r>
      <w:proofErr w:type="gramStart"/>
      <w:r w:rsidR="008D56F7">
        <w:rPr>
          <w:sz w:val="24"/>
          <w:szCs w:val="24"/>
        </w:rPr>
        <w:t>que Aconteça</w:t>
      </w:r>
      <w:proofErr w:type="gramEnd"/>
      <w:r w:rsidR="008D56F7">
        <w:rPr>
          <w:sz w:val="24"/>
          <w:szCs w:val="24"/>
        </w:rPr>
        <w:t>, voltado à prevenção da violência,</w:t>
      </w:r>
      <w:r w:rsidR="000523CC" w:rsidRPr="001D7F97">
        <w:rPr>
          <w:sz w:val="24"/>
          <w:szCs w:val="24"/>
        </w:rPr>
        <w:t xml:space="preserve"> </w:t>
      </w:r>
      <w:r w:rsidRPr="001D7F97">
        <w:rPr>
          <w:sz w:val="24"/>
          <w:szCs w:val="24"/>
        </w:rPr>
        <w:t>e a Lei nº 14.994/2024, que instituiu o feminicídio como crime autônomo no Código Penal.</w:t>
      </w:r>
    </w:p>
    <w:p w14:paraId="4ED17506" w14:textId="77777777" w:rsidR="00C02DD8" w:rsidRPr="001D7F97" w:rsidRDefault="0009236A" w:rsidP="00C02DD8">
      <w:pPr>
        <w:spacing w:before="80" w:line="360" w:lineRule="auto"/>
        <w:ind w:firstLine="709"/>
        <w:jc w:val="both"/>
        <w:rPr>
          <w:sz w:val="24"/>
          <w:szCs w:val="24"/>
        </w:rPr>
      </w:pPr>
      <w:r w:rsidRPr="001D7F97">
        <w:rPr>
          <w:sz w:val="24"/>
          <w:szCs w:val="24"/>
        </w:rPr>
        <w:t>Além da pesquisa legislativa, foram utilizados livros, artigos científicos, relatórios oficiais, publicações acadêmicas e materiais produzidos durante o seminário apresentado na disciplina de Introdução ao Estudo do Direito.</w:t>
      </w:r>
      <w:r w:rsidR="006554F9" w:rsidRPr="001D7F97">
        <w:rPr>
          <w:sz w:val="24"/>
          <w:szCs w:val="24"/>
        </w:rPr>
        <w:t xml:space="preserve"> </w:t>
      </w:r>
      <w:r w:rsidR="005018AE" w:rsidRPr="001D7F97">
        <w:rPr>
          <w:sz w:val="24"/>
          <w:szCs w:val="24"/>
        </w:rPr>
        <w:t>Também foram utilizados casos divulgados pela imprensa nacional, especialmente aqueles relacionados a mulheres que já haviam denunciado situações de violência ou procurado ajuda antes de serem assassinadas. A análise desses casos ajudou a observar, na prática, como a violência doméstica pode evoluir até o feminicídio e como possíveis falhas na rede de proteção podem deixar a vítima ainda mais vulnerável.</w:t>
      </w:r>
    </w:p>
    <w:p w14:paraId="268E53A0" w14:textId="4899C96F" w:rsidR="005018AE" w:rsidRPr="001D7F97" w:rsidRDefault="005018AE" w:rsidP="00C02DD8">
      <w:pPr>
        <w:spacing w:before="80" w:line="360" w:lineRule="auto"/>
        <w:ind w:firstLine="709"/>
        <w:jc w:val="both"/>
        <w:rPr>
          <w:sz w:val="24"/>
          <w:szCs w:val="24"/>
        </w:rPr>
      </w:pPr>
      <w:r w:rsidRPr="001D7F97">
        <w:rPr>
          <w:sz w:val="24"/>
          <w:szCs w:val="24"/>
        </w:rPr>
        <w:t>A partir do material selecionado, buscou-se relacionar o que está previsto na legislação à realidade apresentada nos estudos e nos casos analisados. Dessa forma, a discussão considerou não apenas os aspectos jurídicos do feminicídio, mas também fatores sociais, culturais e educacionais que contribuem para compreender a complexidade do problema.</w:t>
      </w:r>
    </w:p>
    <w:p w14:paraId="3A42F9A8" w14:textId="77777777" w:rsidR="0009236A" w:rsidRPr="001D7F97" w:rsidRDefault="0009236A" w:rsidP="005E2C1E">
      <w:pPr>
        <w:spacing w:line="360" w:lineRule="auto"/>
        <w:jc w:val="both"/>
        <w:rPr>
          <w:sz w:val="24"/>
          <w:szCs w:val="24"/>
        </w:rPr>
      </w:pPr>
    </w:p>
    <w:p w14:paraId="5F5327B9" w14:textId="77777777" w:rsidR="00C34B88" w:rsidRPr="001D7F97" w:rsidRDefault="00950DCA" w:rsidP="005E2C1E">
      <w:pPr>
        <w:spacing w:line="360" w:lineRule="auto"/>
        <w:jc w:val="both"/>
        <w:rPr>
          <w:b/>
          <w:bCs/>
          <w:sz w:val="24"/>
          <w:szCs w:val="24"/>
        </w:rPr>
      </w:pPr>
      <w:r w:rsidRPr="001D7F97">
        <w:rPr>
          <w:b/>
          <w:bCs/>
          <w:sz w:val="24"/>
          <w:szCs w:val="24"/>
        </w:rPr>
        <w:t>4 RESULTADOS E DISCUSSÃO</w:t>
      </w:r>
    </w:p>
    <w:p w14:paraId="72A4A2FF" w14:textId="77777777" w:rsidR="00627EFB" w:rsidRPr="001D7F97" w:rsidRDefault="00627EFB" w:rsidP="00627EFB">
      <w:pPr>
        <w:spacing w:line="360" w:lineRule="auto"/>
        <w:rPr>
          <w:b/>
          <w:bCs/>
          <w:sz w:val="24"/>
          <w:szCs w:val="24"/>
        </w:rPr>
      </w:pPr>
      <w:r w:rsidRPr="001D7F97">
        <w:rPr>
          <w:b/>
          <w:bCs/>
          <w:sz w:val="24"/>
          <w:szCs w:val="24"/>
        </w:rPr>
        <w:t>4.1 Feminicídio: a violência que começa muito antes da morte</w:t>
      </w:r>
    </w:p>
    <w:p w14:paraId="310E10D7" w14:textId="77777777" w:rsidR="00627EFB" w:rsidRPr="001D7F97" w:rsidRDefault="00627EFB" w:rsidP="00A7630D">
      <w:pPr>
        <w:spacing w:line="360" w:lineRule="auto"/>
        <w:ind w:firstLine="709"/>
        <w:jc w:val="both"/>
        <w:rPr>
          <w:sz w:val="24"/>
          <w:szCs w:val="24"/>
        </w:rPr>
      </w:pPr>
      <w:r w:rsidRPr="001D7F97">
        <w:rPr>
          <w:sz w:val="24"/>
          <w:szCs w:val="24"/>
        </w:rPr>
        <w:t xml:space="preserve">O feminicídio não começa com a morte da mulher. Antes de chegar a esse ponto, muitas vítimas já convivem com ameaças, controle, humilhações, isolamento e diferentes formas de </w:t>
      </w:r>
      <w:r w:rsidRPr="001D7F97">
        <w:rPr>
          <w:sz w:val="24"/>
          <w:szCs w:val="24"/>
        </w:rPr>
        <w:lastRenderedPageBreak/>
        <w:t>agressão. Nem sempre, porém, esses comportamentos são percebidos, desde o início, como violência. O ciúme pode ser confundido com amor, o controle pode parecer cuidado e a possessividade pode ser interpretada como preocupação. Aos poucos, essas atitudes limitam a liberdade da mulher e criam uma relação em que o medo e a dominação passam a fazer parte do cotidiano.</w:t>
      </w:r>
    </w:p>
    <w:p w14:paraId="700067BC" w14:textId="77777777" w:rsidR="001C4336" w:rsidRDefault="001C4336" w:rsidP="00564093">
      <w:pPr>
        <w:spacing w:line="360" w:lineRule="auto"/>
        <w:ind w:firstLine="709"/>
        <w:jc w:val="both"/>
        <w:rPr>
          <w:sz w:val="24"/>
          <w:szCs w:val="24"/>
        </w:rPr>
      </w:pPr>
      <w:r w:rsidRPr="001C4336">
        <w:rPr>
          <w:sz w:val="24"/>
          <w:szCs w:val="24"/>
        </w:rPr>
        <w:t>Durante muito tempo, a violência doméstica foi vista como um problema do casal, como mostra a frase “em briga de marido e mulher, ninguém mete a colher”. Muitas mulheres sofreram em silêncio, e fatores como medo, dependência financeira, filhos, ameaças e falta de apoio dificultam o rompimento de relações violentas.</w:t>
      </w:r>
    </w:p>
    <w:p w14:paraId="09C1550B" w14:textId="53654B23" w:rsidR="00564093" w:rsidRDefault="00627EFB" w:rsidP="00564093">
      <w:pPr>
        <w:spacing w:line="360" w:lineRule="auto"/>
        <w:ind w:firstLine="709"/>
        <w:jc w:val="both"/>
        <w:rPr>
          <w:sz w:val="24"/>
          <w:szCs w:val="24"/>
        </w:rPr>
      </w:pPr>
      <w:r w:rsidRPr="001D7F97">
        <w:rPr>
          <w:sz w:val="24"/>
          <w:szCs w:val="24"/>
        </w:rPr>
        <w:t>Essa realidade pode ser relacionada ao que Bourdieu (2012) discute sobre a dominação masculina. O autor mostra que algumas relações de poder são construídas socialmente e acabam sendo repetidas como se fossem naturais. Isso ajuda a entender por que atitudes de controle e submissão ainda podem ser aceitas dentro de alguns relacionamentos. A violência, nesses casos, não aparece de uma única forma. Pode começar com palavras, humilhações e ameaças e, com o tempo, assumir outras formas, como a violência patrimonial, física e sexual.</w:t>
      </w:r>
    </w:p>
    <w:p w14:paraId="13619EAA" w14:textId="00A309F3" w:rsidR="00A57398" w:rsidRPr="001D7F97" w:rsidRDefault="00627EFB" w:rsidP="00564093">
      <w:pPr>
        <w:spacing w:line="360" w:lineRule="auto"/>
        <w:ind w:firstLine="709"/>
        <w:jc w:val="both"/>
        <w:rPr>
          <w:sz w:val="24"/>
          <w:szCs w:val="24"/>
        </w:rPr>
      </w:pPr>
      <w:r w:rsidRPr="001D7F97">
        <w:rPr>
          <w:sz w:val="24"/>
          <w:szCs w:val="24"/>
        </w:rPr>
        <w:t>Os dados mostram que essa ainda é uma realidade preocupante no Brasil. Segundo o Fórum Brasileiro de Segurança Pública, foram registrados 1.492 feminicídios em 2024, o que representa aproximadamente quatro vítimas por dia.</w:t>
      </w:r>
      <w:r w:rsidR="009B6CE7" w:rsidRPr="001D7F97">
        <w:rPr>
          <w:sz w:val="24"/>
          <w:szCs w:val="24"/>
        </w:rPr>
        <w:t xml:space="preserve"> </w:t>
      </w:r>
      <w:r w:rsidRPr="001D7F97">
        <w:rPr>
          <w:sz w:val="24"/>
          <w:szCs w:val="24"/>
        </w:rPr>
        <w:t xml:space="preserve">O número chama </w:t>
      </w:r>
      <w:r w:rsidR="00A7630D" w:rsidRPr="001D7F97">
        <w:rPr>
          <w:sz w:val="24"/>
          <w:szCs w:val="24"/>
        </w:rPr>
        <w:t xml:space="preserve">a </w:t>
      </w:r>
      <w:r w:rsidRPr="001D7F97">
        <w:rPr>
          <w:sz w:val="24"/>
          <w:szCs w:val="24"/>
        </w:rPr>
        <w:t xml:space="preserve">atenção porque o país já possui leis específicas para enfrentar a violência contra a mulher. Mesmo assim, os casos continuam </w:t>
      </w:r>
      <w:r w:rsidR="00B559A8" w:rsidRPr="001D7F97">
        <w:rPr>
          <w:sz w:val="24"/>
          <w:szCs w:val="24"/>
        </w:rPr>
        <w:t>ocorrendo e apresentando números cada vez mais elevados no país.</w:t>
      </w:r>
    </w:p>
    <w:p w14:paraId="54E94847" w14:textId="75EB8AB8" w:rsidR="00B559A8" w:rsidRPr="001D7F97" w:rsidRDefault="00B559A8" w:rsidP="00C02DD8">
      <w:pPr>
        <w:spacing w:line="360" w:lineRule="auto"/>
        <w:ind w:firstLine="709"/>
        <w:jc w:val="both"/>
        <w:rPr>
          <w:sz w:val="24"/>
          <w:szCs w:val="24"/>
        </w:rPr>
      </w:pPr>
      <w:proofErr w:type="spellStart"/>
      <w:r w:rsidRPr="001D7F97">
        <w:rPr>
          <w:sz w:val="24"/>
          <w:szCs w:val="24"/>
        </w:rPr>
        <w:t>Moroskoski</w:t>
      </w:r>
      <w:proofErr w:type="spellEnd"/>
      <w:r w:rsidRPr="001D7F97">
        <w:rPr>
          <w:sz w:val="24"/>
          <w:szCs w:val="24"/>
        </w:rPr>
        <w:t xml:space="preserve"> </w:t>
      </w:r>
      <w:r w:rsidRPr="001D7F97">
        <w:rPr>
          <w:i/>
          <w:iCs/>
          <w:sz w:val="24"/>
          <w:szCs w:val="24"/>
        </w:rPr>
        <w:t>et al</w:t>
      </w:r>
      <w:r w:rsidR="00FA1372" w:rsidRPr="001D7F97">
        <w:rPr>
          <w:i/>
          <w:iCs/>
          <w:sz w:val="24"/>
          <w:szCs w:val="24"/>
        </w:rPr>
        <w:t>.</w:t>
      </w:r>
      <w:r w:rsidRPr="001D7F97">
        <w:rPr>
          <w:sz w:val="24"/>
          <w:szCs w:val="24"/>
        </w:rPr>
        <w:t xml:space="preserve"> (2025)</w:t>
      </w:r>
      <w:r w:rsidR="008B7756">
        <w:rPr>
          <w:sz w:val="24"/>
          <w:szCs w:val="24"/>
        </w:rPr>
        <w:t xml:space="preserve"> destaca</w:t>
      </w:r>
      <w:r w:rsidRPr="001D7F97">
        <w:rPr>
          <w:sz w:val="24"/>
          <w:szCs w:val="24"/>
        </w:rPr>
        <w:t xml:space="preserve"> o Brasil como o 5</w:t>
      </w:r>
      <w:r w:rsidRPr="001D7F97">
        <w:rPr>
          <w:sz w:val="24"/>
          <w:szCs w:val="24"/>
          <w:vertAlign w:val="superscript"/>
        </w:rPr>
        <w:t xml:space="preserve">o </w:t>
      </w:r>
      <w:r w:rsidRPr="001D7F97">
        <w:rPr>
          <w:sz w:val="24"/>
          <w:szCs w:val="24"/>
        </w:rPr>
        <w:t>país com as maiores taxas</w:t>
      </w:r>
      <w:r w:rsidR="008B7756">
        <w:rPr>
          <w:sz w:val="24"/>
          <w:szCs w:val="24"/>
        </w:rPr>
        <w:t xml:space="preserve"> de feminicídio</w:t>
      </w:r>
      <w:r w:rsidRPr="001D7F97">
        <w:rPr>
          <w:sz w:val="24"/>
          <w:szCs w:val="24"/>
        </w:rPr>
        <w:t xml:space="preserve">. </w:t>
      </w:r>
      <w:r w:rsidR="0076133B">
        <w:rPr>
          <w:sz w:val="24"/>
          <w:szCs w:val="24"/>
        </w:rPr>
        <w:t xml:space="preserve">Esse fenômeno </w:t>
      </w:r>
      <w:r w:rsidRPr="001D7F97">
        <w:rPr>
          <w:sz w:val="24"/>
          <w:szCs w:val="24"/>
        </w:rPr>
        <w:t>está relaciona</w:t>
      </w:r>
      <w:r w:rsidR="0076133B">
        <w:rPr>
          <w:sz w:val="24"/>
          <w:szCs w:val="24"/>
        </w:rPr>
        <w:t>do</w:t>
      </w:r>
      <w:r w:rsidR="008B7756">
        <w:rPr>
          <w:sz w:val="24"/>
          <w:szCs w:val="24"/>
        </w:rPr>
        <w:t xml:space="preserve">, muitas vezes, </w:t>
      </w:r>
      <w:r w:rsidRPr="001D7F97">
        <w:rPr>
          <w:sz w:val="24"/>
          <w:szCs w:val="24"/>
        </w:rPr>
        <w:t>a uma dinâmica complexa e</w:t>
      </w:r>
      <w:r w:rsidR="00FA1372" w:rsidRPr="001D7F97">
        <w:rPr>
          <w:sz w:val="24"/>
          <w:szCs w:val="24"/>
        </w:rPr>
        <w:t xml:space="preserve"> de múltiplos fatores</w:t>
      </w:r>
      <w:r w:rsidRPr="001D7F97">
        <w:rPr>
          <w:sz w:val="24"/>
          <w:szCs w:val="24"/>
        </w:rPr>
        <w:t xml:space="preserve">, </w:t>
      </w:r>
      <w:r w:rsidR="008B7756">
        <w:rPr>
          <w:sz w:val="24"/>
          <w:szCs w:val="24"/>
        </w:rPr>
        <w:t xml:space="preserve">já que os </w:t>
      </w:r>
      <w:r w:rsidRPr="001D7F97">
        <w:rPr>
          <w:sz w:val="24"/>
          <w:szCs w:val="24"/>
        </w:rPr>
        <w:t>casos de feminicídio podem assumir diferentes configurações dependendo do contexto social no qual as mulheres estão inseridas.</w:t>
      </w:r>
      <w:r w:rsidR="00FA1372" w:rsidRPr="001D7F97">
        <w:rPr>
          <w:sz w:val="24"/>
          <w:szCs w:val="24"/>
        </w:rPr>
        <w:t xml:space="preserve"> A exemplo disso</w:t>
      </w:r>
      <w:r w:rsidRPr="001D7F97">
        <w:rPr>
          <w:sz w:val="24"/>
          <w:szCs w:val="24"/>
        </w:rPr>
        <w:t>, destacam-se, as características individuais, especialmente aquelas relacionadas ao parceiro, bem como os aspectos comunitários e culturais, que podem contribuir para a naturalização e para a tolerância da violência de gênero</w:t>
      </w:r>
      <w:r w:rsidR="0076133B">
        <w:rPr>
          <w:sz w:val="24"/>
          <w:szCs w:val="24"/>
        </w:rPr>
        <w:t>.</w:t>
      </w:r>
    </w:p>
    <w:p w14:paraId="0742DF82" w14:textId="52C4B8C9" w:rsidR="00627EFB" w:rsidRPr="001D7F97" w:rsidRDefault="00B559A8" w:rsidP="00A7630D">
      <w:pPr>
        <w:spacing w:line="360" w:lineRule="auto"/>
        <w:ind w:firstLine="709"/>
        <w:jc w:val="both"/>
        <w:rPr>
          <w:sz w:val="24"/>
          <w:szCs w:val="24"/>
        </w:rPr>
      </w:pPr>
      <w:r w:rsidRPr="001D7F97">
        <w:rPr>
          <w:sz w:val="24"/>
          <w:szCs w:val="24"/>
        </w:rPr>
        <w:t>Nesse contexto, observa-se que m</w:t>
      </w:r>
      <w:r w:rsidR="00627EFB" w:rsidRPr="001D7F97">
        <w:rPr>
          <w:sz w:val="24"/>
          <w:szCs w:val="24"/>
        </w:rPr>
        <w:t xml:space="preserve">uitos desses crimes são praticados por parceiros ou ex-companheiros e acontecem dentro da própria casa. Isso torna a situação ainda mais preocupante, porque o risco pode estar justamente ao lado da vítima. O momento da separação também pode aumentar as ameaças, principalmente quando o agressor não aceita o fim da </w:t>
      </w:r>
      <w:r w:rsidR="00627EFB" w:rsidRPr="001D7F97">
        <w:rPr>
          <w:sz w:val="24"/>
          <w:szCs w:val="24"/>
        </w:rPr>
        <w:lastRenderedPageBreak/>
        <w:t>relação. A decisão da mulher de seguir a própria vida pode ser entendida por ele como perda de controle.</w:t>
      </w:r>
    </w:p>
    <w:p w14:paraId="2E410A0A" w14:textId="626B1656" w:rsidR="00627EFB" w:rsidRDefault="00627EFB" w:rsidP="00A7630D">
      <w:pPr>
        <w:spacing w:line="360" w:lineRule="auto"/>
        <w:ind w:firstLine="709"/>
        <w:jc w:val="both"/>
        <w:rPr>
          <w:sz w:val="24"/>
          <w:szCs w:val="24"/>
        </w:rPr>
      </w:pPr>
      <w:r w:rsidRPr="001D7F97">
        <w:rPr>
          <w:sz w:val="24"/>
          <w:szCs w:val="24"/>
        </w:rPr>
        <w:t xml:space="preserve">Alguns casos mostram ainda que mulheres procuraram ajuda antes de serem assassinadas. Houve denúncias, relatos de ameaças e pedidos de proteção que não foram suficientes para evitar a morte. Isso chama </w:t>
      </w:r>
      <w:r w:rsidR="00A7630D" w:rsidRPr="001D7F97">
        <w:rPr>
          <w:sz w:val="24"/>
          <w:szCs w:val="24"/>
        </w:rPr>
        <w:t xml:space="preserve">a </w:t>
      </w:r>
      <w:r w:rsidRPr="001D7F97">
        <w:rPr>
          <w:sz w:val="24"/>
          <w:szCs w:val="24"/>
        </w:rPr>
        <w:t>atenção para um momento importante do enfrentamento à violência: quando a mulher procura ajuda, sua denúncia precisa ser ouvida co</w:t>
      </w:r>
      <w:r w:rsidR="0076133B">
        <w:rPr>
          <w:sz w:val="24"/>
          <w:szCs w:val="24"/>
        </w:rPr>
        <w:t xml:space="preserve">m </w:t>
      </w:r>
      <w:r w:rsidRPr="001D7F97">
        <w:rPr>
          <w:sz w:val="24"/>
          <w:szCs w:val="24"/>
        </w:rPr>
        <w:t>seriedade. Em determinadas situações, aquele pedido pode ser uma das últimas oportunidades de interromper o ciclo.</w:t>
      </w:r>
    </w:p>
    <w:p w14:paraId="4144DB9A" w14:textId="77777777" w:rsidR="00E815FE" w:rsidRPr="001D7F97" w:rsidRDefault="00E815FE" w:rsidP="00A7630D">
      <w:pPr>
        <w:spacing w:line="360" w:lineRule="auto"/>
        <w:ind w:firstLine="709"/>
        <w:jc w:val="both"/>
        <w:rPr>
          <w:sz w:val="24"/>
          <w:szCs w:val="24"/>
        </w:rPr>
      </w:pPr>
    </w:p>
    <w:p w14:paraId="0C4C61EC" w14:textId="79BBC62B" w:rsidR="00A7630D" w:rsidRPr="001D7F97" w:rsidRDefault="00627EFB" w:rsidP="00A7630D">
      <w:pPr>
        <w:spacing w:line="360" w:lineRule="auto"/>
        <w:jc w:val="both"/>
        <w:rPr>
          <w:b/>
          <w:bCs/>
          <w:sz w:val="24"/>
          <w:szCs w:val="24"/>
        </w:rPr>
      </w:pPr>
      <w:r w:rsidRPr="001D7F97">
        <w:rPr>
          <w:b/>
          <w:bCs/>
          <w:sz w:val="24"/>
          <w:szCs w:val="24"/>
        </w:rPr>
        <w:t>4.2 As leis brasileiras representam um avanço, mas por que as mulheres continuam a morrer?</w:t>
      </w:r>
    </w:p>
    <w:p w14:paraId="5B8847EE" w14:textId="77777777" w:rsidR="00627EFB" w:rsidRPr="001D7F97" w:rsidRDefault="00627EFB" w:rsidP="00A7630D">
      <w:pPr>
        <w:spacing w:line="360" w:lineRule="auto"/>
        <w:ind w:firstLine="709"/>
        <w:jc w:val="both"/>
        <w:rPr>
          <w:sz w:val="24"/>
          <w:szCs w:val="24"/>
        </w:rPr>
      </w:pPr>
      <w:r w:rsidRPr="001D7F97">
        <w:rPr>
          <w:sz w:val="24"/>
          <w:szCs w:val="24"/>
        </w:rPr>
        <w:t>A Lei Maria da Penha (Lei nº 11.340/2006) trouxe mudanças importantes para o enfrentamento da violência doméstica no Brasil. Além de reconhecer diferentes formas de violência contra a mulher, a lei criou mecanismos de proteção, entre eles as medidas protetivas de urgência e o afastamento do agressor. Com isso, situações que antes eram tratadas apenas como problemas familiares passaram a receber uma atenção maior do Estado.</w:t>
      </w:r>
    </w:p>
    <w:p w14:paraId="506E9EC3" w14:textId="5097272D" w:rsidR="00042457" w:rsidRPr="001D7F97" w:rsidRDefault="00627EFB" w:rsidP="00B559A8">
      <w:pPr>
        <w:spacing w:line="360" w:lineRule="auto"/>
        <w:ind w:firstLine="709"/>
        <w:jc w:val="both"/>
        <w:rPr>
          <w:sz w:val="24"/>
          <w:szCs w:val="24"/>
        </w:rPr>
      </w:pPr>
      <w:r w:rsidRPr="001D7F97">
        <w:rPr>
          <w:sz w:val="24"/>
          <w:szCs w:val="24"/>
        </w:rPr>
        <w:t xml:space="preserve">Em 2015, a Lei nº 13.104/2015 incluiu o feminicídio como qualificadora do homicídio. Outra mudança aconteceu em 2024, com a Lei nº 14.994/2024. O feminicídio passou a ser crime </w:t>
      </w:r>
    </w:p>
    <w:p w14:paraId="3359D860" w14:textId="1DBA2046" w:rsidR="00564093" w:rsidRDefault="00627EFB" w:rsidP="00DE6B98">
      <w:pPr>
        <w:spacing w:line="360" w:lineRule="auto"/>
        <w:jc w:val="both"/>
        <w:rPr>
          <w:sz w:val="24"/>
          <w:szCs w:val="24"/>
        </w:rPr>
      </w:pPr>
      <w:r w:rsidRPr="001D7F97">
        <w:rPr>
          <w:sz w:val="24"/>
          <w:szCs w:val="24"/>
        </w:rPr>
        <w:t xml:space="preserve">autônomo, previsto no artigo 121-A do Código Penal, com pena de 20 a 40 anos. </w:t>
      </w:r>
      <w:r w:rsidR="000523CC">
        <w:rPr>
          <w:sz w:val="24"/>
          <w:szCs w:val="24"/>
        </w:rPr>
        <w:t>Além disso,</w:t>
      </w:r>
      <w:r w:rsidR="003E080A">
        <w:rPr>
          <w:sz w:val="24"/>
          <w:szCs w:val="24"/>
        </w:rPr>
        <w:t xml:space="preserve"> </w:t>
      </w:r>
      <w:r w:rsidR="003D4E85">
        <w:rPr>
          <w:sz w:val="24"/>
          <w:szCs w:val="24"/>
        </w:rPr>
        <w:t xml:space="preserve">recentemente, </w:t>
      </w:r>
      <w:r w:rsidR="003E080A" w:rsidRPr="003E080A">
        <w:rPr>
          <w:sz w:val="24"/>
          <w:szCs w:val="24"/>
        </w:rPr>
        <w:t>a Lei nº 15.411/2026</w:t>
      </w:r>
      <w:r w:rsidR="003E080A">
        <w:rPr>
          <w:sz w:val="24"/>
          <w:szCs w:val="24"/>
        </w:rPr>
        <w:t xml:space="preserve"> alterou o </w:t>
      </w:r>
      <w:r w:rsidR="000523CC">
        <w:rPr>
          <w:sz w:val="24"/>
          <w:szCs w:val="24"/>
        </w:rPr>
        <w:t>artigo 12-C da Lei Maria da Penha</w:t>
      </w:r>
      <w:r w:rsidR="003E080A">
        <w:rPr>
          <w:sz w:val="24"/>
          <w:szCs w:val="24"/>
        </w:rPr>
        <w:t xml:space="preserve">, ampliando </w:t>
      </w:r>
      <w:r w:rsidR="000523CC">
        <w:rPr>
          <w:sz w:val="24"/>
          <w:szCs w:val="24"/>
        </w:rPr>
        <w:t>o rol de riscos que autorizam o afastamento imediato do agressor</w:t>
      </w:r>
      <w:r w:rsidR="003E080A">
        <w:rPr>
          <w:sz w:val="24"/>
          <w:szCs w:val="24"/>
        </w:rPr>
        <w:t>. Com a alteração além do risco à vida</w:t>
      </w:r>
      <w:r w:rsidR="000523CC">
        <w:rPr>
          <w:sz w:val="24"/>
          <w:szCs w:val="24"/>
        </w:rPr>
        <w:t xml:space="preserve"> </w:t>
      </w:r>
      <w:r w:rsidR="003E080A">
        <w:rPr>
          <w:sz w:val="24"/>
          <w:szCs w:val="24"/>
        </w:rPr>
        <w:t xml:space="preserve">e à integridade </w:t>
      </w:r>
      <w:r w:rsidR="000523CC">
        <w:rPr>
          <w:sz w:val="24"/>
          <w:szCs w:val="24"/>
        </w:rPr>
        <w:t>física e psicológica</w:t>
      </w:r>
      <w:r w:rsidR="003E080A">
        <w:rPr>
          <w:sz w:val="24"/>
          <w:szCs w:val="24"/>
        </w:rPr>
        <w:t>, passaram a ser considerados</w:t>
      </w:r>
      <w:r w:rsidR="000523CC">
        <w:rPr>
          <w:sz w:val="24"/>
          <w:szCs w:val="24"/>
        </w:rPr>
        <w:t xml:space="preserve"> também</w:t>
      </w:r>
      <w:r w:rsidR="003E080A">
        <w:rPr>
          <w:sz w:val="24"/>
          <w:szCs w:val="24"/>
        </w:rPr>
        <w:t xml:space="preserve"> os riscos à integridade</w:t>
      </w:r>
      <w:r w:rsidR="000523CC">
        <w:rPr>
          <w:sz w:val="24"/>
          <w:szCs w:val="24"/>
        </w:rPr>
        <w:t xml:space="preserve"> </w:t>
      </w:r>
      <w:r w:rsidR="003E080A">
        <w:rPr>
          <w:sz w:val="24"/>
          <w:szCs w:val="24"/>
        </w:rPr>
        <w:t xml:space="preserve">sexual, moral e patrimonial da mulher. </w:t>
      </w:r>
      <w:r w:rsidRPr="001D7F97">
        <w:rPr>
          <w:sz w:val="24"/>
          <w:szCs w:val="24"/>
        </w:rPr>
        <w:t>Essas mudanças mostram que a legislação brasileira se tornou mais rigorosa ao longo dos últimos anos.</w:t>
      </w:r>
    </w:p>
    <w:p w14:paraId="6B6F22C2" w14:textId="1952457F" w:rsidR="001D7F97" w:rsidRPr="001D7F97" w:rsidRDefault="0076133B" w:rsidP="00564093">
      <w:pPr>
        <w:spacing w:line="360" w:lineRule="auto"/>
        <w:ind w:firstLine="720"/>
        <w:jc w:val="both"/>
        <w:rPr>
          <w:sz w:val="24"/>
          <w:szCs w:val="24"/>
        </w:rPr>
      </w:pPr>
      <w:r>
        <w:rPr>
          <w:sz w:val="24"/>
          <w:szCs w:val="24"/>
        </w:rPr>
        <w:t xml:space="preserve">A </w:t>
      </w:r>
      <w:r w:rsidR="00DE6B98" w:rsidRPr="001D7F97">
        <w:rPr>
          <w:sz w:val="24"/>
          <w:szCs w:val="24"/>
        </w:rPr>
        <w:t>Lei</w:t>
      </w:r>
      <w:r w:rsidR="001D7F97" w:rsidRPr="001D7F97">
        <w:rPr>
          <w:sz w:val="24"/>
          <w:szCs w:val="24"/>
        </w:rPr>
        <w:t xml:space="preserve"> n</w:t>
      </w:r>
      <w:r w:rsidR="001D7F97" w:rsidRPr="001D7F97">
        <w:rPr>
          <w:sz w:val="24"/>
          <w:szCs w:val="24"/>
          <w:vertAlign w:val="superscript"/>
        </w:rPr>
        <w:t>o</w:t>
      </w:r>
      <w:r w:rsidR="00DE6B98" w:rsidRPr="001D7F97">
        <w:rPr>
          <w:sz w:val="24"/>
          <w:szCs w:val="24"/>
        </w:rPr>
        <w:t xml:space="preserve"> 15.398/2026 cria o Programa Antes </w:t>
      </w:r>
      <w:proofErr w:type="gramStart"/>
      <w:r w:rsidR="00DE6B98" w:rsidRPr="001D7F97">
        <w:rPr>
          <w:sz w:val="24"/>
          <w:szCs w:val="24"/>
        </w:rPr>
        <w:t>que Aconteça</w:t>
      </w:r>
      <w:proofErr w:type="gramEnd"/>
      <w:r w:rsidR="00DE6B98" w:rsidRPr="001D7F97">
        <w:rPr>
          <w:sz w:val="24"/>
          <w:szCs w:val="24"/>
        </w:rPr>
        <w:t>, voltad</w:t>
      </w:r>
      <w:r w:rsidR="001D7F97" w:rsidRPr="001D7F97">
        <w:rPr>
          <w:sz w:val="24"/>
          <w:szCs w:val="24"/>
        </w:rPr>
        <w:t>o</w:t>
      </w:r>
      <w:r w:rsidR="00DE6B98" w:rsidRPr="001D7F97">
        <w:rPr>
          <w:sz w:val="24"/>
          <w:szCs w:val="24"/>
        </w:rPr>
        <w:t xml:space="preserve"> à proteção e </w:t>
      </w:r>
      <w:r w:rsidR="001D7F97" w:rsidRPr="001D7F97">
        <w:rPr>
          <w:sz w:val="24"/>
          <w:szCs w:val="24"/>
        </w:rPr>
        <w:t xml:space="preserve">à </w:t>
      </w:r>
      <w:r w:rsidR="00DE6B98" w:rsidRPr="001D7F97">
        <w:rPr>
          <w:sz w:val="24"/>
          <w:szCs w:val="24"/>
        </w:rPr>
        <w:t xml:space="preserve">promoção dos direitos das mulheres, especialmente no enfrentamento da violência de gênero. A </w:t>
      </w:r>
      <w:r w:rsidR="001D7F97" w:rsidRPr="001D7F97">
        <w:rPr>
          <w:sz w:val="24"/>
          <w:szCs w:val="24"/>
        </w:rPr>
        <w:t>medida representa um grande avanço, uma vez que desloca parte da atuação do Estado para a prevenção da violência, buscando impedir que essa evolua para formas mais graves, como o feminicídio. Contudo, a existência dessa política de prevenção não garante a proteção efetiva e o alcance de todas as mulheres em situação de risco</w:t>
      </w:r>
      <w:r>
        <w:rPr>
          <w:sz w:val="24"/>
          <w:szCs w:val="24"/>
        </w:rPr>
        <w:t>.</w:t>
      </w:r>
    </w:p>
    <w:p w14:paraId="24FCD4A7" w14:textId="6E20967C" w:rsidR="00627EFB" w:rsidRPr="001D7F97" w:rsidRDefault="001D7F97" w:rsidP="00564093">
      <w:pPr>
        <w:spacing w:line="360" w:lineRule="auto"/>
        <w:ind w:firstLine="720"/>
        <w:jc w:val="both"/>
        <w:rPr>
          <w:sz w:val="24"/>
          <w:szCs w:val="24"/>
        </w:rPr>
      </w:pPr>
      <w:r w:rsidRPr="001D7F97">
        <w:rPr>
          <w:sz w:val="24"/>
          <w:szCs w:val="24"/>
        </w:rPr>
        <w:lastRenderedPageBreak/>
        <w:t>Diante disso, m</w:t>
      </w:r>
      <w:r w:rsidR="00627EFB" w:rsidRPr="001D7F97">
        <w:rPr>
          <w:sz w:val="24"/>
          <w:szCs w:val="24"/>
        </w:rPr>
        <w:t xml:space="preserve">esmo com esses avanços, </w:t>
      </w:r>
      <w:r w:rsidR="00343416" w:rsidRPr="001D7F97">
        <w:rPr>
          <w:sz w:val="24"/>
          <w:szCs w:val="24"/>
        </w:rPr>
        <w:t>o questionamento</w:t>
      </w:r>
      <w:r w:rsidR="00627EFB" w:rsidRPr="001D7F97">
        <w:rPr>
          <w:sz w:val="24"/>
          <w:szCs w:val="24"/>
        </w:rPr>
        <w:t xml:space="preserve"> permanece: por que tantas mulheres continuam morrendo? A existência das leis é necessária, mas a proteção precisa acontecer também fora do papel. Quando uma mulher consegue uma medida protetiva, por exemplo, ela espera que aquela decisão realmente contribua para sua segurança. Se o agressor descumpre a medida e não há uma resposta rápida, o risco pode continuar.</w:t>
      </w:r>
    </w:p>
    <w:p w14:paraId="42AD3206" w14:textId="77777777" w:rsidR="00264926" w:rsidRDefault="00627EFB" w:rsidP="00264926">
      <w:pPr>
        <w:spacing w:line="360" w:lineRule="auto"/>
        <w:ind w:firstLine="709"/>
        <w:jc w:val="both"/>
        <w:rPr>
          <w:sz w:val="24"/>
          <w:szCs w:val="24"/>
        </w:rPr>
      </w:pPr>
      <w:r w:rsidRPr="001D7F97">
        <w:rPr>
          <w:sz w:val="24"/>
          <w:szCs w:val="24"/>
        </w:rPr>
        <w:t>Outro problema está nas dificuldades encontradas por algumas mulheres quando procuram atendimento. Nem todos os lugares possuem os mesmos serviços ou a mesma estrutura. Delegacias especializadas, atendimento psicológico, assistência jurídica e locais de acolhimento fazem diferença para quem precisa sair de casa ou está sendo ameaçada. Quando esses serviços não estão disponíveis ou não conseguem trabalhar de forma conjunta, a vítima pode continuar vulnerável</w:t>
      </w:r>
      <w:r w:rsidR="00EC2757" w:rsidRPr="001D7F97">
        <w:rPr>
          <w:sz w:val="24"/>
          <w:szCs w:val="24"/>
        </w:rPr>
        <w:t xml:space="preserve"> e isso pode configurar uma nova forma de violência</w:t>
      </w:r>
      <w:r w:rsidR="00921F89" w:rsidRPr="001D7F97">
        <w:rPr>
          <w:sz w:val="24"/>
          <w:szCs w:val="24"/>
        </w:rPr>
        <w:t xml:space="preserve">, manifestada pelo descaso das instituições e pela morosidade do sistema </w:t>
      </w:r>
      <w:r w:rsidR="00FA1372" w:rsidRPr="001D7F97">
        <w:rPr>
          <w:sz w:val="24"/>
          <w:szCs w:val="24"/>
        </w:rPr>
        <w:t xml:space="preserve">judicial </w:t>
      </w:r>
      <w:r w:rsidR="00921F89" w:rsidRPr="001D7F97">
        <w:rPr>
          <w:sz w:val="24"/>
          <w:szCs w:val="24"/>
        </w:rPr>
        <w:t>brasileiro.</w:t>
      </w:r>
    </w:p>
    <w:p w14:paraId="72B0E8DB" w14:textId="425E9CAB" w:rsidR="00627EFB" w:rsidRPr="001D7F97" w:rsidRDefault="00627EFB" w:rsidP="00264926">
      <w:pPr>
        <w:spacing w:line="360" w:lineRule="auto"/>
        <w:ind w:firstLine="709"/>
        <w:jc w:val="both"/>
        <w:rPr>
          <w:sz w:val="24"/>
          <w:szCs w:val="24"/>
        </w:rPr>
      </w:pPr>
      <w:r w:rsidRPr="001D7F97">
        <w:rPr>
          <w:sz w:val="24"/>
          <w:szCs w:val="24"/>
        </w:rPr>
        <w:t>Também não se pode esquecer que a violência doméstica acontece, na maioria das vezes, longe dos olhos de outras pessoas. Medo, dependência financeira, ameaças e controle podem dificultar tanto a denúncia quanto o rompimento da relação. Isso mostra por que uma lei mais severa, embora importante, não consegue resolver sozinha todas as situações envolvidas na violência contra a mulher.</w:t>
      </w:r>
    </w:p>
    <w:p w14:paraId="73CC1945" w14:textId="77777777" w:rsidR="00EC564D" w:rsidRPr="001D7F97" w:rsidRDefault="00627EFB" w:rsidP="00A7630D">
      <w:pPr>
        <w:spacing w:line="360" w:lineRule="auto"/>
        <w:ind w:firstLine="709"/>
        <w:jc w:val="both"/>
        <w:rPr>
          <w:sz w:val="24"/>
          <w:szCs w:val="24"/>
        </w:rPr>
      </w:pPr>
      <w:r w:rsidRPr="001D7F97">
        <w:rPr>
          <w:sz w:val="24"/>
          <w:szCs w:val="24"/>
        </w:rPr>
        <w:t xml:space="preserve">A punição do agressor é indispensável. Mas, quando ocorre um feminicídio, punir significa agir depois que uma mulher já perdeu a vida. É por isso que a aplicação das leis precisa estar acompanhada de proteção, fiscalização e atendimento. A questão não é escolher entre </w:t>
      </w:r>
    </w:p>
    <w:p w14:paraId="090E737D" w14:textId="3852139C" w:rsidR="00627EFB" w:rsidRPr="001D7F97" w:rsidRDefault="00627EFB" w:rsidP="00EC564D">
      <w:pPr>
        <w:spacing w:line="360" w:lineRule="auto"/>
        <w:jc w:val="both"/>
        <w:rPr>
          <w:sz w:val="24"/>
          <w:szCs w:val="24"/>
        </w:rPr>
      </w:pPr>
      <w:r w:rsidRPr="001D7F97">
        <w:rPr>
          <w:sz w:val="24"/>
          <w:szCs w:val="24"/>
        </w:rPr>
        <w:t xml:space="preserve">punir </w:t>
      </w:r>
      <w:r w:rsidR="00A7630D" w:rsidRPr="001D7F97">
        <w:rPr>
          <w:sz w:val="24"/>
          <w:szCs w:val="24"/>
        </w:rPr>
        <w:t>e</w:t>
      </w:r>
      <w:r w:rsidRPr="001D7F97">
        <w:rPr>
          <w:sz w:val="24"/>
          <w:szCs w:val="24"/>
        </w:rPr>
        <w:t xml:space="preserve"> prevenir. É fazer com que a lei também funcione quando ainda existe tempo para proteger.</w:t>
      </w:r>
    </w:p>
    <w:p w14:paraId="41B92955" w14:textId="77777777" w:rsidR="00A7630D" w:rsidRPr="001D7F97" w:rsidRDefault="00A7630D" w:rsidP="00A7630D">
      <w:pPr>
        <w:spacing w:line="360" w:lineRule="auto"/>
        <w:ind w:firstLine="709"/>
        <w:jc w:val="both"/>
        <w:rPr>
          <w:sz w:val="24"/>
          <w:szCs w:val="24"/>
        </w:rPr>
      </w:pPr>
    </w:p>
    <w:p w14:paraId="0A7135D1" w14:textId="77777777" w:rsidR="00627EFB" w:rsidRPr="001D7F97" w:rsidRDefault="00627EFB" w:rsidP="00A7630D">
      <w:pPr>
        <w:spacing w:line="360" w:lineRule="auto"/>
        <w:jc w:val="both"/>
        <w:rPr>
          <w:b/>
          <w:bCs/>
          <w:sz w:val="24"/>
          <w:szCs w:val="24"/>
        </w:rPr>
      </w:pPr>
      <w:r w:rsidRPr="001D7F97">
        <w:rPr>
          <w:b/>
          <w:bCs/>
          <w:sz w:val="24"/>
          <w:szCs w:val="24"/>
        </w:rPr>
        <w:t>4.3 Casos reais: mulheres que pediram ajuda, mas não sobreviveram</w:t>
      </w:r>
    </w:p>
    <w:p w14:paraId="750A47FD" w14:textId="77777777" w:rsidR="00B559A8" w:rsidRPr="001D7F97" w:rsidRDefault="00627EFB" w:rsidP="00B559A8">
      <w:pPr>
        <w:spacing w:line="360" w:lineRule="auto"/>
        <w:ind w:firstLine="709"/>
        <w:jc w:val="both"/>
        <w:rPr>
          <w:sz w:val="24"/>
          <w:szCs w:val="24"/>
        </w:rPr>
      </w:pPr>
      <w:r w:rsidRPr="001D7F97">
        <w:rPr>
          <w:sz w:val="24"/>
          <w:szCs w:val="24"/>
        </w:rPr>
        <w:t>Os casos reais ajudam a perceber que a violência contra a mulher não está limitada a uma profissão, condição financeira ou nível de escolaridade. Cada história tem suas próprias circunstâncias e não deve ser usada para explicar todas as outras. Mesmo assim, conhecer algumas dessas situações ajuda a aproximar aquilo que está sendo discutido no artigo do que acontece fora dos textos jurídicos.</w:t>
      </w:r>
    </w:p>
    <w:p w14:paraId="52970936" w14:textId="533D62F6" w:rsidR="00627EFB" w:rsidRPr="001D7F97" w:rsidRDefault="00627EFB" w:rsidP="00B559A8">
      <w:pPr>
        <w:spacing w:line="360" w:lineRule="auto"/>
        <w:ind w:firstLine="709"/>
        <w:jc w:val="both"/>
        <w:rPr>
          <w:sz w:val="24"/>
          <w:szCs w:val="24"/>
        </w:rPr>
      </w:pPr>
      <w:r w:rsidRPr="001D7F97">
        <w:rPr>
          <w:sz w:val="24"/>
          <w:szCs w:val="24"/>
        </w:rPr>
        <w:t xml:space="preserve">Um caso que ganhou repercussão foi o da policial militar Gisele Alves Santana. Ela foi encontrada morta com um tiro na cabeça no apartamento onde vivia com o marido, que também </w:t>
      </w:r>
      <w:r w:rsidRPr="001D7F97">
        <w:rPr>
          <w:sz w:val="24"/>
          <w:szCs w:val="24"/>
        </w:rPr>
        <w:lastRenderedPageBreak/>
        <w:t>era policial militar. Diante das circunstâncias encontradas, a Justiça determinou que a investigação considerasse a hipótese de feminicídio. Como o caso estava sob investigação, é importante não apresentar como definitiva uma conclusão que ainda dependia da apuração das autoridades.</w:t>
      </w:r>
    </w:p>
    <w:p w14:paraId="074950D6" w14:textId="562FCF0B" w:rsidR="00627EFB" w:rsidRPr="001D7F97" w:rsidRDefault="00627EFB" w:rsidP="00A7630D">
      <w:pPr>
        <w:spacing w:line="360" w:lineRule="auto"/>
        <w:ind w:firstLine="709"/>
        <w:jc w:val="both"/>
        <w:rPr>
          <w:sz w:val="24"/>
          <w:szCs w:val="24"/>
        </w:rPr>
      </w:pPr>
      <w:r w:rsidRPr="001D7F97">
        <w:rPr>
          <w:sz w:val="24"/>
          <w:szCs w:val="24"/>
        </w:rPr>
        <w:t xml:space="preserve">O fato de Gisele ser policial chama </w:t>
      </w:r>
      <w:r w:rsidR="00A7630D" w:rsidRPr="001D7F97">
        <w:rPr>
          <w:sz w:val="24"/>
          <w:szCs w:val="24"/>
        </w:rPr>
        <w:t xml:space="preserve">a </w:t>
      </w:r>
      <w:r w:rsidRPr="001D7F97">
        <w:rPr>
          <w:sz w:val="24"/>
          <w:szCs w:val="24"/>
        </w:rPr>
        <w:t>atenção para outro aspecto. Trabalhar na área da segurança pública não significa estar protegida de todas as formas de violência dentro de uma relação. O caso também mostra por que não é adequado explicar a violência a partir de uma suposta fragilidade da mulher. O problema precisa ser observado nas relações de controle, domínio e agressão que podem existir dentro de casa. Mais importante do que perguntar por que uma vítima não conseguiu se proteger é entender como a violência chegou àquele ponto e quais possibilidades existiam para interrompê-la.</w:t>
      </w:r>
    </w:p>
    <w:p w14:paraId="1EA4EA13" w14:textId="77777777" w:rsidR="00A7630D" w:rsidRPr="001D7F97" w:rsidRDefault="00A7630D" w:rsidP="00A7630D">
      <w:pPr>
        <w:spacing w:line="360" w:lineRule="auto"/>
        <w:ind w:firstLine="709"/>
        <w:jc w:val="both"/>
        <w:rPr>
          <w:sz w:val="24"/>
          <w:szCs w:val="24"/>
        </w:rPr>
      </w:pPr>
    </w:p>
    <w:p w14:paraId="28AC6409" w14:textId="4C88E214" w:rsidR="00A7630D" w:rsidRPr="001D7F97" w:rsidRDefault="00627EFB" w:rsidP="00A7630D">
      <w:pPr>
        <w:spacing w:line="360" w:lineRule="auto"/>
        <w:jc w:val="both"/>
        <w:rPr>
          <w:b/>
          <w:bCs/>
          <w:sz w:val="24"/>
          <w:szCs w:val="24"/>
        </w:rPr>
      </w:pPr>
      <w:r w:rsidRPr="001D7F97">
        <w:rPr>
          <w:b/>
          <w:bCs/>
          <w:sz w:val="24"/>
          <w:szCs w:val="24"/>
        </w:rPr>
        <w:t>4.4 O feminicídio como fracasso coletivo da sociedade</w:t>
      </w:r>
    </w:p>
    <w:p w14:paraId="26A14941" w14:textId="77777777" w:rsidR="00627EFB" w:rsidRPr="001D7F97" w:rsidRDefault="00627EFB" w:rsidP="00A7630D">
      <w:pPr>
        <w:spacing w:line="360" w:lineRule="auto"/>
        <w:ind w:firstLine="709"/>
        <w:jc w:val="both"/>
        <w:rPr>
          <w:sz w:val="24"/>
          <w:szCs w:val="24"/>
        </w:rPr>
      </w:pPr>
      <w:r w:rsidRPr="001D7F97">
        <w:rPr>
          <w:sz w:val="24"/>
          <w:szCs w:val="24"/>
        </w:rPr>
        <w:t>Quem pratica o feminicídio é responsável pelo crime. Isso não deve ser confundido com a discussão sobre prevenção. Quando se fala em responsabilidade das instituições, do Estado e da sociedade, a questão é outra: saber se os sinais de risco foram reconhecidos e se a mulher encontrou proteção quando precisou.</w:t>
      </w:r>
    </w:p>
    <w:p w14:paraId="1483FB43" w14:textId="4636C7FF" w:rsidR="00627EFB" w:rsidRPr="001D7F97" w:rsidRDefault="00627EFB" w:rsidP="00564093">
      <w:pPr>
        <w:spacing w:line="360" w:lineRule="auto"/>
        <w:ind w:firstLine="709"/>
        <w:jc w:val="both"/>
        <w:rPr>
          <w:sz w:val="24"/>
          <w:szCs w:val="24"/>
        </w:rPr>
      </w:pPr>
      <w:r w:rsidRPr="001D7F97">
        <w:rPr>
          <w:sz w:val="24"/>
          <w:szCs w:val="24"/>
        </w:rPr>
        <w:t xml:space="preserve">Uma denúncia de ameaça, por exemplo, precisa ser tratada de acordo com o risco apresentado. </w:t>
      </w:r>
      <w:r w:rsidR="00A7630D" w:rsidRPr="001D7F97">
        <w:rPr>
          <w:sz w:val="24"/>
          <w:szCs w:val="24"/>
        </w:rPr>
        <w:t>Isso</w:t>
      </w:r>
      <w:r w:rsidRPr="001D7F97">
        <w:rPr>
          <w:sz w:val="24"/>
          <w:szCs w:val="24"/>
        </w:rPr>
        <w:t xml:space="preserve"> vale para o descumprimento de uma medida protetiva. Quando a mulher procura ajuda e continua exposta ao agressor, existe um problema que precisa ser observado na rede de atendimento. Segurança pública, Justiça, saúde e assistência social possuem funções</w:t>
      </w:r>
      <w:r w:rsidR="00564093">
        <w:rPr>
          <w:sz w:val="24"/>
          <w:szCs w:val="24"/>
        </w:rPr>
        <w:t xml:space="preserve"> </w:t>
      </w:r>
      <w:r w:rsidRPr="001D7F97">
        <w:rPr>
          <w:sz w:val="24"/>
          <w:szCs w:val="24"/>
        </w:rPr>
        <w:t>diferentes, mas, em situações de violência, o trabalho de um serviço pode depender da atuação do outro.</w:t>
      </w:r>
    </w:p>
    <w:p w14:paraId="264AF91B" w14:textId="6790CCEA" w:rsidR="00627EFB" w:rsidRPr="001D7F97" w:rsidRDefault="00627EFB" w:rsidP="00A7630D">
      <w:pPr>
        <w:spacing w:line="360" w:lineRule="auto"/>
        <w:ind w:firstLine="709"/>
        <w:jc w:val="both"/>
        <w:rPr>
          <w:sz w:val="24"/>
          <w:szCs w:val="24"/>
        </w:rPr>
      </w:pPr>
      <w:r w:rsidRPr="001D7F97">
        <w:rPr>
          <w:sz w:val="24"/>
          <w:szCs w:val="24"/>
        </w:rPr>
        <w:t>A própria sociedade também participa desse processo quando decide</w:t>
      </w:r>
      <w:r w:rsidR="00921F89" w:rsidRPr="001D7F97">
        <w:rPr>
          <w:sz w:val="24"/>
          <w:szCs w:val="24"/>
        </w:rPr>
        <w:t xml:space="preserve"> </w:t>
      </w:r>
      <w:r w:rsidRPr="001D7F97">
        <w:rPr>
          <w:sz w:val="24"/>
          <w:szCs w:val="24"/>
        </w:rPr>
        <w:t xml:space="preserve">ignorar uma situação de violência. Ameaças, perseguições e agressões não devem ser tratadas como uma simples briga de casal. Familiares, amigos e pessoas próximas podem ter um papel importante ao ouvir a mulher e orientá-la a procurar ajuda. Prevenir não significa prever exatamente quando um crime acontecerá, mas </w:t>
      </w:r>
      <w:r w:rsidR="00A7630D" w:rsidRPr="001D7F97">
        <w:rPr>
          <w:sz w:val="24"/>
          <w:szCs w:val="24"/>
        </w:rPr>
        <w:t xml:space="preserve">sim </w:t>
      </w:r>
      <w:r w:rsidRPr="001D7F97">
        <w:rPr>
          <w:sz w:val="24"/>
          <w:szCs w:val="24"/>
        </w:rPr>
        <w:t>levar a sério situações que já demonstram risco.</w:t>
      </w:r>
    </w:p>
    <w:p w14:paraId="26914027" w14:textId="77777777" w:rsidR="00042457" w:rsidRPr="001D7F97" w:rsidRDefault="00042457" w:rsidP="00A7630D">
      <w:pPr>
        <w:spacing w:line="360" w:lineRule="auto"/>
        <w:jc w:val="both"/>
        <w:rPr>
          <w:b/>
          <w:bCs/>
          <w:sz w:val="24"/>
          <w:szCs w:val="24"/>
        </w:rPr>
      </w:pPr>
    </w:p>
    <w:p w14:paraId="11A09137" w14:textId="7932A282" w:rsidR="00A7630D" w:rsidRPr="001D7F97" w:rsidRDefault="00627EFB" w:rsidP="00A7630D">
      <w:pPr>
        <w:spacing w:line="360" w:lineRule="auto"/>
        <w:jc w:val="both"/>
        <w:rPr>
          <w:b/>
          <w:bCs/>
          <w:sz w:val="24"/>
          <w:szCs w:val="24"/>
        </w:rPr>
      </w:pPr>
      <w:r w:rsidRPr="001D7F97">
        <w:rPr>
          <w:b/>
          <w:bCs/>
          <w:sz w:val="24"/>
          <w:szCs w:val="24"/>
        </w:rPr>
        <w:t>4.5 Educação e conscientização: prevenir é salvar vidas</w:t>
      </w:r>
    </w:p>
    <w:p w14:paraId="2189A00B" w14:textId="77777777" w:rsidR="00627EFB" w:rsidRPr="001D7F97" w:rsidRDefault="00627EFB" w:rsidP="00A7630D">
      <w:pPr>
        <w:spacing w:line="360" w:lineRule="auto"/>
        <w:ind w:firstLine="709"/>
        <w:jc w:val="both"/>
        <w:rPr>
          <w:sz w:val="24"/>
          <w:szCs w:val="24"/>
        </w:rPr>
      </w:pPr>
      <w:r w:rsidRPr="001D7F97">
        <w:rPr>
          <w:sz w:val="24"/>
          <w:szCs w:val="24"/>
        </w:rPr>
        <w:lastRenderedPageBreak/>
        <w:t>Quando o direito penal atua em um caso de feminicídio, a violência já chegou ao seu limite. Por esse motivo, discutir prevenção é também pensar no que pode ser feito antes. Algumas ideias sobre o papel do homem e da mulher são aprendidas desde cedo e podem influenciar a maneira como as pessoas constroem seus relacionamentos. É nesse ponto que a educação ganha importância.</w:t>
      </w:r>
    </w:p>
    <w:p w14:paraId="37CD84F0" w14:textId="77777777" w:rsidR="00627EFB" w:rsidRPr="001D7F97" w:rsidRDefault="00627EFB" w:rsidP="00A7630D">
      <w:pPr>
        <w:spacing w:line="360" w:lineRule="auto"/>
        <w:ind w:firstLine="709"/>
        <w:jc w:val="both"/>
        <w:rPr>
          <w:sz w:val="24"/>
          <w:szCs w:val="24"/>
        </w:rPr>
      </w:pPr>
      <w:r w:rsidRPr="001D7F97">
        <w:rPr>
          <w:sz w:val="24"/>
          <w:szCs w:val="24"/>
        </w:rPr>
        <w:t>Freire (1996) defende uma educação que ajude o indivíduo a compreender e questionar a realidade em que vive. Essa ideia pode ser aproximada da discussão sobre violência contra a mulher. A escola não precisa esperar que um problema aconteça para falar sobre respeito, igualdade e direitos humanos. Crianças e adolescentes podem aprender que humilhar, controlar, ameaçar ou agredir alguém não faz parte de uma relação saudável.</w:t>
      </w:r>
    </w:p>
    <w:p w14:paraId="6271B4D7" w14:textId="77777777" w:rsidR="00627EFB" w:rsidRPr="001D7F97" w:rsidRDefault="00627EFB" w:rsidP="00A7630D">
      <w:pPr>
        <w:spacing w:line="360" w:lineRule="auto"/>
        <w:ind w:firstLine="709"/>
        <w:jc w:val="both"/>
        <w:rPr>
          <w:sz w:val="24"/>
          <w:szCs w:val="24"/>
        </w:rPr>
      </w:pPr>
      <w:r w:rsidRPr="001D7F97">
        <w:rPr>
          <w:sz w:val="24"/>
          <w:szCs w:val="24"/>
        </w:rPr>
        <w:t>Vygotsky (2007) também destaca a importância do convívio social na aprendizagem. Muito do que uma pessoa entende sobre comportamento, poder e relações é aprendido na convivência com outras pessoas. A família, a escola e outros espaços sociais participam dessa formação. Se determinados comportamentos são aprendidos, também podem ser questionados quando existem outras experiências e outras formas de convivência.</w:t>
      </w:r>
    </w:p>
    <w:p w14:paraId="3F338B26" w14:textId="7B143075" w:rsidR="00627EFB" w:rsidRPr="001D7F97" w:rsidRDefault="00627EFB" w:rsidP="00A7630D">
      <w:pPr>
        <w:spacing w:line="360" w:lineRule="auto"/>
        <w:ind w:firstLine="709"/>
        <w:jc w:val="both"/>
        <w:rPr>
          <w:sz w:val="24"/>
          <w:szCs w:val="24"/>
        </w:rPr>
      </w:pPr>
      <w:r w:rsidRPr="001D7F97">
        <w:rPr>
          <w:sz w:val="24"/>
          <w:szCs w:val="24"/>
        </w:rPr>
        <w:t xml:space="preserve">Beauvoir (2009), ao afirmar que “ninguém nasce mulher: torna-se mulher”, chama </w:t>
      </w:r>
      <w:r w:rsidR="00A7630D" w:rsidRPr="001D7F97">
        <w:rPr>
          <w:sz w:val="24"/>
          <w:szCs w:val="24"/>
        </w:rPr>
        <w:t xml:space="preserve">a </w:t>
      </w:r>
      <w:r w:rsidRPr="001D7F97">
        <w:rPr>
          <w:sz w:val="24"/>
          <w:szCs w:val="24"/>
        </w:rPr>
        <w:t>atenção para a construção dos papéis atribuídos às mulheres ao longo da vida. Meninos e meninas podem crescer ouvindo expectativas diferentes sobre liberdade, autoridade e comportamento. O problema aparece quando o homem aprende que precisa exercer domínio e a mulher aprende que deve aceitar certas imposições. Essas ideias não surgem naturalmente e, justamente por isso, podem ser questionadas.</w:t>
      </w:r>
    </w:p>
    <w:p w14:paraId="566B1247" w14:textId="77777777" w:rsidR="001C4336" w:rsidRDefault="001C4336" w:rsidP="001C4336">
      <w:pPr>
        <w:pStyle w:val="isselectedend"/>
        <w:spacing w:before="0" w:beforeAutospacing="0" w:after="0" w:afterAutospacing="0" w:line="360" w:lineRule="auto"/>
        <w:ind w:firstLine="709"/>
        <w:jc w:val="both"/>
      </w:pPr>
      <w:r>
        <w:t>A escola pode contribuir para a prevenção ao trabalhar temas como respeito, igualdade, relações saudáveis e formas de violência, ajudando os estudantes a identificar comportamentos abusivos. Porém, esse trabalho deve estar articulado com uma rede de proteção que ofereça atendimento psicológico, assistência social, orientação jurídica, segurança e acolhimento.</w:t>
      </w:r>
    </w:p>
    <w:p w14:paraId="2762B8A1" w14:textId="09A96E2D" w:rsidR="001C4336" w:rsidRDefault="001C4336" w:rsidP="001C4336">
      <w:pPr>
        <w:pStyle w:val="isselectedend"/>
        <w:spacing w:before="0" w:beforeAutospacing="0" w:after="0" w:afterAutospacing="0" w:line="360" w:lineRule="auto"/>
        <w:ind w:firstLine="709"/>
        <w:jc w:val="both"/>
      </w:pPr>
      <w:r>
        <w:t>A educação atua principalmente antes da denúncia, ajudando a desconstruir comportamentos normalizados e mostrando que controle não é cuidado, ciúme não justifica agressão e ninguém deve perder sua liberdade em uma relação.</w:t>
      </w:r>
    </w:p>
    <w:p w14:paraId="56E17320" w14:textId="77777777" w:rsidR="00A7630D" w:rsidRPr="001D7F97" w:rsidRDefault="00A7630D" w:rsidP="00A7630D">
      <w:pPr>
        <w:spacing w:line="360" w:lineRule="auto"/>
        <w:jc w:val="both"/>
        <w:rPr>
          <w:sz w:val="24"/>
          <w:szCs w:val="24"/>
        </w:rPr>
      </w:pPr>
    </w:p>
    <w:p w14:paraId="0531FFEF" w14:textId="10B4E974" w:rsidR="00A7630D" w:rsidRPr="001D7F97" w:rsidRDefault="00627EFB" w:rsidP="00A7630D">
      <w:pPr>
        <w:spacing w:line="360" w:lineRule="auto"/>
        <w:jc w:val="both"/>
        <w:rPr>
          <w:b/>
          <w:bCs/>
          <w:sz w:val="24"/>
          <w:szCs w:val="24"/>
        </w:rPr>
      </w:pPr>
      <w:r w:rsidRPr="001D7F97">
        <w:rPr>
          <w:b/>
          <w:bCs/>
          <w:sz w:val="24"/>
          <w:szCs w:val="24"/>
        </w:rPr>
        <w:t>5. CONSIDERAÇÕES FINAIS</w:t>
      </w:r>
    </w:p>
    <w:p w14:paraId="5025D4B7" w14:textId="65D3F844" w:rsidR="00627EFB" w:rsidRPr="001D7F97" w:rsidRDefault="00627EFB" w:rsidP="00A7630D">
      <w:pPr>
        <w:spacing w:line="360" w:lineRule="auto"/>
        <w:ind w:firstLine="709"/>
        <w:jc w:val="both"/>
        <w:rPr>
          <w:sz w:val="24"/>
          <w:szCs w:val="24"/>
        </w:rPr>
      </w:pPr>
      <w:r w:rsidRPr="001D7F97">
        <w:rPr>
          <w:sz w:val="24"/>
          <w:szCs w:val="24"/>
        </w:rPr>
        <w:lastRenderedPageBreak/>
        <w:t>Este trabalho mostrou que houve mudanças importantes na legislação brasileira de proteção às mulheres. A Lei Maria da Penha</w:t>
      </w:r>
      <w:r w:rsidR="00F513C8">
        <w:rPr>
          <w:sz w:val="24"/>
          <w:szCs w:val="24"/>
        </w:rPr>
        <w:t>, as medidas de prevenção</w:t>
      </w:r>
      <w:r w:rsidRPr="001D7F97">
        <w:rPr>
          <w:sz w:val="24"/>
          <w:szCs w:val="24"/>
        </w:rPr>
        <w:t xml:space="preserve"> e as alterações feitas posteriormente no Código Penal deram maior visibilidade à violência de gênero e criaram formas mais rigorosas de responsabilização. Esses avanços são necessários. Ao mesmo tempo, os casos discutidos ao longo do artigo mostram que uma lei não consegue proteger sozinha uma mulher que está vivendo uma situação de risco.</w:t>
      </w:r>
    </w:p>
    <w:p w14:paraId="565E5854" w14:textId="6ED2A256" w:rsidR="00627EFB" w:rsidRPr="001D7F97" w:rsidRDefault="00627EFB" w:rsidP="00A7630D">
      <w:pPr>
        <w:spacing w:line="360" w:lineRule="auto"/>
        <w:ind w:firstLine="709"/>
        <w:jc w:val="both"/>
        <w:rPr>
          <w:sz w:val="24"/>
          <w:szCs w:val="24"/>
        </w:rPr>
      </w:pPr>
      <w:r w:rsidRPr="001D7F97">
        <w:rPr>
          <w:sz w:val="24"/>
          <w:szCs w:val="24"/>
        </w:rPr>
        <w:t>Também foi possível perceber que o feminicídio pode ser antecedido por diferentes sinais. Ameaças, controle, perseguições, humilhações e agressões podem a</w:t>
      </w:r>
      <w:r w:rsidR="008D56F7">
        <w:rPr>
          <w:sz w:val="24"/>
          <w:szCs w:val="24"/>
        </w:rPr>
        <w:t>nteceder</w:t>
      </w:r>
      <w:r w:rsidRPr="001D7F97">
        <w:rPr>
          <w:sz w:val="24"/>
          <w:szCs w:val="24"/>
        </w:rPr>
        <w:t xml:space="preserve"> a violência fatal. É justamente nessa fase que a proteção precisa funcionar. Quando uma mulher procura ajuda, ela precisa ser ouvida, acolhida e encontrar condições para sair daquela situação com segurança. A educação também faz parte desse enfrentamento</w:t>
      </w:r>
      <w:r w:rsidR="008D56F7">
        <w:rPr>
          <w:sz w:val="24"/>
          <w:szCs w:val="24"/>
        </w:rPr>
        <w:t>,</w:t>
      </w:r>
      <w:r w:rsidRPr="001D7F97">
        <w:rPr>
          <w:sz w:val="24"/>
          <w:szCs w:val="24"/>
        </w:rPr>
        <w:t xml:space="preserve"> po</w:t>
      </w:r>
      <w:r w:rsidR="008D56F7">
        <w:rPr>
          <w:sz w:val="24"/>
          <w:szCs w:val="24"/>
        </w:rPr>
        <w:t>is</w:t>
      </w:r>
      <w:r w:rsidRPr="001D7F97">
        <w:rPr>
          <w:sz w:val="24"/>
          <w:szCs w:val="24"/>
        </w:rPr>
        <w:t xml:space="preserve"> alguns comportamentos abusivos ainda são confundidos com amor, cuidado ou ciúme.</w:t>
      </w:r>
    </w:p>
    <w:p w14:paraId="5D3029EA" w14:textId="31969F79" w:rsidR="0076133B" w:rsidRDefault="00627EFB" w:rsidP="0076133B">
      <w:pPr>
        <w:spacing w:line="360" w:lineRule="auto"/>
        <w:ind w:firstLine="709"/>
        <w:jc w:val="both"/>
        <w:rPr>
          <w:sz w:val="24"/>
          <w:szCs w:val="24"/>
        </w:rPr>
      </w:pPr>
      <w:r w:rsidRPr="001D7F97">
        <w:rPr>
          <w:sz w:val="24"/>
          <w:szCs w:val="24"/>
        </w:rPr>
        <w:t xml:space="preserve">Punir o agressor continua sendo necessário, mas a principal reflexão deixada por este estudo está </w:t>
      </w:r>
      <w:r w:rsidR="008D56F7">
        <w:rPr>
          <w:sz w:val="24"/>
          <w:szCs w:val="24"/>
        </w:rPr>
        <w:t>em</w:t>
      </w:r>
      <w:r w:rsidRPr="001D7F97">
        <w:rPr>
          <w:sz w:val="24"/>
          <w:szCs w:val="24"/>
        </w:rPr>
        <w:t xml:space="preserve"> que pode ser feito antes da morte. Uma medida protetiva cumprida, uma denúncia levada a sério ou um atendimento realizado no momento certo podem mudar o rumo de uma história. As leis brasileiras avançaram, mas o desafio é fazer com que essa proteção alcance a mulher quando ainda </w:t>
      </w:r>
      <w:r w:rsidR="008D56F7">
        <w:rPr>
          <w:sz w:val="24"/>
          <w:szCs w:val="24"/>
        </w:rPr>
        <w:t>é</w:t>
      </w:r>
      <w:r w:rsidRPr="001D7F97">
        <w:rPr>
          <w:sz w:val="24"/>
          <w:szCs w:val="24"/>
        </w:rPr>
        <w:t xml:space="preserve"> </w:t>
      </w:r>
      <w:r w:rsidR="008D56F7">
        <w:rPr>
          <w:sz w:val="24"/>
          <w:szCs w:val="24"/>
        </w:rPr>
        <w:t>possível</w:t>
      </w:r>
      <w:r w:rsidRPr="001D7F97">
        <w:rPr>
          <w:sz w:val="24"/>
          <w:szCs w:val="24"/>
        </w:rPr>
        <w:t xml:space="preserve"> proteg</w:t>
      </w:r>
      <w:r w:rsidR="008D56F7">
        <w:rPr>
          <w:sz w:val="24"/>
          <w:szCs w:val="24"/>
        </w:rPr>
        <w:t>ê-l</w:t>
      </w:r>
      <w:r w:rsidRPr="001D7F97">
        <w:rPr>
          <w:sz w:val="24"/>
          <w:szCs w:val="24"/>
        </w:rPr>
        <w:t>a. É nesse ponto que o título deste trabalho ganha sentido: a lei não pode chegar apenas depois que já é tarde demais.</w:t>
      </w:r>
    </w:p>
    <w:p w14:paraId="67B45185" w14:textId="77777777" w:rsidR="0076133B" w:rsidRDefault="0076133B" w:rsidP="0076133B">
      <w:pPr>
        <w:spacing w:line="360" w:lineRule="auto"/>
        <w:ind w:firstLine="709"/>
        <w:jc w:val="both"/>
        <w:rPr>
          <w:sz w:val="24"/>
          <w:szCs w:val="24"/>
        </w:rPr>
      </w:pPr>
    </w:p>
    <w:p w14:paraId="47014DD6" w14:textId="1BC4CB34" w:rsidR="00C34B88" w:rsidRPr="0076133B" w:rsidRDefault="00950DCA" w:rsidP="0076133B">
      <w:pPr>
        <w:spacing w:line="360" w:lineRule="auto"/>
        <w:ind w:firstLine="709"/>
        <w:jc w:val="center"/>
        <w:rPr>
          <w:sz w:val="24"/>
          <w:szCs w:val="24"/>
        </w:rPr>
      </w:pPr>
      <w:r w:rsidRPr="001D7F97">
        <w:rPr>
          <w:b/>
          <w:bCs/>
          <w:sz w:val="24"/>
          <w:szCs w:val="24"/>
        </w:rPr>
        <w:t>REFERÊNCIAS</w:t>
      </w:r>
    </w:p>
    <w:p w14:paraId="4EA867BD" w14:textId="77777777" w:rsidR="005E2C1E" w:rsidRDefault="005E2C1E" w:rsidP="00A1711A">
      <w:pPr>
        <w:rPr>
          <w:sz w:val="24"/>
          <w:szCs w:val="24"/>
        </w:rPr>
      </w:pPr>
      <w:r w:rsidRPr="001D7F97">
        <w:rPr>
          <w:sz w:val="24"/>
          <w:szCs w:val="24"/>
        </w:rPr>
        <w:t xml:space="preserve">BEAUVOIR, Simone de. </w:t>
      </w:r>
      <w:r w:rsidRPr="001D7F97">
        <w:rPr>
          <w:b/>
          <w:bCs/>
          <w:sz w:val="24"/>
          <w:szCs w:val="24"/>
        </w:rPr>
        <w:t>O segundo sexo</w:t>
      </w:r>
      <w:r w:rsidRPr="001D7F97">
        <w:rPr>
          <w:sz w:val="24"/>
          <w:szCs w:val="24"/>
        </w:rPr>
        <w:t>. 2. ed. Rio de Janeiro: Nova Fronteira, 2009.</w:t>
      </w:r>
    </w:p>
    <w:p w14:paraId="507AE009" w14:textId="77777777" w:rsidR="00A1711A" w:rsidRPr="001D7F97" w:rsidRDefault="00A1711A" w:rsidP="00A1711A">
      <w:pPr>
        <w:rPr>
          <w:sz w:val="24"/>
          <w:szCs w:val="24"/>
        </w:rPr>
      </w:pPr>
    </w:p>
    <w:p w14:paraId="2DA0A3CA" w14:textId="77777777" w:rsidR="005E2C1E" w:rsidRDefault="005E2C1E" w:rsidP="00A1711A">
      <w:pPr>
        <w:rPr>
          <w:color w:val="000000" w:themeColor="text1"/>
          <w:sz w:val="24"/>
          <w:szCs w:val="24"/>
        </w:rPr>
      </w:pPr>
      <w:r w:rsidRPr="001D7F97">
        <w:rPr>
          <w:color w:val="000000" w:themeColor="text1"/>
          <w:sz w:val="24"/>
          <w:szCs w:val="24"/>
        </w:rPr>
        <w:t xml:space="preserve">BOURDIEU, Pierre. </w:t>
      </w:r>
      <w:r w:rsidRPr="001D7F97">
        <w:rPr>
          <w:b/>
          <w:bCs/>
          <w:color w:val="000000" w:themeColor="text1"/>
          <w:sz w:val="24"/>
          <w:szCs w:val="24"/>
        </w:rPr>
        <w:t>A dominação masculina.</w:t>
      </w:r>
      <w:r w:rsidRPr="001D7F97">
        <w:rPr>
          <w:color w:val="000000" w:themeColor="text1"/>
          <w:sz w:val="24"/>
          <w:szCs w:val="24"/>
        </w:rPr>
        <w:t xml:space="preserve"> 11. ed. Rio de Janeiro: Bertrand Brasil, 2012.</w:t>
      </w:r>
    </w:p>
    <w:p w14:paraId="11D67429" w14:textId="77777777" w:rsidR="00A1711A" w:rsidRPr="001D7F97" w:rsidRDefault="00A1711A" w:rsidP="00A1711A">
      <w:pPr>
        <w:rPr>
          <w:color w:val="000000" w:themeColor="text1"/>
          <w:sz w:val="24"/>
          <w:szCs w:val="24"/>
        </w:rPr>
      </w:pPr>
    </w:p>
    <w:p w14:paraId="1C706C8D" w14:textId="77777777" w:rsidR="00A1711A" w:rsidRDefault="005E2C1E" w:rsidP="00A1711A">
      <w:pPr>
        <w:rPr>
          <w:color w:val="000000" w:themeColor="text1"/>
          <w:sz w:val="24"/>
          <w:szCs w:val="24"/>
        </w:rPr>
      </w:pPr>
      <w:r w:rsidRPr="001D7F97">
        <w:rPr>
          <w:color w:val="000000" w:themeColor="text1"/>
          <w:sz w:val="24"/>
          <w:szCs w:val="24"/>
        </w:rPr>
        <w:t xml:space="preserve">BRASIL. Constituição (1988). </w:t>
      </w:r>
      <w:r w:rsidRPr="001C4336">
        <w:rPr>
          <w:b/>
          <w:bCs/>
          <w:color w:val="000000" w:themeColor="text1"/>
          <w:sz w:val="24"/>
          <w:szCs w:val="24"/>
        </w:rPr>
        <w:t>Constituição da República Federativa do Brasil de 1988</w:t>
      </w:r>
      <w:r w:rsidRPr="001D7F97">
        <w:rPr>
          <w:color w:val="000000" w:themeColor="text1"/>
          <w:sz w:val="24"/>
          <w:szCs w:val="24"/>
        </w:rPr>
        <w:t xml:space="preserve">. </w:t>
      </w:r>
    </w:p>
    <w:p w14:paraId="654EE4A9" w14:textId="77777777" w:rsidR="00A1711A" w:rsidRDefault="00A1711A" w:rsidP="00A1711A">
      <w:pPr>
        <w:rPr>
          <w:color w:val="000000" w:themeColor="text1"/>
          <w:sz w:val="24"/>
          <w:szCs w:val="24"/>
        </w:rPr>
      </w:pPr>
    </w:p>
    <w:p w14:paraId="06B845F7" w14:textId="6B32F1BA" w:rsidR="005E2C1E" w:rsidRDefault="005E2C1E" w:rsidP="00A1711A">
      <w:pPr>
        <w:rPr>
          <w:color w:val="000000" w:themeColor="text1"/>
          <w:sz w:val="24"/>
          <w:szCs w:val="24"/>
        </w:rPr>
      </w:pPr>
      <w:r w:rsidRPr="001D7F97">
        <w:rPr>
          <w:color w:val="000000" w:themeColor="text1"/>
          <w:sz w:val="24"/>
          <w:szCs w:val="24"/>
        </w:rPr>
        <w:t xml:space="preserve">Brasília, DF: Senado Federal, 1988. Disponível em: </w:t>
      </w:r>
      <w:hyperlink r:id="rId8" w:tgtFrame="_new" w:history="1">
        <w:r w:rsidRPr="001C4336">
          <w:rPr>
            <w:color w:val="000000" w:themeColor="text1"/>
            <w:sz w:val="24"/>
            <w:szCs w:val="24"/>
          </w:rPr>
          <w:t>Planalto</w:t>
        </w:r>
      </w:hyperlink>
      <w:r w:rsidRPr="001D7F97">
        <w:rPr>
          <w:color w:val="000000" w:themeColor="text1"/>
          <w:sz w:val="24"/>
          <w:szCs w:val="24"/>
        </w:rPr>
        <w:t>. Acesso em: 9 maio 2026.</w:t>
      </w:r>
    </w:p>
    <w:p w14:paraId="0BBE403E" w14:textId="77777777" w:rsidR="00A1711A" w:rsidRPr="001D7F97" w:rsidRDefault="00A1711A" w:rsidP="00A1711A">
      <w:pPr>
        <w:rPr>
          <w:color w:val="000000" w:themeColor="text1"/>
          <w:sz w:val="24"/>
          <w:szCs w:val="24"/>
        </w:rPr>
      </w:pPr>
    </w:p>
    <w:p w14:paraId="6660D671" w14:textId="77777777" w:rsidR="005E2C1E" w:rsidRDefault="005E2C1E" w:rsidP="00A1711A">
      <w:pPr>
        <w:rPr>
          <w:color w:val="000000" w:themeColor="text1"/>
          <w:sz w:val="24"/>
          <w:szCs w:val="24"/>
        </w:rPr>
      </w:pPr>
      <w:r w:rsidRPr="001D7F97">
        <w:rPr>
          <w:color w:val="000000" w:themeColor="text1"/>
          <w:sz w:val="24"/>
          <w:szCs w:val="24"/>
        </w:rPr>
        <w:t xml:space="preserve">BRASIL. </w:t>
      </w:r>
      <w:r w:rsidRPr="001C4336">
        <w:rPr>
          <w:b/>
          <w:bCs/>
          <w:color w:val="000000" w:themeColor="text1"/>
          <w:sz w:val="24"/>
          <w:szCs w:val="24"/>
        </w:rPr>
        <w:t>Lei nº 11.340, de 7 de agosto de 2006.</w:t>
      </w:r>
      <w:r w:rsidRPr="001D7F97">
        <w:rPr>
          <w:color w:val="000000" w:themeColor="text1"/>
          <w:sz w:val="24"/>
          <w:szCs w:val="24"/>
        </w:rPr>
        <w:t xml:space="preserve"> Cria mecanismos para coibir a violência doméstica e familiar contra a mulher, nos termos do § 8º do art. 226 da Constituição Federal. </w:t>
      </w:r>
      <w:r w:rsidRPr="001C4336">
        <w:rPr>
          <w:color w:val="000000" w:themeColor="text1"/>
          <w:sz w:val="24"/>
          <w:szCs w:val="24"/>
        </w:rPr>
        <w:t>Diário Oficial da União:</w:t>
      </w:r>
      <w:r w:rsidRPr="001D7F97">
        <w:rPr>
          <w:color w:val="000000" w:themeColor="text1"/>
          <w:sz w:val="24"/>
          <w:szCs w:val="24"/>
        </w:rPr>
        <w:t xml:space="preserve"> seção 1, Brasília, DF, 8 ago. 2006. Disponível em: </w:t>
      </w:r>
      <w:hyperlink r:id="rId9" w:tgtFrame="_new" w:history="1">
        <w:r w:rsidRPr="001C4336">
          <w:rPr>
            <w:color w:val="000000" w:themeColor="text1"/>
            <w:sz w:val="24"/>
            <w:szCs w:val="24"/>
          </w:rPr>
          <w:t>Lei Maria da Penha – Planalto</w:t>
        </w:r>
      </w:hyperlink>
      <w:r w:rsidRPr="001D7F97">
        <w:rPr>
          <w:color w:val="000000" w:themeColor="text1"/>
          <w:sz w:val="24"/>
          <w:szCs w:val="24"/>
        </w:rPr>
        <w:t xml:space="preserve">. Acesso em: 9 maio 2026. </w:t>
      </w:r>
    </w:p>
    <w:p w14:paraId="24CE471F" w14:textId="77777777" w:rsidR="00A1711A" w:rsidRPr="001D7F97" w:rsidRDefault="00A1711A" w:rsidP="00A1711A">
      <w:pPr>
        <w:rPr>
          <w:color w:val="000000" w:themeColor="text1"/>
          <w:sz w:val="24"/>
          <w:szCs w:val="24"/>
        </w:rPr>
      </w:pPr>
    </w:p>
    <w:p w14:paraId="2C0F925B" w14:textId="77777777" w:rsidR="005E2C1E" w:rsidRPr="001D7F97" w:rsidRDefault="005E2C1E" w:rsidP="00A1711A">
      <w:pPr>
        <w:rPr>
          <w:color w:val="000000" w:themeColor="text1"/>
          <w:sz w:val="24"/>
          <w:szCs w:val="24"/>
        </w:rPr>
      </w:pPr>
      <w:r w:rsidRPr="001D7F97">
        <w:rPr>
          <w:color w:val="000000" w:themeColor="text1"/>
          <w:sz w:val="24"/>
          <w:szCs w:val="24"/>
        </w:rPr>
        <w:t xml:space="preserve">BRASIL. </w:t>
      </w:r>
      <w:r w:rsidRPr="001C4336">
        <w:rPr>
          <w:b/>
          <w:bCs/>
          <w:color w:val="000000" w:themeColor="text1"/>
          <w:sz w:val="24"/>
          <w:szCs w:val="24"/>
        </w:rPr>
        <w:t>Lei nº 13.104, de 9 de março de 2015</w:t>
      </w:r>
      <w:r w:rsidRPr="001D7F97">
        <w:rPr>
          <w:color w:val="000000" w:themeColor="text1"/>
          <w:sz w:val="24"/>
          <w:szCs w:val="24"/>
        </w:rPr>
        <w:t xml:space="preserve">. Altera o art. 121 do Decreto-Lei nº 2.848, de 7 de dezembro de 1940 – Código Penal, para prever o feminicídio como circunstância qualificadora do crime de homicídio. </w:t>
      </w:r>
      <w:r w:rsidRPr="001D7F97">
        <w:rPr>
          <w:i/>
          <w:iCs/>
          <w:color w:val="000000" w:themeColor="text1"/>
          <w:sz w:val="24"/>
          <w:szCs w:val="24"/>
        </w:rPr>
        <w:t>Diário Oficial da União</w:t>
      </w:r>
      <w:r w:rsidRPr="001D7F97">
        <w:rPr>
          <w:color w:val="000000" w:themeColor="text1"/>
          <w:sz w:val="24"/>
          <w:szCs w:val="24"/>
        </w:rPr>
        <w:t xml:space="preserve">: seção 1, Brasília, DF, 10 mar. 2015. Disponível em: </w:t>
      </w:r>
      <w:hyperlink r:id="rId10" w:tgtFrame="_new" w:history="1">
        <w:r w:rsidRPr="001C4336">
          <w:rPr>
            <w:color w:val="000000" w:themeColor="text1"/>
            <w:sz w:val="24"/>
            <w:szCs w:val="24"/>
          </w:rPr>
          <w:t>Lei do Feminicídio – Planalto</w:t>
        </w:r>
      </w:hyperlink>
      <w:r w:rsidRPr="001D7F97">
        <w:rPr>
          <w:color w:val="000000" w:themeColor="text1"/>
          <w:sz w:val="24"/>
          <w:szCs w:val="24"/>
        </w:rPr>
        <w:t xml:space="preserve">. Acesso em: 9 maio 2026. </w:t>
      </w:r>
    </w:p>
    <w:p w14:paraId="6C6E76B6" w14:textId="77777777" w:rsidR="005E2C1E" w:rsidRDefault="005E2C1E" w:rsidP="00A1711A">
      <w:pPr>
        <w:rPr>
          <w:color w:val="000000" w:themeColor="text1"/>
          <w:sz w:val="24"/>
          <w:szCs w:val="24"/>
        </w:rPr>
      </w:pPr>
      <w:r w:rsidRPr="001D7F97">
        <w:rPr>
          <w:color w:val="000000" w:themeColor="text1"/>
          <w:sz w:val="24"/>
          <w:szCs w:val="24"/>
        </w:rPr>
        <w:lastRenderedPageBreak/>
        <w:t xml:space="preserve">BRASIL. </w:t>
      </w:r>
      <w:r w:rsidRPr="001C4336">
        <w:rPr>
          <w:b/>
          <w:bCs/>
          <w:color w:val="000000" w:themeColor="text1"/>
          <w:sz w:val="24"/>
          <w:szCs w:val="24"/>
        </w:rPr>
        <w:t>Lei nº 14.994, de 9 de outubro de 2024</w:t>
      </w:r>
      <w:r w:rsidRPr="001D7F97">
        <w:rPr>
          <w:color w:val="000000" w:themeColor="text1"/>
          <w:sz w:val="24"/>
          <w:szCs w:val="24"/>
        </w:rPr>
        <w:t xml:space="preserve">. Altera o Código Penal e institui o feminicídio como crime autônomo. </w:t>
      </w:r>
      <w:r w:rsidRPr="001C4336">
        <w:rPr>
          <w:color w:val="000000" w:themeColor="text1"/>
          <w:sz w:val="24"/>
          <w:szCs w:val="24"/>
        </w:rPr>
        <w:t>Diário Oficial da União</w:t>
      </w:r>
      <w:r w:rsidRPr="001D7F97">
        <w:rPr>
          <w:color w:val="000000" w:themeColor="text1"/>
          <w:sz w:val="24"/>
          <w:szCs w:val="24"/>
        </w:rPr>
        <w:t xml:space="preserve">: seção 1, Brasília, DF, 10 out. 2024. Disponível em: </w:t>
      </w:r>
      <w:hyperlink r:id="rId11" w:tgtFrame="_new" w:history="1">
        <w:r w:rsidRPr="001C4336">
          <w:rPr>
            <w:color w:val="000000" w:themeColor="text1"/>
            <w:sz w:val="24"/>
            <w:szCs w:val="24"/>
          </w:rPr>
          <w:t>Planalto</w:t>
        </w:r>
      </w:hyperlink>
      <w:r w:rsidRPr="001D7F97">
        <w:rPr>
          <w:color w:val="000000" w:themeColor="text1"/>
          <w:sz w:val="24"/>
          <w:szCs w:val="24"/>
        </w:rPr>
        <w:t>. Acesso em: 9 maio 2026.</w:t>
      </w:r>
    </w:p>
    <w:p w14:paraId="2E458B8E" w14:textId="77777777" w:rsidR="00A1711A" w:rsidRPr="001D7F97" w:rsidRDefault="00A1711A" w:rsidP="00A1711A">
      <w:pPr>
        <w:rPr>
          <w:color w:val="000000" w:themeColor="text1"/>
          <w:sz w:val="24"/>
          <w:szCs w:val="24"/>
        </w:rPr>
      </w:pPr>
    </w:p>
    <w:p w14:paraId="64CD1329" w14:textId="77777777" w:rsidR="005E2C1E" w:rsidRDefault="005E2C1E" w:rsidP="00A1711A">
      <w:pPr>
        <w:rPr>
          <w:color w:val="000000" w:themeColor="text1"/>
          <w:sz w:val="24"/>
          <w:szCs w:val="24"/>
        </w:rPr>
      </w:pPr>
      <w:r w:rsidRPr="001D7F97">
        <w:rPr>
          <w:color w:val="000000" w:themeColor="text1"/>
          <w:sz w:val="24"/>
          <w:szCs w:val="24"/>
        </w:rPr>
        <w:t xml:space="preserve">CAMPOS, Carmen Hein de. Feminicídio no Brasil: uma análise crítico-feminista. </w:t>
      </w:r>
      <w:r w:rsidRPr="001D7F97">
        <w:rPr>
          <w:b/>
          <w:bCs/>
          <w:color w:val="000000" w:themeColor="text1"/>
          <w:sz w:val="24"/>
          <w:szCs w:val="24"/>
        </w:rPr>
        <w:t>Revista Direito GV</w:t>
      </w:r>
      <w:r w:rsidRPr="001D7F97">
        <w:rPr>
          <w:color w:val="000000" w:themeColor="text1"/>
          <w:sz w:val="24"/>
          <w:szCs w:val="24"/>
        </w:rPr>
        <w:t>, São Paulo, v. 11, n. 1, p. 103-115, jan./jun. 2015.</w:t>
      </w:r>
    </w:p>
    <w:p w14:paraId="67F5CF07" w14:textId="77777777" w:rsidR="00A1711A" w:rsidRPr="001D7F97" w:rsidRDefault="00A1711A" w:rsidP="00A1711A">
      <w:pPr>
        <w:rPr>
          <w:color w:val="000000" w:themeColor="text1"/>
          <w:sz w:val="24"/>
          <w:szCs w:val="24"/>
        </w:rPr>
      </w:pPr>
    </w:p>
    <w:p w14:paraId="2A64ED3A" w14:textId="677BCDAF" w:rsidR="005E2C1E" w:rsidRDefault="005E2C1E" w:rsidP="00A1711A">
      <w:pPr>
        <w:rPr>
          <w:color w:val="000000" w:themeColor="text1"/>
          <w:sz w:val="24"/>
          <w:szCs w:val="24"/>
        </w:rPr>
      </w:pPr>
      <w:r w:rsidRPr="001D7F97">
        <w:rPr>
          <w:color w:val="000000" w:themeColor="text1"/>
          <w:sz w:val="24"/>
          <w:szCs w:val="24"/>
        </w:rPr>
        <w:t>CARNEIRO, Alessandra A</w:t>
      </w:r>
      <w:r w:rsidR="00FB1CC1" w:rsidRPr="001D7F97">
        <w:rPr>
          <w:color w:val="000000" w:themeColor="text1"/>
          <w:sz w:val="24"/>
          <w:szCs w:val="24"/>
        </w:rPr>
        <w:t>. C</w:t>
      </w:r>
      <w:r w:rsidRPr="001D7F97">
        <w:rPr>
          <w:color w:val="000000" w:themeColor="text1"/>
          <w:sz w:val="24"/>
          <w:szCs w:val="24"/>
        </w:rPr>
        <w:t xml:space="preserve">osta </w:t>
      </w:r>
      <w:r w:rsidRPr="001D7F97">
        <w:rPr>
          <w:i/>
          <w:iCs/>
          <w:color w:val="000000" w:themeColor="text1"/>
          <w:sz w:val="24"/>
          <w:szCs w:val="24"/>
        </w:rPr>
        <w:t>et al.</w:t>
      </w:r>
      <w:r w:rsidRPr="001D7F97">
        <w:rPr>
          <w:color w:val="000000" w:themeColor="text1"/>
          <w:sz w:val="24"/>
          <w:szCs w:val="24"/>
        </w:rPr>
        <w:t xml:space="preserve"> A Lei Maria da Penha e a proteção legal à mulher vítima em situação de violência doméstica e familiar. </w:t>
      </w:r>
      <w:r w:rsidRPr="001D7F97">
        <w:rPr>
          <w:b/>
          <w:bCs/>
          <w:color w:val="000000" w:themeColor="text1"/>
          <w:sz w:val="24"/>
          <w:szCs w:val="24"/>
        </w:rPr>
        <w:t>Serviço Social &amp; Sociedade</w:t>
      </w:r>
      <w:r w:rsidRPr="001D7F97">
        <w:rPr>
          <w:color w:val="000000" w:themeColor="text1"/>
          <w:sz w:val="24"/>
          <w:szCs w:val="24"/>
        </w:rPr>
        <w:t xml:space="preserve">, São Paulo, n. 110, p. 369-397, abr./jun. 2012. Disponível em: </w:t>
      </w:r>
      <w:hyperlink r:id="rId12" w:tgtFrame="_new" w:history="1">
        <w:r w:rsidRPr="001C4336">
          <w:rPr>
            <w:color w:val="000000" w:themeColor="text1"/>
            <w:sz w:val="24"/>
            <w:szCs w:val="24"/>
          </w:rPr>
          <w:t>SciELO</w:t>
        </w:r>
      </w:hyperlink>
      <w:r w:rsidRPr="001D7F97">
        <w:rPr>
          <w:color w:val="000000" w:themeColor="text1"/>
          <w:sz w:val="24"/>
          <w:szCs w:val="24"/>
        </w:rPr>
        <w:t xml:space="preserve">. Acesso em: 9 maio 2026. </w:t>
      </w:r>
    </w:p>
    <w:p w14:paraId="0C9CB991" w14:textId="77777777" w:rsidR="00A1711A" w:rsidRPr="001D7F97" w:rsidRDefault="00A1711A" w:rsidP="00A1711A">
      <w:pPr>
        <w:rPr>
          <w:color w:val="000000" w:themeColor="text1"/>
          <w:sz w:val="24"/>
          <w:szCs w:val="24"/>
        </w:rPr>
      </w:pPr>
    </w:p>
    <w:p w14:paraId="138EAA63" w14:textId="5940054A" w:rsidR="00DE6B98" w:rsidRDefault="00DE6B98" w:rsidP="00A1711A">
      <w:pPr>
        <w:rPr>
          <w:color w:val="000000" w:themeColor="text1"/>
          <w:sz w:val="24"/>
          <w:szCs w:val="24"/>
        </w:rPr>
      </w:pPr>
      <w:r w:rsidRPr="001D7F97">
        <w:rPr>
          <w:color w:val="000000" w:themeColor="text1"/>
          <w:sz w:val="24"/>
          <w:szCs w:val="24"/>
        </w:rPr>
        <w:t xml:space="preserve">CAVALCANTE, Márcio André Lopes. Lei 15.398/2026: Programa Antes </w:t>
      </w:r>
      <w:proofErr w:type="gramStart"/>
      <w:r w:rsidRPr="001D7F97">
        <w:rPr>
          <w:color w:val="000000" w:themeColor="text1"/>
          <w:sz w:val="24"/>
          <w:szCs w:val="24"/>
        </w:rPr>
        <w:t>que Aconteça</w:t>
      </w:r>
      <w:proofErr w:type="gramEnd"/>
      <w:r w:rsidRPr="001D7F97">
        <w:rPr>
          <w:color w:val="000000" w:themeColor="text1"/>
          <w:sz w:val="24"/>
          <w:szCs w:val="24"/>
        </w:rPr>
        <w:t xml:space="preserve">. </w:t>
      </w:r>
      <w:r w:rsidRPr="001D7F97">
        <w:rPr>
          <w:b/>
          <w:bCs/>
          <w:color w:val="000000" w:themeColor="text1"/>
          <w:sz w:val="24"/>
          <w:szCs w:val="24"/>
        </w:rPr>
        <w:t>Buscador Dizer o Direito</w:t>
      </w:r>
      <w:r w:rsidRPr="001D7F97">
        <w:rPr>
          <w:color w:val="000000" w:themeColor="text1"/>
          <w:sz w:val="24"/>
          <w:szCs w:val="24"/>
        </w:rPr>
        <w:t>, Manaus. Disponível em: https://buscadordizerodireito.com.br/novidades_legislativas/687/lei-153982026-programa-antes-que-aconteca. Acesso em: 02/09/2026</w:t>
      </w:r>
      <w:r w:rsidR="00A1711A">
        <w:rPr>
          <w:color w:val="000000" w:themeColor="text1"/>
          <w:sz w:val="24"/>
          <w:szCs w:val="24"/>
        </w:rPr>
        <w:t>.</w:t>
      </w:r>
    </w:p>
    <w:p w14:paraId="3659D787" w14:textId="77777777" w:rsidR="00A1711A" w:rsidRDefault="00A1711A" w:rsidP="00A1711A">
      <w:pPr>
        <w:rPr>
          <w:color w:val="000000" w:themeColor="text1"/>
          <w:sz w:val="24"/>
          <w:szCs w:val="24"/>
        </w:rPr>
      </w:pPr>
    </w:p>
    <w:p w14:paraId="0E0069A0" w14:textId="5382BAAB" w:rsidR="000937E7" w:rsidRDefault="000937E7" w:rsidP="00A1711A">
      <w:pPr>
        <w:rPr>
          <w:color w:val="000000" w:themeColor="text1"/>
          <w:sz w:val="24"/>
          <w:szCs w:val="24"/>
        </w:rPr>
      </w:pPr>
      <w:r w:rsidRPr="000937E7">
        <w:rPr>
          <w:color w:val="000000" w:themeColor="text1"/>
          <w:sz w:val="24"/>
          <w:szCs w:val="24"/>
        </w:rPr>
        <w:t xml:space="preserve">CAVALCANTE, Márcio André Lopes. Lei 15.411/2026: altera a Lei Maria da Penha. </w:t>
      </w:r>
      <w:r w:rsidRPr="000937E7">
        <w:rPr>
          <w:b/>
          <w:bCs/>
          <w:color w:val="000000" w:themeColor="text1"/>
          <w:sz w:val="24"/>
          <w:szCs w:val="24"/>
        </w:rPr>
        <w:t>Buscador Dizer o Direito</w:t>
      </w:r>
      <w:r w:rsidRPr="000937E7">
        <w:rPr>
          <w:color w:val="000000" w:themeColor="text1"/>
          <w:sz w:val="24"/>
          <w:szCs w:val="24"/>
        </w:rPr>
        <w:t>, Manaus. Disponível em: https://buscadordizerodireito.com.br/novidades_legislativas/692/lei-154112026-altera-a-lei-maria-da-penha. Acesso em: 03/09/2026</w:t>
      </w:r>
      <w:r w:rsidR="00A1711A">
        <w:rPr>
          <w:color w:val="000000" w:themeColor="text1"/>
          <w:sz w:val="24"/>
          <w:szCs w:val="24"/>
        </w:rPr>
        <w:t>.</w:t>
      </w:r>
    </w:p>
    <w:p w14:paraId="2A2554C9" w14:textId="77777777" w:rsidR="00A1711A" w:rsidRPr="001D7F97" w:rsidRDefault="00A1711A" w:rsidP="00A1711A">
      <w:pPr>
        <w:rPr>
          <w:color w:val="000000" w:themeColor="text1"/>
          <w:sz w:val="24"/>
          <w:szCs w:val="24"/>
        </w:rPr>
      </w:pPr>
    </w:p>
    <w:p w14:paraId="6220F9AA" w14:textId="05ED827E" w:rsidR="00343416" w:rsidRDefault="00343416" w:rsidP="00A1711A">
      <w:pPr>
        <w:rPr>
          <w:color w:val="000000" w:themeColor="text1"/>
          <w:sz w:val="24"/>
          <w:szCs w:val="24"/>
        </w:rPr>
      </w:pPr>
      <w:r w:rsidRPr="001D7F97">
        <w:rPr>
          <w:color w:val="000000" w:themeColor="text1"/>
          <w:sz w:val="24"/>
          <w:szCs w:val="24"/>
        </w:rPr>
        <w:t xml:space="preserve">FERREIRA, B. F. et al. A Lei do Feminicídio e a Realidade Social: A Proteção da Dignidade da Mulher a Partir de uma Análise à Luz da Lei 13.104/2015 e da Jurisprudência dos Tribunais Superiores. </w:t>
      </w:r>
      <w:r w:rsidRPr="001D7F97">
        <w:rPr>
          <w:b/>
          <w:bCs/>
          <w:color w:val="000000" w:themeColor="text1"/>
          <w:sz w:val="24"/>
          <w:szCs w:val="24"/>
        </w:rPr>
        <w:t>Revista Tópicos</w:t>
      </w:r>
      <w:r w:rsidRPr="001D7F97">
        <w:rPr>
          <w:color w:val="000000" w:themeColor="text1"/>
          <w:sz w:val="24"/>
          <w:szCs w:val="24"/>
        </w:rPr>
        <w:t>, Rio de Janeiro, v. 4, n. 35, p. 1-21, 2026. ISSN: 2965-6672.</w:t>
      </w:r>
    </w:p>
    <w:p w14:paraId="1601BEC2" w14:textId="77777777" w:rsidR="00A1711A" w:rsidRPr="001D7F97" w:rsidRDefault="00A1711A" w:rsidP="00A1711A">
      <w:pPr>
        <w:rPr>
          <w:color w:val="000000" w:themeColor="text1"/>
          <w:sz w:val="24"/>
          <w:szCs w:val="24"/>
        </w:rPr>
      </w:pPr>
    </w:p>
    <w:p w14:paraId="7CEDA208" w14:textId="6FC6DEC5" w:rsidR="005E2C1E" w:rsidRDefault="005E2C1E" w:rsidP="00A1711A">
      <w:pPr>
        <w:rPr>
          <w:color w:val="000000" w:themeColor="text1"/>
          <w:sz w:val="24"/>
          <w:szCs w:val="24"/>
        </w:rPr>
      </w:pPr>
      <w:r w:rsidRPr="001D7F97">
        <w:rPr>
          <w:color w:val="000000" w:themeColor="text1"/>
          <w:sz w:val="24"/>
          <w:szCs w:val="24"/>
        </w:rPr>
        <w:t xml:space="preserve">FÓRUM BRASILEIRO DE SEGURANÇA PÚBLICA. </w:t>
      </w:r>
      <w:r w:rsidRPr="001D7F97">
        <w:rPr>
          <w:b/>
          <w:bCs/>
          <w:color w:val="000000" w:themeColor="text1"/>
          <w:sz w:val="24"/>
          <w:szCs w:val="24"/>
        </w:rPr>
        <w:t>Anuário Brasileiro de Segurança Pública 2024.</w:t>
      </w:r>
      <w:r w:rsidRPr="001D7F97">
        <w:rPr>
          <w:color w:val="000000" w:themeColor="text1"/>
          <w:sz w:val="24"/>
          <w:szCs w:val="24"/>
        </w:rPr>
        <w:t xml:space="preserve"> São Paulo: FBSP, 2024. Disponível em: </w:t>
      </w:r>
      <w:r w:rsidR="004A0A0F" w:rsidRPr="001D7F97">
        <w:rPr>
          <w:sz w:val="24"/>
          <w:szCs w:val="24"/>
        </w:rPr>
        <w:t>https://dossies.agenciapatriciagalvao.org.br/dados-e-fontes/pesquisa/18o-anuario-brasileiro-de-seguranca-publica-fbsp-2024/</w:t>
      </w:r>
      <w:r w:rsidRPr="001D7F97">
        <w:rPr>
          <w:color w:val="000000" w:themeColor="text1"/>
          <w:sz w:val="24"/>
          <w:szCs w:val="24"/>
        </w:rPr>
        <w:t>. Acesso em: 9 maio 2026.</w:t>
      </w:r>
    </w:p>
    <w:p w14:paraId="7E432CB1" w14:textId="77777777" w:rsidR="00A1711A" w:rsidRPr="001D7F97" w:rsidRDefault="00A1711A" w:rsidP="00A1711A">
      <w:pPr>
        <w:rPr>
          <w:color w:val="000000" w:themeColor="text1"/>
          <w:sz w:val="24"/>
          <w:szCs w:val="24"/>
        </w:rPr>
      </w:pPr>
    </w:p>
    <w:p w14:paraId="59524B28" w14:textId="6163AE43" w:rsidR="00C34B88" w:rsidRDefault="005E2C1E" w:rsidP="00A1711A">
      <w:pPr>
        <w:rPr>
          <w:color w:val="000000" w:themeColor="text1"/>
          <w:sz w:val="24"/>
          <w:szCs w:val="24"/>
        </w:rPr>
      </w:pPr>
      <w:r w:rsidRPr="001D7F97">
        <w:rPr>
          <w:color w:val="000000" w:themeColor="text1"/>
          <w:sz w:val="24"/>
          <w:szCs w:val="24"/>
        </w:rPr>
        <w:t xml:space="preserve">FREIRE, Paulo. </w:t>
      </w:r>
      <w:r w:rsidRPr="001D7F97">
        <w:rPr>
          <w:b/>
          <w:bCs/>
          <w:color w:val="000000" w:themeColor="text1"/>
          <w:sz w:val="24"/>
          <w:szCs w:val="24"/>
        </w:rPr>
        <w:t>Pedagogia da autonomia: saberes necessários à prática educativa.</w:t>
      </w:r>
      <w:r w:rsidRPr="001D7F97">
        <w:rPr>
          <w:color w:val="000000" w:themeColor="text1"/>
          <w:sz w:val="24"/>
          <w:szCs w:val="24"/>
        </w:rPr>
        <w:t xml:space="preserve"> 25. ed. São Paulo: Paz e Terra, 1996.</w:t>
      </w:r>
    </w:p>
    <w:p w14:paraId="61634598" w14:textId="77777777" w:rsidR="00A1711A" w:rsidRPr="001D7F97" w:rsidRDefault="00A1711A" w:rsidP="00A1711A">
      <w:pPr>
        <w:rPr>
          <w:color w:val="000000" w:themeColor="text1"/>
          <w:sz w:val="24"/>
          <w:szCs w:val="24"/>
        </w:rPr>
      </w:pPr>
    </w:p>
    <w:p w14:paraId="48212531" w14:textId="511551FA" w:rsidR="00EC2757" w:rsidRPr="001D7F97" w:rsidRDefault="001C4336" w:rsidP="00A1711A">
      <w:pPr>
        <w:rPr>
          <w:color w:val="000000" w:themeColor="text1"/>
          <w:sz w:val="24"/>
          <w:szCs w:val="24"/>
        </w:rPr>
      </w:pPr>
      <w:r w:rsidRPr="001D7F97">
        <w:rPr>
          <w:color w:val="000000" w:themeColor="text1"/>
          <w:sz w:val="24"/>
          <w:szCs w:val="24"/>
        </w:rPr>
        <w:t>MOROSKOSKI</w:t>
      </w:r>
      <w:r w:rsidR="00EC2757" w:rsidRPr="001D7F97">
        <w:rPr>
          <w:color w:val="000000" w:themeColor="text1"/>
          <w:sz w:val="24"/>
          <w:szCs w:val="24"/>
        </w:rPr>
        <w:t xml:space="preserve">, Márcia </w:t>
      </w:r>
      <w:r w:rsidR="00EC2757" w:rsidRPr="001C4336">
        <w:rPr>
          <w:i/>
          <w:iCs/>
          <w:color w:val="000000" w:themeColor="text1"/>
          <w:sz w:val="24"/>
          <w:szCs w:val="24"/>
        </w:rPr>
        <w:t>et al</w:t>
      </w:r>
      <w:r w:rsidR="00EC2757" w:rsidRPr="001D7F97">
        <w:rPr>
          <w:color w:val="000000" w:themeColor="text1"/>
          <w:sz w:val="24"/>
          <w:szCs w:val="24"/>
        </w:rPr>
        <w:t>. Feminicídio: análise espacial e fatores associados aos crimes de gênero no Paraná, Brasil</w:t>
      </w:r>
      <w:r w:rsidR="00EC2757" w:rsidRPr="001D7F97">
        <w:rPr>
          <w:b/>
          <w:bCs/>
          <w:color w:val="000000" w:themeColor="text1"/>
          <w:sz w:val="24"/>
          <w:szCs w:val="24"/>
        </w:rPr>
        <w:t>. Ciência &amp; Saúde Coletiva [online].</w:t>
      </w:r>
      <w:r w:rsidR="00EC2757" w:rsidRPr="001D7F97">
        <w:rPr>
          <w:color w:val="000000" w:themeColor="text1"/>
          <w:sz w:val="24"/>
          <w:szCs w:val="24"/>
        </w:rPr>
        <w:t xml:space="preserve"> v. 30, n. 10 [Acessado 2 </w:t>
      </w:r>
      <w:proofErr w:type="gramStart"/>
      <w:r w:rsidR="00EC2757" w:rsidRPr="001D7F97">
        <w:rPr>
          <w:color w:val="000000" w:themeColor="text1"/>
          <w:sz w:val="24"/>
          <w:szCs w:val="24"/>
        </w:rPr>
        <w:t>Setembro</w:t>
      </w:r>
      <w:proofErr w:type="gramEnd"/>
      <w:r w:rsidR="00EC2757" w:rsidRPr="001D7F97">
        <w:rPr>
          <w:color w:val="000000" w:themeColor="text1"/>
          <w:sz w:val="24"/>
          <w:szCs w:val="24"/>
        </w:rPr>
        <w:t xml:space="preserve"> 2026</w:t>
      </w:r>
      <w:proofErr w:type="gramStart"/>
      <w:r w:rsidR="00EC2757" w:rsidRPr="001D7F97">
        <w:rPr>
          <w:color w:val="000000" w:themeColor="text1"/>
          <w:sz w:val="24"/>
          <w:szCs w:val="24"/>
        </w:rPr>
        <w:t>] ,</w:t>
      </w:r>
      <w:proofErr w:type="gramEnd"/>
      <w:r w:rsidR="00EC2757" w:rsidRPr="001D7F97">
        <w:rPr>
          <w:color w:val="000000" w:themeColor="text1"/>
          <w:sz w:val="24"/>
          <w:szCs w:val="24"/>
        </w:rPr>
        <w:t xml:space="preserve"> e10862025. Disponível em: &lt;https://doi.org/10.1590/1413-812320253010.10862025 https://doi.org/10.1590/1413-812320253010.10862025EN&gt;. ISSN 1678-4561. https://doi.org/10.1590/1413-812320253010.10862025.</w:t>
      </w:r>
    </w:p>
    <w:sectPr w:rsidR="00EC2757" w:rsidRPr="001D7F97" w:rsidSect="0076133B">
      <w:headerReference w:type="default" r:id="rId13"/>
      <w:footerReference w:type="default" r:id="rId14"/>
      <w:pgSz w:w="11906" w:h="16840"/>
      <w:pgMar w:top="2268" w:right="1134" w:bottom="993" w:left="1701"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796069" w14:textId="77777777" w:rsidR="00F00CDC" w:rsidRDefault="00F00CDC">
      <w:r>
        <w:separator/>
      </w:r>
    </w:p>
  </w:endnote>
  <w:endnote w:type="continuationSeparator" w:id="0">
    <w:p w14:paraId="575D9087" w14:textId="77777777" w:rsidR="00F00CDC" w:rsidRDefault="00F0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B564D2E-181B-9A4B-B0A1-B145D55D48ED}"/>
    <w:embedBold r:id="rId2" w:fontKey="{9BDF7085-E762-EE49-A408-AFC72B005473}"/>
    <w:embedItalic r:id="rId3" w:fontKey="{93592DF5-C7AE-7F47-8085-7B6895E23A49}"/>
  </w:font>
  <w:font w:name="Symbol">
    <w:panose1 w:val="05050102010706020507"/>
    <w:charset w:val="02"/>
    <w:family w:val="decorative"/>
    <w:pitch w:val="variable"/>
    <w:sig w:usb0="00000000" w:usb1="10000000" w:usb2="00000000" w:usb3="00000000" w:csb0="80000000" w:csb1="00000000"/>
    <w:embedRegular r:id="rId4" w:fontKey="{1E16F2D1-5B60-4848-84BB-A5B9A3BFCD7A}"/>
  </w:font>
  <w:font w:name="Courier New">
    <w:panose1 w:val="02070309020205020404"/>
    <w:charset w:val="00"/>
    <w:family w:val="modern"/>
    <w:pitch w:val="fixed"/>
    <w:sig w:usb0="E0002EFF" w:usb1="C0007843" w:usb2="00000009" w:usb3="00000000" w:csb0="000001FF" w:csb1="00000000"/>
    <w:embedRegular r:id="rId5" w:fontKey="{F4E7DD64-556A-EF4E-905E-FFEADEC665C4}"/>
  </w:font>
  <w:font w:name="Wingdings">
    <w:panose1 w:val="05000000000000000000"/>
    <w:charset w:val="02"/>
    <w:family w:val="auto"/>
    <w:pitch w:val="variable"/>
    <w:sig w:usb0="00000000" w:usb1="10000000" w:usb2="00000000" w:usb3="00000000" w:csb0="80000000" w:csb1="00000000"/>
    <w:embedRegular r:id="rId6" w:fontKey="{47654E42-3ED3-3243-A000-5967836F6EBA}"/>
  </w:font>
  <w:font w:name="Georgia">
    <w:panose1 w:val="02040502050405020303"/>
    <w:charset w:val="00"/>
    <w:family w:val="roman"/>
    <w:pitch w:val="variable"/>
    <w:sig w:usb0="00000287" w:usb1="00000000" w:usb2="00000000" w:usb3="00000000" w:csb0="0000009F" w:csb1="00000000"/>
    <w:embedItalic r:id="rId7" w:fontKey="{012D8088-0EA7-BA4C-9CFA-573EA51C5A18}"/>
  </w:font>
  <w:font w:name="Calibri">
    <w:panose1 w:val="020F0502020204030204"/>
    <w:charset w:val="00"/>
    <w:family w:val="swiss"/>
    <w:pitch w:val="variable"/>
    <w:sig w:usb0="E4002EFF" w:usb1="C200ACFF" w:usb2="00000009" w:usb3="00000000" w:csb0="000001FF" w:csb1="00000000"/>
    <w:embedRegular r:id="rId8" w:fontKey="{0BC8CCBF-0953-164A-AC2F-67E512615738}"/>
  </w:font>
  <w:font w:name="Cambria">
    <w:panose1 w:val="02040503050406030204"/>
    <w:charset w:val="00"/>
    <w:family w:val="roman"/>
    <w:pitch w:val="variable"/>
    <w:sig w:usb0="E00006FF" w:usb1="420024FF" w:usb2="02000000" w:usb3="00000000" w:csb0="0000019F" w:csb1="00000000"/>
    <w:embedRegular r:id="rId9" w:fontKey="{AA69AF05-9161-AE4B-8C80-9B6AA53EDE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A5D29" w14:textId="77777777" w:rsidR="00C34B88" w:rsidRDefault="00950DCA">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5C05F213" wp14:editId="6B24A43B">
          <wp:simplePos x="0" y="0"/>
          <wp:positionH relativeFrom="column">
            <wp:posOffset>-161924</wp:posOffset>
          </wp:positionH>
          <wp:positionV relativeFrom="paragraph">
            <wp:posOffset>0</wp:posOffset>
          </wp:positionV>
          <wp:extent cx="5643037" cy="1037590"/>
          <wp:effectExtent l="0" t="0" r="0" b="0"/>
          <wp:wrapNone/>
          <wp:docPr id="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2384D539" w14:textId="77777777" w:rsidR="00C34B88" w:rsidRDefault="00C34B88">
    <w:pPr>
      <w:pBdr>
        <w:top w:val="nil"/>
        <w:left w:val="nil"/>
        <w:bottom w:val="nil"/>
        <w:right w:val="nil"/>
        <w:between w:val="nil"/>
      </w:pBdr>
      <w:tabs>
        <w:tab w:val="center" w:pos="4252"/>
        <w:tab w:val="right" w:pos="8504"/>
      </w:tabs>
      <w:ind w:hanging="1418"/>
      <w:rPr>
        <w:color w:val="000000"/>
      </w:rPr>
    </w:pPr>
  </w:p>
  <w:p w14:paraId="39F4B1C4" w14:textId="77777777" w:rsidR="00C34B88" w:rsidRDefault="00C34B88">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C8F5A7" w14:textId="77777777" w:rsidR="00F00CDC" w:rsidRDefault="00F00CDC">
      <w:r>
        <w:separator/>
      </w:r>
    </w:p>
  </w:footnote>
  <w:footnote w:type="continuationSeparator" w:id="0">
    <w:p w14:paraId="44373EAA" w14:textId="77777777" w:rsidR="00F00CDC" w:rsidRDefault="00F00CDC">
      <w:r>
        <w:continuationSeparator/>
      </w:r>
    </w:p>
  </w:footnote>
  <w:footnote w:id="1">
    <w:p w14:paraId="02272BA1" w14:textId="44DD91FB" w:rsidR="001C4336" w:rsidRDefault="00950DCA" w:rsidP="001C433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sidR="001C4336" w:rsidRPr="0026382D">
        <w:rPr>
          <w:color w:val="000000"/>
          <w:sz w:val="20"/>
          <w:szCs w:val="20"/>
        </w:rPr>
        <w:t>Pós em Docência para Educação Profissional e Tecnológica - IFPI</w:t>
      </w:r>
      <w:r w:rsidR="001C4336">
        <w:rPr>
          <w:color w:val="000000"/>
          <w:sz w:val="20"/>
          <w:szCs w:val="20"/>
        </w:rPr>
        <w:t xml:space="preserve">, Graduanda em Direito – Centro Universitário </w:t>
      </w:r>
      <w:proofErr w:type="spellStart"/>
      <w:r w:rsidR="001C4336">
        <w:rPr>
          <w:color w:val="000000"/>
          <w:sz w:val="20"/>
          <w:szCs w:val="20"/>
        </w:rPr>
        <w:t>Chrisfapi</w:t>
      </w:r>
      <w:proofErr w:type="spellEnd"/>
      <w:r w:rsidR="001C4336">
        <w:rPr>
          <w:color w:val="000000"/>
          <w:sz w:val="20"/>
          <w:szCs w:val="20"/>
        </w:rPr>
        <w:t>;</w:t>
      </w:r>
    </w:p>
    <w:p w14:paraId="08681C98" w14:textId="77777777" w:rsidR="008D56F7" w:rsidRDefault="006554F9" w:rsidP="008D56F7">
      <w:pPr>
        <w:pBdr>
          <w:top w:val="nil"/>
          <w:left w:val="nil"/>
          <w:bottom w:val="nil"/>
          <w:right w:val="nil"/>
          <w:between w:val="nil"/>
        </w:pBdr>
        <w:rPr>
          <w:color w:val="000000"/>
          <w:sz w:val="20"/>
          <w:szCs w:val="20"/>
        </w:rPr>
      </w:pPr>
      <w:r>
        <w:rPr>
          <w:color w:val="000000"/>
          <w:sz w:val="20"/>
          <w:szCs w:val="20"/>
        </w:rPr>
        <w:t>²</w:t>
      </w:r>
      <w:r w:rsidR="001C4336">
        <w:rPr>
          <w:color w:val="000000"/>
          <w:sz w:val="20"/>
          <w:szCs w:val="20"/>
        </w:rPr>
        <w:t xml:space="preserve"> </w:t>
      </w:r>
      <w:r w:rsidR="008D56F7">
        <w:rPr>
          <w:color w:val="000000"/>
          <w:sz w:val="20"/>
          <w:szCs w:val="20"/>
        </w:rPr>
        <w:t xml:space="preserve">Pós-graduada em Docência do Ensino Superior – Centro Universitário </w:t>
      </w:r>
      <w:proofErr w:type="spellStart"/>
      <w:r w:rsidR="008D56F7">
        <w:rPr>
          <w:color w:val="000000"/>
          <w:sz w:val="20"/>
          <w:szCs w:val="20"/>
        </w:rPr>
        <w:t>Chrisfapi</w:t>
      </w:r>
      <w:proofErr w:type="spellEnd"/>
      <w:r w:rsidR="008D56F7">
        <w:rPr>
          <w:color w:val="000000"/>
          <w:sz w:val="20"/>
          <w:szCs w:val="20"/>
        </w:rPr>
        <w:t xml:space="preserve">, Graduanda em Direito - Centro Universitário </w:t>
      </w:r>
      <w:proofErr w:type="spellStart"/>
      <w:r w:rsidR="008D56F7">
        <w:rPr>
          <w:color w:val="000000"/>
          <w:sz w:val="20"/>
          <w:szCs w:val="20"/>
        </w:rPr>
        <w:t>Chrisfapi</w:t>
      </w:r>
      <w:proofErr w:type="spellEnd"/>
      <w:r w:rsidR="008D56F7">
        <w:rPr>
          <w:color w:val="000000"/>
          <w:sz w:val="20"/>
          <w:szCs w:val="20"/>
        </w:rPr>
        <w:t>;</w:t>
      </w:r>
    </w:p>
    <w:p w14:paraId="0D14AC3F" w14:textId="71E08DD5" w:rsidR="006554F9" w:rsidRDefault="006554F9">
      <w:pPr>
        <w:pBdr>
          <w:top w:val="nil"/>
          <w:left w:val="nil"/>
          <w:bottom w:val="nil"/>
          <w:right w:val="nil"/>
          <w:between w:val="nil"/>
        </w:pBdr>
        <w:rPr>
          <w:color w:val="000000"/>
          <w:sz w:val="20"/>
          <w:szCs w:val="20"/>
        </w:rPr>
      </w:pPr>
      <w:r>
        <w:rPr>
          <w:color w:val="000000"/>
          <w:sz w:val="20"/>
          <w:szCs w:val="20"/>
        </w:rPr>
        <w:t>³</w:t>
      </w:r>
      <w:r w:rsidR="008D56F7" w:rsidRPr="008D56F7">
        <w:rPr>
          <w:color w:val="000000"/>
          <w:sz w:val="20"/>
          <w:szCs w:val="20"/>
        </w:rPr>
        <w:t xml:space="preserve"> </w:t>
      </w:r>
      <w:r w:rsidR="008D56F7">
        <w:rPr>
          <w:color w:val="000000"/>
          <w:sz w:val="20"/>
          <w:szCs w:val="20"/>
        </w:rPr>
        <w:t xml:space="preserve">Graduanda em Direito - Centro Universitário </w:t>
      </w:r>
      <w:proofErr w:type="spellStart"/>
      <w:r w:rsidR="008D56F7">
        <w:rPr>
          <w:color w:val="000000"/>
          <w:sz w:val="20"/>
          <w:szCs w:val="20"/>
        </w:rPr>
        <w:t>Chrisfapi</w:t>
      </w:r>
      <w:proofErr w:type="spellEnd"/>
    </w:p>
    <w:p w14:paraId="56CFF707" w14:textId="16765926" w:rsidR="00776C95" w:rsidRDefault="00776C95">
      <w:pPr>
        <w:pBdr>
          <w:top w:val="nil"/>
          <w:left w:val="nil"/>
          <w:bottom w:val="nil"/>
          <w:right w:val="nil"/>
          <w:between w:val="nil"/>
        </w:pBdr>
        <w:rPr>
          <w:color w:val="000000"/>
          <w:sz w:val="20"/>
          <w:szCs w:val="20"/>
          <w:vertAlign w:val="superscript"/>
        </w:rPr>
      </w:pPr>
      <w:r w:rsidRPr="00776C95">
        <w:rPr>
          <w:color w:val="000000"/>
          <w:sz w:val="20"/>
          <w:szCs w:val="20"/>
          <w:vertAlign w:val="superscript"/>
        </w:rPr>
        <w:t>4</w:t>
      </w:r>
      <w:r w:rsidR="008D56F7">
        <w:rPr>
          <w:color w:val="000000"/>
          <w:sz w:val="20"/>
          <w:szCs w:val="20"/>
          <w:vertAlign w:val="superscript"/>
        </w:rPr>
        <w:t xml:space="preserve"> </w:t>
      </w:r>
      <w:r w:rsidR="008D56F7">
        <w:rPr>
          <w:color w:val="000000"/>
          <w:sz w:val="20"/>
          <w:szCs w:val="20"/>
        </w:rPr>
        <w:t xml:space="preserve">Mestrando em Direito - </w:t>
      </w:r>
      <w:proofErr w:type="spellStart"/>
      <w:r w:rsidR="008D56F7">
        <w:rPr>
          <w:color w:val="000000"/>
          <w:sz w:val="20"/>
          <w:szCs w:val="20"/>
        </w:rPr>
        <w:t>Uninta</w:t>
      </w:r>
      <w:proofErr w:type="spellEnd"/>
      <w:r w:rsidR="008D56F7">
        <w:rPr>
          <w:color w:val="000000"/>
          <w:sz w:val="20"/>
          <w:szCs w:val="20"/>
        </w:rPr>
        <w:t xml:space="preserve">, </w:t>
      </w:r>
      <w:r w:rsidR="008D56F7">
        <w:rPr>
          <w:color w:val="000000"/>
          <w:sz w:val="20"/>
          <w:szCs w:val="20"/>
        </w:rPr>
        <w:t>Graduado</w:t>
      </w:r>
      <w:r w:rsidR="008D56F7">
        <w:rPr>
          <w:color w:val="000000"/>
          <w:sz w:val="20"/>
          <w:szCs w:val="20"/>
        </w:rPr>
        <w:t xml:space="preserve"> em </w:t>
      </w:r>
      <w:proofErr w:type="gramStart"/>
      <w:r w:rsidR="008D56F7">
        <w:rPr>
          <w:color w:val="000000"/>
          <w:sz w:val="20"/>
          <w:szCs w:val="20"/>
        </w:rPr>
        <w:t xml:space="preserve">Direito </w:t>
      </w:r>
      <w:r w:rsidR="008D56F7">
        <w:rPr>
          <w:color w:val="000000"/>
          <w:sz w:val="20"/>
          <w:szCs w:val="20"/>
        </w:rPr>
        <w:t xml:space="preserve"> e</w:t>
      </w:r>
      <w:proofErr w:type="gramEnd"/>
      <w:r w:rsidR="008D56F7">
        <w:rPr>
          <w:color w:val="000000"/>
          <w:sz w:val="20"/>
          <w:szCs w:val="20"/>
        </w:rPr>
        <w:t xml:space="preserve"> Ciências Contábeis</w:t>
      </w:r>
      <w:r w:rsidR="008D56F7">
        <w:rPr>
          <w:color w:val="000000"/>
          <w:sz w:val="20"/>
          <w:szCs w:val="20"/>
        </w:rPr>
        <w:t xml:space="preserve">– Centro Universitário </w:t>
      </w:r>
      <w:proofErr w:type="spellStart"/>
      <w:r w:rsidR="008D56F7">
        <w:rPr>
          <w:color w:val="000000"/>
          <w:sz w:val="20"/>
          <w:szCs w:val="20"/>
        </w:rPr>
        <w:t>Chrisfapi</w:t>
      </w:r>
      <w:proofErr w:type="spellEnd"/>
    </w:p>
    <w:p w14:paraId="57B778B0" w14:textId="213531B2" w:rsidR="00776C95" w:rsidRPr="00776C95" w:rsidRDefault="00776C95">
      <w:pPr>
        <w:pBdr>
          <w:top w:val="nil"/>
          <w:left w:val="nil"/>
          <w:bottom w:val="nil"/>
          <w:right w:val="nil"/>
          <w:between w:val="nil"/>
        </w:pBdr>
        <w:rPr>
          <w:color w:val="000000"/>
          <w:sz w:val="20"/>
          <w:szCs w:val="20"/>
          <w:vertAlign w:val="superscript"/>
        </w:rPr>
      </w:pPr>
      <w:r>
        <w:rPr>
          <w:color w:val="000000"/>
          <w:sz w:val="20"/>
          <w:szCs w:val="20"/>
          <w:vertAlign w:val="superscript"/>
        </w:rPr>
        <w:t>5</w:t>
      </w:r>
      <w:r w:rsidRPr="00776C95">
        <w:rPr>
          <w:color w:val="000000"/>
          <w:sz w:val="20"/>
          <w:szCs w:val="20"/>
        </w:rPr>
        <w:t xml:space="preserve"> </w:t>
      </w:r>
      <w:r>
        <w:rPr>
          <w:color w:val="000000"/>
          <w:sz w:val="20"/>
          <w:szCs w:val="20"/>
        </w:rPr>
        <w:t xml:space="preserve">Doutor em Biotecnologia - Universidade Federal do Piauí, Professor do Centro Universitário </w:t>
      </w:r>
      <w:proofErr w:type="spellStart"/>
      <w:r>
        <w:rPr>
          <w:color w:val="000000"/>
          <w:sz w:val="20"/>
          <w:szCs w:val="20"/>
        </w:rPr>
        <w:t>Chrisfapi</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82DC3A" w14:textId="77777777" w:rsidR="00C34B88" w:rsidRDefault="00950DCA">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2DFBC1E1" wp14:editId="2E49B087">
          <wp:simplePos x="0" y="0"/>
          <wp:positionH relativeFrom="column">
            <wp:posOffset>-1076324</wp:posOffset>
          </wp:positionH>
          <wp:positionV relativeFrom="paragraph">
            <wp:posOffset>-449579</wp:posOffset>
          </wp:positionV>
          <wp:extent cx="7573328" cy="1400175"/>
          <wp:effectExtent l="0" t="0" r="0" b="0"/>
          <wp:wrapNone/>
          <wp:docPr id="9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241F8"/>
    <w:multiLevelType w:val="multilevel"/>
    <w:tmpl w:val="FD94E3BC"/>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DF64102"/>
    <w:multiLevelType w:val="hybridMultilevel"/>
    <w:tmpl w:val="636A4A9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7FC396A"/>
    <w:multiLevelType w:val="multilevel"/>
    <w:tmpl w:val="AC3AAE50"/>
    <w:lvl w:ilvl="0">
      <w:start w:val="4"/>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 w15:restartNumberingAfterBreak="0">
    <w:nsid w:val="2BC25BC3"/>
    <w:multiLevelType w:val="hybridMultilevel"/>
    <w:tmpl w:val="146256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1EF0C1A"/>
    <w:multiLevelType w:val="hybridMultilevel"/>
    <w:tmpl w:val="17CE849A"/>
    <w:lvl w:ilvl="0" w:tplc="95BE13EE">
      <w:start w:val="2"/>
      <w:numFmt w:val="bullet"/>
      <w:lvlText w:val=""/>
      <w:lvlJc w:val="left"/>
      <w:pPr>
        <w:ind w:left="1069" w:hanging="360"/>
      </w:pPr>
      <w:rPr>
        <w:rFonts w:ascii="Symbol" w:eastAsia="Times New Roman" w:hAnsi="Symbol"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num w:numId="1" w16cid:durableId="771632087">
    <w:abstractNumId w:val="3"/>
  </w:num>
  <w:num w:numId="2" w16cid:durableId="152765079">
    <w:abstractNumId w:val="4"/>
  </w:num>
  <w:num w:numId="3" w16cid:durableId="1807312589">
    <w:abstractNumId w:val="1"/>
  </w:num>
  <w:num w:numId="4" w16cid:durableId="682824529">
    <w:abstractNumId w:val="0"/>
  </w:num>
  <w:num w:numId="5" w16cid:durableId="13529967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B88"/>
    <w:rsid w:val="00042457"/>
    <w:rsid w:val="000523CC"/>
    <w:rsid w:val="0009236A"/>
    <w:rsid w:val="000937E7"/>
    <w:rsid w:val="001C4336"/>
    <w:rsid w:val="001D7F97"/>
    <w:rsid w:val="00264926"/>
    <w:rsid w:val="00282609"/>
    <w:rsid w:val="002909BF"/>
    <w:rsid w:val="00343416"/>
    <w:rsid w:val="00367112"/>
    <w:rsid w:val="003D4E85"/>
    <w:rsid w:val="003E080A"/>
    <w:rsid w:val="00416A2C"/>
    <w:rsid w:val="004748A6"/>
    <w:rsid w:val="00482771"/>
    <w:rsid w:val="004A0A0F"/>
    <w:rsid w:val="005018AE"/>
    <w:rsid w:val="00564093"/>
    <w:rsid w:val="005A3560"/>
    <w:rsid w:val="005E2C1E"/>
    <w:rsid w:val="005F5554"/>
    <w:rsid w:val="00627EFB"/>
    <w:rsid w:val="00644A49"/>
    <w:rsid w:val="006554F9"/>
    <w:rsid w:val="00665650"/>
    <w:rsid w:val="006A6957"/>
    <w:rsid w:val="00757FC4"/>
    <w:rsid w:val="0076133B"/>
    <w:rsid w:val="00776C95"/>
    <w:rsid w:val="007B0D99"/>
    <w:rsid w:val="00840A5C"/>
    <w:rsid w:val="00896234"/>
    <w:rsid w:val="008B7756"/>
    <w:rsid w:val="008D56F7"/>
    <w:rsid w:val="00921F89"/>
    <w:rsid w:val="00950DCA"/>
    <w:rsid w:val="009B6CE7"/>
    <w:rsid w:val="00A1711A"/>
    <w:rsid w:val="00A57398"/>
    <w:rsid w:val="00A7630D"/>
    <w:rsid w:val="00A86B73"/>
    <w:rsid w:val="00B559A8"/>
    <w:rsid w:val="00C02DD8"/>
    <w:rsid w:val="00C16FD8"/>
    <w:rsid w:val="00C34B88"/>
    <w:rsid w:val="00C66F05"/>
    <w:rsid w:val="00DE6B98"/>
    <w:rsid w:val="00E3103A"/>
    <w:rsid w:val="00E75358"/>
    <w:rsid w:val="00E815FE"/>
    <w:rsid w:val="00EC2757"/>
    <w:rsid w:val="00EC564D"/>
    <w:rsid w:val="00F00CDC"/>
    <w:rsid w:val="00F513C8"/>
    <w:rsid w:val="00FA1372"/>
    <w:rsid w:val="00FB1C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C5FE"/>
  <w15:docId w15:val="{C5A0FCB2-9C1D-C24F-820B-B3EACF95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09236A"/>
    <w:pPr>
      <w:ind w:left="720"/>
      <w:contextualSpacing/>
    </w:pPr>
  </w:style>
  <w:style w:type="paragraph" w:styleId="NormalWeb">
    <w:name w:val="Normal (Web)"/>
    <w:basedOn w:val="Normal"/>
    <w:uiPriority w:val="99"/>
    <w:unhideWhenUsed/>
    <w:rsid w:val="005E2C1E"/>
    <w:pPr>
      <w:spacing w:before="100" w:beforeAutospacing="1" w:after="100" w:afterAutospacing="1"/>
    </w:pPr>
    <w:rPr>
      <w:sz w:val="24"/>
      <w:szCs w:val="24"/>
    </w:rPr>
  </w:style>
  <w:style w:type="character" w:styleId="nfase">
    <w:name w:val="Emphasis"/>
    <w:basedOn w:val="Fontepargpadro"/>
    <w:uiPriority w:val="20"/>
    <w:qFormat/>
    <w:rsid w:val="000523CC"/>
    <w:rPr>
      <w:i/>
      <w:iCs/>
    </w:rPr>
  </w:style>
  <w:style w:type="paragraph" w:customStyle="1" w:styleId="isselectedend">
    <w:name w:val="isselectedend"/>
    <w:basedOn w:val="Normal"/>
    <w:rsid w:val="001C433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030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constituicao/constituicao.htm?utm_source=chatgpt.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elo.br/j/sssoc/a/zPkd4nCFLC98THTyXhmYLLB/?lang=pt&amp;utm_source=chatg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utm_source=chatgp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lanalto.gov.br/ccivil_03/_ato2015-2018/2015/lei/l13104.htm?utm_source=chatgpt.com" TargetMode="External"/><Relationship Id="rId4" Type="http://schemas.openxmlformats.org/officeDocument/2006/relationships/settings" Target="settings.xml"/><Relationship Id="rId9" Type="http://schemas.openxmlformats.org/officeDocument/2006/relationships/hyperlink" Target="https://www.planalto.gov.br/ccivil_03/_ato2004-2006/2006/lei/l11340.htm?utm_source=chatgpt.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F1DD7-E970-4AE5-972D-884D3BC5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3539</Words>
  <Characters>20000</Characters>
  <Application>Microsoft Office Word</Application>
  <DocSecurity>0</DocSecurity>
  <Lines>338</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NAYRA FAUSTO</dc:creator>
  <cp:lastModifiedBy>Hosana Scarletti</cp:lastModifiedBy>
  <cp:revision>2</cp:revision>
  <cp:lastPrinted>2026-08-23T18:40:00Z</cp:lastPrinted>
  <dcterms:created xsi:type="dcterms:W3CDTF">2026-09-09T15:00:00Z</dcterms:created>
  <dcterms:modified xsi:type="dcterms:W3CDTF">2026-09-09T15:00:00Z</dcterms:modified>
</cp:coreProperties>
</file>