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jc w:val="center"/>
        <w:rPr>
          <w:lang w:val="pt-BR"/>
        </w:rPr>
      </w:pPr>
      <w:r>
        <w:rPr>
          <w:b/>
          <w:bCs/>
          <w:color w:themeColor="text1" w:val="000000"/>
          <w:sz w:val="24"/>
          <w:szCs w:val="24"/>
          <w:lang w:val="pt-BR"/>
        </w:rPr>
        <w:t>BELÉM SOB NUVENS: UMA ANÁLISE DA PERSISTÊNCIA DE NUVENS E LIMITES DA OBSERVAÇÃO ÓPTICA ENTRE 2019 E 2024 COM SENTINEL-2 E S2CLOUDLESS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jc w:val="center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Filipe de Melo Rocha</w:t>
      </w:r>
      <w:r>
        <w:rPr>
          <w:sz w:val="24"/>
          <w:szCs w:val="24"/>
          <w:vertAlign w:val="superscript"/>
          <w:lang w:val="pt-BR"/>
        </w:rPr>
        <w:t>1</w:t>
      </w:r>
      <w:r>
        <w:rPr>
          <w:sz w:val="24"/>
          <w:szCs w:val="24"/>
          <w:lang w:val="pt-BR"/>
        </w:rPr>
        <w:t>; Anderson Eudóxio Araújo²; Tatiana Pará Monteiro de Freitas</w:t>
      </w:r>
      <w:r>
        <w:rPr>
          <w:sz w:val="24"/>
          <w:szCs w:val="24"/>
          <w:vertAlign w:val="superscript"/>
          <w:lang w:val="pt-BR"/>
        </w:rPr>
        <w:t>3</w:t>
      </w:r>
      <w:r>
        <w:rPr>
          <w:sz w:val="24"/>
          <w:szCs w:val="24"/>
          <w:lang w:val="pt-BR"/>
        </w:rPr>
        <w:t>; Tamirys Marcelina da Silva</w:t>
      </w:r>
      <w:r>
        <w:rPr>
          <w:sz w:val="24"/>
          <w:szCs w:val="24"/>
          <w:vertAlign w:val="superscript"/>
          <w:lang w:val="pt-BR"/>
        </w:rPr>
        <w:t>4</w:t>
      </w:r>
      <w:r>
        <w:rPr>
          <w:sz w:val="24"/>
          <w:szCs w:val="24"/>
          <w:lang w:val="pt-BR"/>
        </w:rPr>
        <w:t xml:space="preserve">; </w:t>
      </w:r>
      <w:r>
        <w:rPr>
          <w:sz w:val="24"/>
          <w:szCs w:val="24"/>
          <w:lang w:val="pt-BR"/>
        </w:rPr>
        <w:t xml:space="preserve">André </w:t>
      </w:r>
      <w:r>
        <w:rPr>
          <w:sz w:val="24"/>
          <w:szCs w:val="24"/>
          <w:lang w:val="pt-BR"/>
        </w:rPr>
        <w:t>Felipe de Moraes Marques</w:t>
      </w:r>
      <w:r>
        <w:rPr>
          <w:sz w:val="24"/>
          <w:szCs w:val="24"/>
          <w:vertAlign w:val="superscript"/>
          <w:lang w:val="pt-BR"/>
        </w:rPr>
        <w:t>5</w:t>
      </w:r>
      <w:r>
        <w:rPr>
          <w:sz w:val="24"/>
          <w:szCs w:val="24"/>
          <w:lang w:val="pt-BR"/>
        </w:rPr>
        <w:t>; Nathalia de Souza Lima</w:t>
      </w:r>
      <w:r>
        <w:rPr>
          <w:sz w:val="24"/>
          <w:szCs w:val="24"/>
          <w:vertAlign w:val="superscript"/>
          <w:lang w:val="pt-BR"/>
        </w:rPr>
        <w:t xml:space="preserve">6; 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jc w:val="center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Norma Ely Santos Beltrão</w:t>
      </w:r>
      <w:r>
        <w:rPr>
          <w:sz w:val="24"/>
          <w:szCs w:val="24"/>
          <w:vertAlign w:val="superscript"/>
          <w:lang w:val="pt-BR"/>
        </w:rPr>
        <w:t>7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jc w:val="center"/>
        <w:rPr>
          <w:lang w:val="pt-BR"/>
        </w:rPr>
      </w:pPr>
      <w:r>
        <w:rPr>
          <w:sz w:val="24"/>
          <w:szCs w:val="24"/>
          <w:vertAlign w:val="superscript"/>
          <w:lang w:val="pt-BR"/>
        </w:rPr>
        <w:t>1</w:t>
      </w:r>
      <w:r>
        <w:rPr>
          <w:sz w:val="24"/>
          <w:szCs w:val="24"/>
          <w:lang w:val="pt-BR"/>
        </w:rPr>
        <w:t>Mestrando em Ciências Ambientais. Universidade do Estado do Pará. filipe.melo07@outlook.com.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jc w:val="center"/>
        <w:rPr>
          <w:sz w:val="24"/>
          <w:szCs w:val="24"/>
          <w:lang w:val="pt-BR"/>
        </w:rPr>
      </w:pPr>
      <w:r>
        <w:rPr>
          <w:sz w:val="24"/>
          <w:szCs w:val="24"/>
          <w:vertAlign w:val="superscript"/>
          <w:lang w:val="pt-BR"/>
        </w:rPr>
        <w:t>2, 4, 5, 6</w:t>
      </w:r>
      <w:r>
        <w:rPr>
          <w:sz w:val="24"/>
          <w:szCs w:val="24"/>
          <w:lang w:val="pt-BR"/>
        </w:rPr>
        <w:t>Mestrando (a) em Ciências Ambientais. Universidade do Estado do Pará.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jc w:val="center"/>
        <w:rPr>
          <w:lang w:val="pt-BR"/>
        </w:rPr>
      </w:pPr>
      <w:r>
        <w:rPr>
          <w:sz w:val="24"/>
          <w:szCs w:val="24"/>
          <w:vertAlign w:val="superscript"/>
          <w:lang w:val="pt-BR"/>
        </w:rPr>
        <w:t>3</w:t>
      </w:r>
      <w:r>
        <w:rPr>
          <w:sz w:val="24"/>
          <w:szCs w:val="24"/>
          <w:lang w:val="pt-BR"/>
        </w:rPr>
        <w:t>Doutoranda em Ciências Ambientais. Universidade do Estado do Pará.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jc w:val="center"/>
        <w:rPr/>
      </w:pPr>
      <w:r>
        <w:rPr>
          <w:sz w:val="24"/>
          <w:szCs w:val="24"/>
          <w:vertAlign w:val="superscript"/>
          <w:lang w:val="pt-BR"/>
        </w:rPr>
        <w:t>7</w:t>
      </w:r>
      <w:r>
        <w:rPr>
          <w:sz w:val="24"/>
          <w:szCs w:val="24"/>
          <w:lang w:val="pt-BR"/>
        </w:rPr>
        <w:t>Pós-Doutora em Sensoriamento Remoto. Universidade do Estado do Pará.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>
      <w:pPr>
        <w:pStyle w:val="BodyText"/>
        <w:shd w:val="clear" w:color="auto" w:fill="FFFFFF" w:themeFill="background1"/>
        <w:tabs>
          <w:tab w:val="clear" w:pos="720"/>
          <w:tab w:val="left" w:pos="2500" w:leader="none"/>
        </w:tabs>
        <w:jc w:val="both"/>
        <w:rPr/>
      </w:pPr>
      <w:r>
        <w:rPr>
          <w:lang w:val="pt-BR"/>
        </w:rPr>
        <w:t xml:space="preserve">A cobertura persistente de nuvens na Amazônia impõe limitações significativas à observação óptica por satélite, dificultando o monitoramento ambiental e urbano contínuo. Este estudo tem como objeto a </w:t>
      </w:r>
      <w:r>
        <w:rPr>
          <w:rStyle w:val="Strong"/>
          <w:b w:val="false"/>
          <w:bCs w:val="false"/>
          <w:lang w:val="pt-BR"/>
        </w:rPr>
        <w:t>persistência de nuvens na Região Metropolitana de Belém (RMB)</w:t>
      </w:r>
      <w:r>
        <w:rPr>
          <w:lang w:val="pt-BR"/>
        </w:rPr>
        <w:t xml:space="preserve">, entre 2019 e 2024, com o objetivo de </w:t>
      </w:r>
      <w:r>
        <w:rPr>
          <w:rStyle w:val="Strong"/>
          <w:b w:val="false"/>
          <w:bCs w:val="false"/>
          <w:lang w:val="pt-BR"/>
        </w:rPr>
        <w:t>quantificar o tempo médio de invisibilidade óptica e identificar padrões sazonais de observação</w:t>
      </w:r>
      <w:r>
        <w:rPr>
          <w:lang w:val="pt-BR"/>
        </w:rPr>
        <w:t xml:space="preserve">. O problema central consiste em compreender </w:t>
      </w:r>
      <w:r>
        <w:rPr>
          <w:rStyle w:val="Strong"/>
          <w:b w:val="false"/>
          <w:bCs w:val="false"/>
          <w:lang w:val="pt-BR"/>
        </w:rPr>
        <w:t>por quanto tempo a região permanece invisível aos sensores ópticos</w:t>
      </w:r>
      <w:r>
        <w:rPr>
          <w:lang w:val="pt-BR"/>
        </w:rPr>
        <w:t xml:space="preserve">, interferindo em análises ambientais e de planejamento urbano. A justificativa baseia-se na relevância de identificar períodos e áreas com menor disponibilidade de imagens para aprimorar estratégias de monitoramento e apoiar a integração de sensores de radar em estudos na Amazônia Oriental. A metodologia utilizou imagens </w:t>
      </w:r>
      <w:r>
        <w:rPr>
          <w:rStyle w:val="Strong"/>
          <w:b w:val="false"/>
          <w:bCs w:val="false"/>
          <w:lang w:val="pt-BR"/>
        </w:rPr>
        <w:t>Sentinel-2 L2A</w:t>
      </w:r>
      <w:r>
        <w:rPr>
          <w:lang w:val="pt-BR"/>
        </w:rPr>
        <w:t xml:space="preserve"> processadas no </w:t>
      </w:r>
      <w:r>
        <w:rPr>
          <w:rStyle w:val="Strong"/>
          <w:b w:val="false"/>
          <w:bCs w:val="false"/>
          <w:i/>
          <w:iCs/>
          <w:lang w:val="pt-BR"/>
        </w:rPr>
        <w:t>Google Earth Engine</w:t>
      </w:r>
      <w:r>
        <w:rPr>
          <w:lang w:val="pt-BR"/>
        </w:rPr>
        <w:t xml:space="preserve">, com aplicação do algoritmo </w:t>
      </w:r>
      <w:r>
        <w:rPr>
          <w:rStyle w:val="Strong"/>
          <w:b w:val="false"/>
          <w:bCs w:val="false"/>
          <w:i/>
          <w:iCs/>
          <w:lang w:val="pt-BR"/>
        </w:rPr>
        <w:t>s2cloudless</w:t>
      </w:r>
      <w:r>
        <w:rPr>
          <w:lang w:val="pt-BR"/>
        </w:rPr>
        <w:t xml:space="preserve"> para detecção de nuvens. Foram calculadas métricas mensais de fração limpa (proporção de área observável) e o número máximo de meses consecutivos sem observação limpa. Os resultados indicam </w:t>
      </w:r>
      <w:r>
        <w:rPr>
          <w:rStyle w:val="Strong"/>
          <w:b w:val="false"/>
          <w:bCs w:val="false"/>
          <w:lang w:val="pt-BR"/>
        </w:rPr>
        <w:t>alta persistência de nuvens durante o período úmido (dezembro a maio)</w:t>
      </w:r>
      <w:r>
        <w:rPr>
          <w:lang w:val="pt-BR"/>
        </w:rPr>
        <w:t xml:space="preserve">, com </w:t>
      </w:r>
      <w:r>
        <w:rPr>
          <w:rStyle w:val="Strong"/>
          <w:b w:val="false"/>
          <w:bCs w:val="false"/>
          <w:lang w:val="pt-BR"/>
        </w:rPr>
        <w:t>redução expressiva de janelas úteis de observação</w:t>
      </w:r>
      <w:r>
        <w:rPr>
          <w:lang w:val="pt-BR"/>
        </w:rPr>
        <w:t xml:space="preserve">, e </w:t>
      </w:r>
      <w:r>
        <w:rPr>
          <w:rStyle w:val="Strong"/>
          <w:b w:val="false"/>
          <w:bCs w:val="false"/>
          <w:lang w:val="pt-BR"/>
        </w:rPr>
        <w:t>maior disponibilidade de cenas limpas no período seco (junho a novembro)</w:t>
      </w:r>
      <w:r>
        <w:rPr>
          <w:lang w:val="pt-BR"/>
        </w:rPr>
        <w:t xml:space="preserve">. O máximo de meses consecutivos sem observação limpa ultrapassou </w:t>
      </w:r>
      <w:r>
        <w:rPr>
          <w:rStyle w:val="Strong"/>
          <w:b w:val="false"/>
          <w:bCs w:val="false"/>
          <w:lang w:val="pt-BR"/>
        </w:rPr>
        <w:t>três meses</w:t>
      </w:r>
      <w:r>
        <w:rPr>
          <w:lang w:val="pt-BR"/>
        </w:rPr>
        <w:t xml:space="preserve">. Conclui-se que a RMB apresenta </w:t>
      </w:r>
      <w:r>
        <w:rPr>
          <w:rStyle w:val="Strong"/>
          <w:b w:val="false"/>
          <w:bCs w:val="false"/>
          <w:lang w:val="pt-BR"/>
        </w:rPr>
        <w:t>forte sazonalidade na cobertura de nuvens</w:t>
      </w:r>
      <w:r>
        <w:rPr>
          <w:lang w:val="pt-BR"/>
        </w:rPr>
        <w:t xml:space="preserve">, o que limita o uso de sensores ópticos convencionais, reforçando a necessidade de </w:t>
      </w:r>
      <w:r>
        <w:rPr>
          <w:rStyle w:val="Strong"/>
          <w:b w:val="false"/>
          <w:bCs w:val="false"/>
          <w:lang w:val="pt-BR"/>
        </w:rPr>
        <w:t>abordagens integradas com dados de radar</w:t>
      </w:r>
      <w:r>
        <w:rPr>
          <w:lang w:val="pt-BR"/>
        </w:rPr>
        <w:t xml:space="preserve"> e maior planejamento temporal para estudos ambientais.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rPr>
          <w:lang w:val="pt-BR"/>
        </w:rPr>
      </w:pPr>
      <w:r>
        <w:rPr>
          <w:b/>
          <w:sz w:val="24"/>
          <w:szCs w:val="24"/>
          <w:lang w:val="pt-BR"/>
        </w:rPr>
        <w:t xml:space="preserve">Palavras-chave: </w:t>
      </w:r>
      <w:r>
        <w:rPr>
          <w:sz w:val="24"/>
          <w:szCs w:val="24"/>
          <w:lang w:val="pt-BR"/>
        </w:rPr>
        <w:t>Persistência de nuvens</w:t>
      </w:r>
      <w:r>
        <w:rPr>
          <w:color w:val="000000"/>
          <w:sz w:val="24"/>
          <w:szCs w:val="24"/>
          <w:lang w:val="pt-BR"/>
        </w:rPr>
        <w:t>. Invisibilidade óptica. Belém.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jc w:val="center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rPr/>
      </w:pPr>
      <w:r>
        <w:rPr>
          <w:b/>
          <w:bCs/>
          <w:sz w:val="24"/>
          <w:szCs w:val="24"/>
          <w:lang w:val="pt-BR"/>
        </w:rPr>
        <w:t>Área de Interesse do Simpósio</w:t>
      </w:r>
      <w:r>
        <w:rPr>
          <w:sz w:val="24"/>
          <w:szCs w:val="24"/>
          <w:lang w:val="pt-BR"/>
        </w:rPr>
        <w:t>: Metodologias, geotecnologias, estatística e divulgação (popularização da ciência).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rPr>
          <w:color w:val="FF0000"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1. INTRODUÇÃO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2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O sensoriamento remoto tornou-se uma ferramenta essencial para monitorar, analisar e prever mudanças ambientais e territoriais, superando limitações de métodos tradicionais de campo, que são restritos em escala e custo (Ahmadi </w:t>
      </w:r>
      <w:r>
        <w:rPr>
          <w:i/>
          <w:iCs/>
          <w:sz w:val="24"/>
          <w:szCs w:val="24"/>
          <w:lang w:val="pt-BR"/>
        </w:rPr>
        <w:t>et al.</w:t>
      </w:r>
      <w:r>
        <w:rPr>
          <w:sz w:val="24"/>
          <w:szCs w:val="24"/>
          <w:lang w:val="pt-BR"/>
        </w:rPr>
        <w:t xml:space="preserve">, 2023). Na Amazônia sua aplicação é fundamental, entretanto a presença de nuvens representa um desafio à observação óptica da região, o que reduz de forma drástica a disponibilidade de imagens utilizáveis ao longo do ano (Salgado </w:t>
      </w:r>
      <w:r>
        <w:rPr>
          <w:i/>
          <w:iCs/>
          <w:sz w:val="24"/>
          <w:szCs w:val="24"/>
          <w:lang w:val="pt-BR"/>
        </w:rPr>
        <w:t>et al</w:t>
      </w:r>
      <w:r>
        <w:rPr>
          <w:sz w:val="24"/>
          <w:szCs w:val="24"/>
          <w:lang w:val="pt-BR"/>
        </w:rPr>
        <w:t xml:space="preserve">., 2022). 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2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Apesar da frequência dos satélites e seus sensores disponíveis e mais utilizados como Sentinel e Landsat (respectivamente, 5 dias e 8 dias de revisita ao mesmo ponto quando combinados com seus pares), a cobertura ainda limita a análise de processos naturais e urbanos, como exemplo NDVI (</w:t>
      </w:r>
      <w:r>
        <w:rPr>
          <w:i/>
          <w:iCs/>
          <w:sz w:val="24"/>
          <w:szCs w:val="24"/>
          <w:lang w:val="pt-BR"/>
        </w:rPr>
        <w:t>Normalized Difference Vegetation Index</w:t>
      </w:r>
      <w:r>
        <w:rPr>
          <w:sz w:val="24"/>
          <w:szCs w:val="24"/>
          <w:lang w:val="pt-BR"/>
        </w:rPr>
        <w:t>), o LST (</w:t>
      </w:r>
      <w:r>
        <w:rPr>
          <w:i/>
          <w:iCs/>
          <w:sz w:val="24"/>
          <w:szCs w:val="24"/>
          <w:lang w:val="pt-BR"/>
        </w:rPr>
        <w:t>Land Surface Temperature</w:t>
      </w:r>
      <w:r>
        <w:rPr>
          <w:sz w:val="24"/>
          <w:szCs w:val="24"/>
          <w:lang w:val="pt-BR"/>
        </w:rPr>
        <w:t xml:space="preserve">) e o </w:t>
      </w:r>
      <w:r>
        <w:rPr>
          <w:color w:val="18181B"/>
          <w:sz w:val="24"/>
          <w:szCs w:val="24"/>
          <w:lang w:val="pt-BR"/>
        </w:rPr>
        <w:t>E</w:t>
      </w:r>
      <w:r>
        <w:rPr>
          <w:color w:themeColor="text1" w:val="000000"/>
          <w:sz w:val="24"/>
          <w:szCs w:val="24"/>
          <w:lang w:val="pt-BR"/>
        </w:rPr>
        <w:t>VI (</w:t>
      </w:r>
      <w:r>
        <w:rPr>
          <w:i/>
          <w:iCs/>
          <w:color w:themeColor="text1" w:val="000000"/>
          <w:sz w:val="24"/>
          <w:szCs w:val="24"/>
          <w:lang w:val="pt-BR"/>
        </w:rPr>
        <w:t>Enhanced Vegetation Index</w:t>
      </w:r>
      <w:r>
        <w:rPr>
          <w:color w:themeColor="text1" w:val="000000"/>
          <w:sz w:val="24"/>
          <w:szCs w:val="24"/>
          <w:lang w:val="pt-BR"/>
        </w:rPr>
        <w:t xml:space="preserve">) </w:t>
      </w:r>
      <w:r>
        <w:rPr>
          <w:sz w:val="24"/>
          <w:szCs w:val="24"/>
          <w:lang w:val="pt-BR"/>
        </w:rPr>
        <w:t xml:space="preserve">(Santos </w:t>
      </w:r>
      <w:r>
        <w:rPr>
          <w:i/>
          <w:iCs/>
          <w:sz w:val="24"/>
          <w:szCs w:val="24"/>
          <w:lang w:val="pt-BR"/>
        </w:rPr>
        <w:t>et al</w:t>
      </w:r>
      <w:r>
        <w:rPr>
          <w:sz w:val="24"/>
          <w:szCs w:val="24"/>
          <w:lang w:val="pt-BR"/>
        </w:rPr>
        <w:t xml:space="preserve">., 2022; Bezerra </w:t>
      </w:r>
      <w:r>
        <w:rPr>
          <w:i/>
          <w:iCs/>
          <w:sz w:val="24"/>
          <w:szCs w:val="24"/>
          <w:lang w:val="pt-BR"/>
        </w:rPr>
        <w:t>et al</w:t>
      </w:r>
      <w:r>
        <w:rPr>
          <w:sz w:val="24"/>
          <w:szCs w:val="24"/>
          <w:lang w:val="pt-BR"/>
        </w:rPr>
        <w:t xml:space="preserve">., 2023). 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2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Como foco deste trabalho, a Região Metropolitana de Belém (RMB), é classificada como possuindo um clima equatorial úmido e de alta umidade do ar durante o ano todo (Souto </w:t>
      </w:r>
      <w:r>
        <w:rPr>
          <w:i/>
          <w:iCs/>
          <w:sz w:val="24"/>
          <w:szCs w:val="24"/>
          <w:lang w:val="pt-BR"/>
        </w:rPr>
        <w:t>et al</w:t>
      </w:r>
      <w:r>
        <w:rPr>
          <w:sz w:val="24"/>
          <w:szCs w:val="24"/>
          <w:lang w:val="pt-BR"/>
        </w:rPr>
        <w:t xml:space="preserve">., 2021). A presença constante de nuvens prejudica diretamente na obtenção de séries temporais consistentes, afetando estudos que dependem de observações ópticas como o monitoramento da expansão urbana, uso e cobertura e variações ambientais intermitentes (Ling </w:t>
      </w:r>
      <w:r>
        <w:rPr>
          <w:i/>
          <w:iCs/>
          <w:sz w:val="24"/>
          <w:szCs w:val="24"/>
          <w:lang w:val="pt-BR"/>
        </w:rPr>
        <w:t>et al</w:t>
      </w:r>
      <w:r>
        <w:rPr>
          <w:sz w:val="24"/>
          <w:szCs w:val="24"/>
          <w:lang w:val="pt-BR"/>
        </w:rPr>
        <w:t xml:space="preserve">., 2021) além do mapeamento sistemático ficar comprometido pela ausência de dados (Freitas; Oliveira, 2017). Considerando a relevância das nuvens nesse cenário, são poucos os estudos que quantificam e avaliam a persistência de nuvens e seus efeitos na observação da referida região. 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2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persistência de nuvens refere-se à tendência de uma determinada região permanecer encoberta por nuvens por longos períodos ou de forma recorrente</w:t>
      </w:r>
      <w:r>
        <w:rPr>
          <w:b/>
          <w:bCs/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 xml:space="preserve">(Sales et al., 2022). Segundo Flores-Anderson </w:t>
      </w:r>
      <w:r>
        <w:rPr>
          <w:i/>
          <w:iCs/>
          <w:sz w:val="24"/>
          <w:szCs w:val="24"/>
          <w:lang w:val="pt-BR"/>
        </w:rPr>
        <w:t>et al</w:t>
      </w:r>
      <w:r>
        <w:rPr>
          <w:sz w:val="24"/>
          <w:szCs w:val="24"/>
          <w:lang w:val="pt-BR"/>
        </w:rPr>
        <w:t>. (2023), essa persistência pode ser quantificada por meio de indicadores como o número anual de observações livres de nuvem, o máximo de dias consecutivos com dados válidos e o momento em que o primeiro pixel “limpo” volta a aparecer.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2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Estudos envolvendo redes neurais artificiais (RNA) para previsão da porcentagem de nuvens em imagens de sensoriamento remoto (Landsat 5 e 7), contribuem para o controle de qualidade de dados geoespaciais e o uso de IA possui erro inferior a 3%, a conformidade máxima de nuvens aceitável para uma região e período (Freitas; Penha; Volotão, 2015), apoiando o planejamento de projetos de aquisição de imagens e a gestão da completude de dados espaciais.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2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Dessa forma, este trabalho tem como objetivo analisar a persistência de nuvens e o tempo de invisibilidade na Região Metropolitana de Belém (RMB) no período de 2019 a 2024, utilizando imagens do satélite Sentinel-2 e o algoritmo </w:t>
      </w:r>
      <w:r>
        <w:rPr>
          <w:i/>
          <w:iCs/>
          <w:sz w:val="24"/>
          <w:szCs w:val="24"/>
          <w:lang w:val="pt-BR"/>
        </w:rPr>
        <w:t>s2cloudless</w:t>
      </w:r>
      <w:r>
        <w:rPr>
          <w:sz w:val="24"/>
          <w:szCs w:val="24"/>
          <w:lang w:val="pt-BR"/>
        </w:rPr>
        <w:t>, o qual estima a probabilidade de presença de nuvem em cada pixel por meio de aprendizado de máquina. A partir dessa análise, buscou-se identificar padrões espaciais e temporais de cobertura de nuvens e discutir como tais padrões influenciam a observação por sensores ópticos e a geração de informações ambientais na Região Metropolitana de Belém (RMB).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2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10"/>
        <w:jc w:val="both"/>
        <w:rPr>
          <w:lang w:val="pt-BR"/>
        </w:rPr>
      </w:pPr>
      <w:r>
        <w:rPr>
          <w:b/>
          <w:sz w:val="24"/>
          <w:szCs w:val="24"/>
          <w:lang w:val="pt-BR"/>
        </w:rPr>
        <w:t>2. METODOLOGIA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1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2.1 ÁREA DE ESTUDO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/>
      </w:pPr>
      <w:r>
        <w:rPr>
          <w:sz w:val="24"/>
          <w:szCs w:val="24"/>
          <w:lang w:val="pt-BR"/>
        </w:rPr>
        <w:t xml:space="preserve">A pesquisa foi realizada na Região Metropolitana de Belém (RMB), composta pelos municípios de Belém, Ananindeua, Marituba, Benevides, Barcarena, Santa Izabel do Pará, Santa Bárbara do Pará e Castanhal. Localizada na porção nordeste do estado do Pará, possui clima equatorial úmido, com elevadas temperaturas médias e pluviosidade anual superior a 2.800mm (IBGE, 2023; INMET, 2010). O regime pluviométrico é sazonal, sendo o período chuvoso entre janeiro e maio e período menos úmido entre junho e dezembro, o que influencia fortemente na cobertura de nuvens e por consequência, a visibilidade óptica dos sensores (Oliveira </w:t>
      </w:r>
      <w:r>
        <w:rPr>
          <w:i/>
          <w:iCs/>
          <w:sz w:val="24"/>
          <w:szCs w:val="24"/>
          <w:lang w:val="pt-BR"/>
        </w:rPr>
        <w:t>et al</w:t>
      </w:r>
      <w:r>
        <w:rPr>
          <w:sz w:val="24"/>
          <w:szCs w:val="24"/>
          <w:lang w:val="pt-BR"/>
        </w:rPr>
        <w:t>., 2016).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60"/>
        <w:jc w:val="both"/>
        <w:rPr/>
      </w:pPr>
      <w:r>
        <w:rPr>
          <w:sz w:val="24"/>
          <w:szCs w:val="24"/>
          <w:lang w:val="pt-BR"/>
        </w:rPr>
        <w:t>2.2 DADOS UTILIZADOS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/>
      </w:pPr>
      <w:r>
        <w:rPr>
          <w:sz w:val="24"/>
          <w:szCs w:val="24"/>
          <w:lang w:val="pt-BR"/>
        </w:rPr>
        <w:t xml:space="preserve">Foram utilizadas imagens ópticas do satélite Sentinel-2 (em nível L2A, reflectância de superfície) e o produto complementar S2Cloudless, ambos através do </w:t>
      </w:r>
      <w:r>
        <w:rPr>
          <w:i/>
          <w:iCs/>
          <w:sz w:val="24"/>
          <w:szCs w:val="24"/>
          <w:lang w:val="pt-BR"/>
        </w:rPr>
        <w:t>Google Earth Engine</w:t>
      </w:r>
      <w:r>
        <w:rPr>
          <w:sz w:val="24"/>
          <w:szCs w:val="24"/>
          <w:lang w:val="pt-BR"/>
        </w:rPr>
        <w:t xml:space="preserve"> (GEE). O Sentinel-2 conta com resolução espacial de 10 a 60 m e período de revisita de 5 dias, portanto, adequado para análises multitemporais em escala regional. O </w:t>
      </w:r>
      <w:r>
        <w:rPr>
          <w:i/>
          <w:iCs/>
          <w:sz w:val="24"/>
          <w:szCs w:val="24"/>
          <w:lang w:val="pt-BR"/>
        </w:rPr>
        <w:t>S2Cloudless</w:t>
      </w:r>
      <w:r>
        <w:rPr>
          <w:sz w:val="24"/>
          <w:szCs w:val="24"/>
          <w:lang w:val="pt-BR"/>
        </w:rPr>
        <w:t xml:space="preserve"> é um classificador que estima a probabilidade de cobertura por nuvens em cada pixel, desenvolvido pela Agência Espacial Europeia (ESA), possibilita filtragem automática de observações.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6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6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2.3 PERÍODO E PROCESSAMENTO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/>
      </w:pPr>
      <w:r>
        <w:rPr>
          <w:sz w:val="24"/>
          <w:szCs w:val="24"/>
          <w:lang w:val="pt-BR"/>
        </w:rPr>
        <w:t xml:space="preserve">O intervalo analisado se estendeu entre janeiro de 2019 a dezembro de 2024, através do GEE, foram filtradas as coleções </w:t>
      </w:r>
      <w:r>
        <w:rPr>
          <w:i/>
          <w:iCs/>
          <w:sz w:val="24"/>
          <w:szCs w:val="24"/>
          <w:lang w:val="pt-BR"/>
        </w:rPr>
        <w:t>COPERNICUS/S2_SR_HARMONIZED e COPERNICUS/S2_CLOUD_PROBABILITY</w:t>
      </w:r>
      <w:r>
        <w:rPr>
          <w:sz w:val="24"/>
          <w:szCs w:val="24"/>
          <w:lang w:val="pt-BR"/>
        </w:rPr>
        <w:t xml:space="preserve"> espacialmente para a área da RMB e temporalmente no período mencionado. Cada imagem foi associada por índice de aquisição e submetida à máscara de nuvem, foi considerada como “cena limpa” aquelas com pixels de probabilidade de nuvem inferior a 30% e não classificadas como sombra.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60"/>
        <w:jc w:val="both"/>
        <w:rPr/>
      </w:pPr>
      <w:r>
        <w:rPr>
          <w:sz w:val="24"/>
          <w:szCs w:val="24"/>
          <w:lang w:val="pt-BR"/>
        </w:rPr>
        <w:t>2.4 ANÁLISE TEMPORAL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/>
      </w:pPr>
      <w:r>
        <w:rPr>
          <w:sz w:val="24"/>
          <w:szCs w:val="24"/>
          <w:lang w:val="pt-BR"/>
        </w:rPr>
        <w:t>Foram geradas composições por mês, analisando-se a cada mês e para cada pixel a presença ou ausência de ao menos uma cena limpa. Com isso, gerou-se imagens binárias e foram calculadas a fração imagem da área da RMB com observação óptica válida em cada mês, sendo representada graficamente como série temporal. Este indicador possibilita a compreensão da sazonalidade da cobertura de nuvens, destacando os períodos de maior criticidade para observação por satélites ópticos.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60"/>
        <w:jc w:val="both"/>
        <w:rPr/>
      </w:pPr>
      <w:r>
        <w:rPr>
          <w:sz w:val="24"/>
          <w:szCs w:val="24"/>
          <w:lang w:val="pt-BR"/>
        </w:rPr>
        <w:t>2.5 ANÁLISE ESPACIAL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/>
      </w:pPr>
      <w:r>
        <w:rPr>
          <w:sz w:val="24"/>
          <w:szCs w:val="24"/>
          <w:lang w:val="pt-BR"/>
        </w:rPr>
        <w:t xml:space="preserve">As imagens mensais foram utilizadas para estimar em cada pixel, o máximo de meses consecutivos sem observação limpa no período total (2019-2024). O resultado foi um mapa de persistência de nuvens, com valores que variam de 0 a 12 meses. O produto da imagem gerada no GEE foi exportado em formato </w:t>
      </w:r>
      <w:r>
        <w:rPr>
          <w:i/>
          <w:iCs/>
          <w:sz w:val="24"/>
          <w:szCs w:val="24"/>
          <w:lang w:val="pt-BR"/>
        </w:rPr>
        <w:t>GeoTIFF</w:t>
      </w:r>
      <w:r>
        <w:rPr>
          <w:sz w:val="24"/>
          <w:szCs w:val="24"/>
          <w:lang w:val="pt-BR"/>
        </w:rPr>
        <w:t xml:space="preserve"> para ser pós-processado no QGIS 3.40 para inserção de camadas com corpos hídricos e limites municipais. 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60"/>
        <w:jc w:val="both"/>
        <w:rPr/>
      </w:pPr>
      <w:r>
        <w:rPr>
          <w:sz w:val="24"/>
          <w:szCs w:val="24"/>
          <w:lang w:val="pt-BR"/>
        </w:rPr>
        <w:t>2.6 INTEGRAÇÃO E REPRESENTAÇÃO GRÁFICA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/>
      </w:pPr>
      <w:r>
        <w:rPr>
          <w:sz w:val="24"/>
          <w:szCs w:val="24"/>
          <w:lang w:val="pt-BR"/>
        </w:rPr>
        <w:t xml:space="preserve">As frações mensais que foram extraídas no GEE também foram exportadas para o ambiente </w:t>
      </w:r>
      <w:r>
        <w:rPr>
          <w:i/>
          <w:iCs/>
          <w:sz w:val="24"/>
          <w:szCs w:val="24"/>
          <w:lang w:val="pt-BR"/>
        </w:rPr>
        <w:t>Spyder 6</w:t>
      </w:r>
      <w:r>
        <w:rPr>
          <w:sz w:val="24"/>
          <w:szCs w:val="24"/>
          <w:lang w:val="pt-BR"/>
        </w:rPr>
        <w:t>, onde foi calculada a média ponderada pela área municipal, assim obtendo uma única série representativa para a RMB, passo este para contornar limitações do GEE. O gráfico obtido mostra a variação temporal da visibilidade óptica da região, possibilitando comparar a influência sazonal da nebulosidade.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60"/>
        <w:jc w:val="both"/>
        <w:rPr/>
      </w:pPr>
      <w:r>
        <w:rPr>
          <w:b/>
          <w:sz w:val="24"/>
          <w:szCs w:val="24"/>
          <w:lang w:val="pt-BR"/>
        </w:rPr>
        <w:t>3. RESULTADOS E DISCUSSÃO</w:t>
      </w:r>
    </w:p>
    <w:p>
      <w:pPr>
        <w:pStyle w:val="Normal"/>
        <w:shd w:val="clear" w:color="auto" w:fill="FFFFFF"/>
        <w:tabs>
          <w:tab w:val="clear" w:pos="720"/>
          <w:tab w:val="left" w:pos="2500" w:leader="none"/>
        </w:tabs>
        <w:spacing w:lineRule="auto" w:line="360"/>
        <w:jc w:val="both"/>
        <w:rPr/>
      </w:pPr>
      <w:r>
        <w:rPr>
          <w:sz w:val="24"/>
          <w:szCs w:val="24"/>
          <w:lang w:val="pt-BR"/>
        </w:rPr>
        <w:t>3.1 PADRÕES DE COBERTURA DE NUVENS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/>
      </w:pPr>
      <w:r>
        <w:rPr>
          <w:sz w:val="24"/>
          <w:szCs w:val="24"/>
          <w:lang w:val="pt-BR"/>
        </w:rPr>
        <w:t xml:space="preserve">O período da análise revelou alta variabilidade temporal na presença de nuvens sobre a RMB. Os valores da fração limpa mensal oscilaram entre 0,05 (fev/2020) e 1,00 (jun/2024), evidenciando períodos de completa obstrução óptica e meses com observação total da superfície, o que indica um período chamado de “Inverno Amazônico”, onde a região estudada passa por intensas chuvas diárias. A variação constatada expressa o contraste típico do clima amazônico, onde o período chuvoso reduz de forma drástica a disponibilidade de imagens úteis, enquanto o período seco amplia as janelas de observação (Hashimoto </w:t>
      </w:r>
      <w:r>
        <w:rPr>
          <w:i/>
          <w:iCs/>
          <w:sz w:val="24"/>
          <w:szCs w:val="24"/>
          <w:lang w:val="pt-BR"/>
        </w:rPr>
        <w:t>et al</w:t>
      </w:r>
      <w:r>
        <w:rPr>
          <w:sz w:val="24"/>
          <w:szCs w:val="24"/>
          <w:lang w:val="pt-BR"/>
        </w:rPr>
        <w:t>., 2021).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/>
      </w:pPr>
      <w:r>
        <w:rPr>
          <w:sz w:val="24"/>
          <w:szCs w:val="24"/>
          <w:lang w:val="pt-BR"/>
        </w:rPr>
        <w:t>O gráfico (Figura 1) de fração limpa mensal sintetiza tal comportamento: um padrão de mínima observabilidade ocorre entre janeiro e março, seguido por uma elevação gradual até o máximo entre julho e outubro, antes do retorno do período chuvoso. Nota-se que mesmo dentro do período seco acontecem flutuações interanuais, possivelmente relacionadas a eventos de variabilidade climática, tais como El Niño (2023-2024) que afetam a nebulosidade regional.</w:t>
      </w:r>
    </w:p>
    <w:p>
      <w:pPr>
        <w:pStyle w:val="Normal"/>
        <w:shd w:val="clear" w:color="auto" w:fill="FFFFFF" w:themeFill="background1"/>
        <w:tabs>
          <w:tab w:val="clear" w:pos="720"/>
          <w:tab w:val="left" w:pos="699" w:leader="none"/>
        </w:tabs>
        <w:spacing w:lineRule="auto" w:line="360"/>
        <w:jc w:val="center"/>
        <w:rPr/>
      </w:pPr>
      <w:r>
        <w:rPr>
          <w:shd w:fill="FFFFFF" w:val="clear"/>
          <w:lang w:val="pt-BR"/>
        </w:rPr>
        <w:t xml:space="preserve">Figura 1 – </w:t>
      </w:r>
      <w:r>
        <w:rPr>
          <w:color w:val="000000"/>
          <w:shd w:fill="FFFFFF" w:val="clear"/>
          <w:lang w:val="pt-BR"/>
        </w:rPr>
        <w:t>Fração da área da Região Metropolitana de Belém com</w:t>
      </w:r>
      <w:r>
        <w:rPr>
          <w:color w:val="FF0000"/>
          <w:shd w:fill="FFFFFF" w:val="clear"/>
          <w:lang w:val="pt-BR"/>
        </w:rPr>
        <w:t xml:space="preserve"> </w:t>
      </w:r>
      <w:r>
        <w:rPr/>
        <w:t>≥1 cena limpa por mês (2019-2024)</w:t>
      </w:r>
    </w:p>
    <w:p>
      <w:pPr>
        <w:pStyle w:val="Normal"/>
        <w:shd w:val="clear" w:color="auto" w:fill="FFFFFF" w:themeFill="background1"/>
        <w:tabs>
          <w:tab w:val="clear" w:pos="720"/>
          <w:tab w:val="left" w:pos="699" w:leader="none"/>
        </w:tabs>
        <w:spacing w:lineRule="auto" w:line="360"/>
        <w:rPr/>
      </w:pPr>
      <w:r>
        <w:drawing>
          <wp:anchor behindDoc="0" distT="0" distB="0" distL="0" distR="0" simplePos="0" locked="0" layoutInCell="0" allowOverlap="1" relativeHeight="67">
            <wp:simplePos x="0" y="0"/>
            <wp:positionH relativeFrom="column">
              <wp:align>center</wp:align>
            </wp:positionH>
            <wp:positionV relativeFrom="paragraph">
              <wp:posOffset>85725</wp:posOffset>
            </wp:positionV>
            <wp:extent cx="5640070" cy="2634615"/>
            <wp:effectExtent l="0" t="0" r="0" b="0"/>
            <wp:wrapTopAndBottom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571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263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hd w:fill="FFFFFF" w:val="clear"/>
        </w:rPr>
        <w:t xml:space="preserve">Fonte: </w:t>
      </w:r>
      <w:r>
        <w:rPr>
          <w:color w:val="000000"/>
          <w:shd w:fill="FFFFFF" w:val="clear"/>
        </w:rPr>
        <w:t>Autores, 2025.</w:t>
      </w:r>
    </w:p>
    <w:p>
      <w:pPr>
        <w:pStyle w:val="Normal"/>
        <w:shd w:val="clear" w:color="auto" w:fill="FFFFFF" w:themeFill="background1"/>
        <w:tabs>
          <w:tab w:val="clear" w:pos="720"/>
          <w:tab w:val="left" w:pos="699" w:leader="none"/>
        </w:tabs>
        <w:spacing w:lineRule="auto" w:line="360"/>
        <w:rPr>
          <w:color w:themeColor="text1" w:val="000000"/>
          <w:lang w:val="pt-BR"/>
        </w:rPr>
      </w:pPr>
      <w:r>
        <w:rPr>
          <w:color w:themeColor="text1" w:val="000000"/>
          <w:lang w:val="pt-BR"/>
        </w:rPr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jc w:val="both"/>
        <w:rPr/>
      </w:pPr>
      <w:r>
        <w:rPr>
          <w:sz w:val="24"/>
          <w:szCs w:val="24"/>
        </w:rPr>
        <w:t>4.2 PERSISTÊNCIA ESPACIAL DE NUVENS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/>
      </w:pPr>
      <w:r>
        <w:rPr>
          <w:color w:val="000000"/>
          <w:sz w:val="24"/>
          <w:szCs w:val="24"/>
        </w:rPr>
        <w:t>A Figura 2 sintetiza o máximo de meses consecutivos sem cena limpa, por pixel, revelando intervalos que variam entre 3 a 4 meses, com uma média global de 3,5 meses, sem observação óptica em porções específicas da RMB.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jc w:val="center"/>
        <w:rPr/>
      </w:pPr>
      <w:r>
        <w:rPr>
          <w:lang w:val="pt-BR"/>
        </w:rPr>
        <w:t>Figura 2 – Persistência máxima de nuvens na Região Metropolitana de Belém.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rPr/>
      </w:pPr>
      <w:r>
        <w:drawing>
          <wp:anchor behindDoc="0" distT="0" distB="0" distL="0" distR="0" simplePos="0" locked="0" layoutInCell="0" allowOverlap="1" relativeHeight="66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5760085" cy="3413125"/>
            <wp:effectExtent l="0" t="0" r="0" b="0"/>
            <wp:wrapSquare wrapText="largest"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390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hd w:fill="FFFFFF" w:val="clear"/>
          <w:lang w:val="pt-BR"/>
        </w:rPr>
        <w:t>Fonte: Autores, 2025.</w:t>
      </w:r>
    </w:p>
    <w:p>
      <w:pPr>
        <w:pStyle w:val="Normal"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/>
        <w:rPr>
          <w:color w:val="FF0000"/>
          <w:shd w:fill="FFFFFF" w:val="clear"/>
          <w:lang w:val="pt-BR"/>
        </w:rPr>
      </w:pPr>
      <w:r>
        <w:rPr>
          <w:color w:val="FF0000"/>
          <w:shd w:fill="FFFFFF" w:val="clear"/>
          <w:lang w:val="pt-BR"/>
        </w:rPr>
      </w:r>
    </w:p>
    <w:p>
      <w:pPr>
        <w:pStyle w:val="Normal"/>
        <w:widowControl/>
        <w:spacing w:lineRule="auto" w:line="360" w:before="0" w:after="240"/>
        <w:ind w:firstLine="720"/>
        <w:jc w:val="both"/>
        <w:rPr/>
      </w:pPr>
      <w:r>
        <w:rPr>
          <w:sz w:val="24"/>
          <w:szCs w:val="24"/>
          <w:lang w:val="pt-BR"/>
        </w:rPr>
        <w:t>A análise por município evidenciou variações locais na persistência de nuvens. Os valores médios variaram entre 3,17 e 3,96 meses, com Barcarena apresentando a menor média e Ananindeua a maior. Belém e Castanhal apresentaram valores intermediários, próximos da média regional (3,5 meses). As estatísticas municipais reforçam a heterogeneidade espacial observada no mapa, evidenciando que a persistência de nuvens não é uniforme dentro da RMB. Alguns fatores que podem estar relacionados a essas variações incluem a taxa de urbanização, a cobertura vegetal e a proximidade de corpos hídricos, que influenciam a umidade e a dinâmica atmosférica local, mas que podem ser explorados de maneira mais eficiente em estudos específicos ou em análises futuras.</w:t>
      </w:r>
    </w:p>
    <w:p>
      <w:pPr>
        <w:pStyle w:val="Normal"/>
        <w:widowControl/>
        <w:spacing w:lineRule="auto" w:line="360" w:before="0" w:after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pacing w:lineRule="auto" w:line="360" w:before="0" w:after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pacing w:lineRule="auto" w:line="360" w:before="0" w:after="240"/>
        <w:jc w:val="both"/>
        <w:rPr>
          <w:sz w:val="24"/>
          <w:szCs w:val="24"/>
        </w:rPr>
      </w:pPr>
      <w:r>
        <w:rPr>
          <w:sz w:val="24"/>
          <w:szCs w:val="24"/>
        </w:rPr>
        <w:t>4.3 LIMITAÇÕES DO MODELO S2CLOUDLESS</w:t>
      </w:r>
    </w:p>
    <w:p>
      <w:pPr>
        <w:pStyle w:val="Normal"/>
        <w:widowControl/>
        <w:spacing w:lineRule="auto" w:line="360" w:before="0" w:after="240"/>
        <w:ind w:firstLine="720"/>
        <w:jc w:val="both"/>
        <w:rPr/>
      </w:pPr>
      <w:r>
        <w:rPr>
          <w:sz w:val="24"/>
          <w:szCs w:val="24"/>
        </w:rPr>
        <w:t xml:space="preserve">Devem ser consideradas também as limitações do modelo </w:t>
      </w:r>
      <w:r>
        <w:rPr>
          <w:i/>
          <w:iCs/>
          <w:sz w:val="24"/>
          <w:szCs w:val="24"/>
        </w:rPr>
        <w:t xml:space="preserve">s2cloudless </w:t>
      </w:r>
      <w:r>
        <w:rPr>
          <w:sz w:val="24"/>
          <w:szCs w:val="24"/>
        </w:rPr>
        <w:t xml:space="preserve">onde podem ocorrer falsos-positivos como na Figura 3, como prédios e galpões, que podem ser classificados como nuvens durante todas as imagens realizadas, marcando aquele pixel como sempre coberto. Como Flores-Anderson (2023) reportou, a qualidade dos dados de deteção de nuvens dependem intrinsecamente da precisão dos algoritmos de máscara, e mesmo o </w:t>
      </w:r>
      <w:r>
        <w:rPr>
          <w:i/>
          <w:iCs/>
          <w:sz w:val="24"/>
          <w:szCs w:val="24"/>
        </w:rPr>
        <w:t>s2cloudless</w:t>
      </w:r>
      <w:r>
        <w:rPr>
          <w:sz w:val="24"/>
          <w:szCs w:val="24"/>
        </w:rPr>
        <w:t xml:space="preserve"> apresenta erros, classificando áreas limpas em nebulosas. Como avaliado por Skakun </w:t>
      </w:r>
      <w:r>
        <w:rPr>
          <w:i/>
          <w:iCs/>
          <w:sz w:val="24"/>
          <w:szCs w:val="24"/>
        </w:rPr>
        <w:t xml:space="preserve">et al. </w:t>
      </w:r>
      <w:r>
        <w:rPr>
          <w:sz w:val="24"/>
          <w:szCs w:val="24"/>
        </w:rPr>
        <w:t>(2022) a acurácia global deste algoritmo varia entre 85,2% e 93,1%. Mas ainda assim é possível resolver o problema de previsão de percentagem de nuvem em uma determinada região (Freitas; Penha; Volotão, 2015).</w:t>
      </w:r>
    </w:p>
    <w:p>
      <w:pPr>
        <w:pStyle w:val="Normal"/>
        <w:widowControl/>
        <w:tabs>
          <w:tab w:val="clear" w:pos="720"/>
          <w:tab w:val="left" w:pos="1290" w:leader="none"/>
        </w:tabs>
        <w:spacing w:lineRule="auto" w:line="360" w:before="0" w:after="160"/>
        <w:jc w:val="center"/>
        <w:rPr/>
      </w:pPr>
      <w:r>
        <w:rPr>
          <w:lang w:val="pt-BR"/>
        </w:rPr>
        <w:t>Figura 3 – Falso positivo de nuvem – superfície metálica altamente refletiva.</w:t>
      </w:r>
    </w:p>
    <w:p>
      <w:pPr>
        <w:pStyle w:val="Normal"/>
        <w:widowControl/>
        <w:tabs>
          <w:tab w:val="clear" w:pos="720"/>
          <w:tab w:val="left" w:pos="1290" w:leader="none"/>
        </w:tabs>
        <w:spacing w:lineRule="auto" w:line="360" w:before="0" w:after="160"/>
        <w:jc w:val="center"/>
        <w:rPr/>
      </w:pPr>
      <w:r>
        <w:rPr/>
        <w:drawing>
          <wp:inline distT="0" distB="0" distL="0" distR="0">
            <wp:extent cx="5052695" cy="1552575"/>
            <wp:effectExtent l="0" t="0" r="0" b="0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hd w:val="clear" w:color="auto" w:fill="FFFFFF" w:themeFill="background1"/>
        <w:tabs>
          <w:tab w:val="clear" w:pos="720"/>
          <w:tab w:val="left" w:pos="2500" w:leader="none"/>
        </w:tabs>
        <w:spacing w:lineRule="auto" w:line="360" w:before="0" w:after="160"/>
        <w:rPr/>
      </w:pPr>
      <w:r>
        <w:rPr>
          <w:lang w:val="pt-BR"/>
        </w:rPr>
        <w:t>Fonte: Autores, 2025.</w:t>
      </w:r>
    </w:p>
    <w:p>
      <w:pPr>
        <w:pStyle w:val="Normal"/>
        <w:widowControl/>
        <w:spacing w:lineRule="auto" w:line="360" w:before="0" w:after="240"/>
        <w:jc w:val="both"/>
        <w:rPr/>
      </w:pPr>
      <w:r>
        <w:rPr>
          <w:b/>
          <w:bCs/>
          <w:sz w:val="24"/>
          <w:szCs w:val="24"/>
          <w:lang w:val="pt-BR"/>
        </w:rPr>
        <w:t>4. CONSIDERAÇÕES FINAIS</w:t>
      </w:r>
    </w:p>
    <w:p>
      <w:pPr>
        <w:pStyle w:val="BodyText"/>
        <w:widowControl/>
        <w:tabs>
          <w:tab w:val="clear" w:pos="720"/>
          <w:tab w:val="left" w:pos="1290" w:leader="none"/>
        </w:tabs>
        <w:spacing w:lineRule="auto" w:line="360" w:before="0" w:after="160"/>
        <w:ind w:firstLine="720"/>
        <w:jc w:val="both"/>
        <w:rPr/>
      </w:pPr>
      <w:r>
        <w:rPr/>
        <w:t>A análise da persistência de nuvens na Região Metropolitana de Belém (RMB), no período de 2019 a 2024, evidencia um padrão marcadamente sazonal e espacialmente heterogêneo. O gráfico temporal da fração mensal da área com ao menos uma cena limpa reforça esse comportamento, evidenciando a sazonalidade climática típica da região. Durante a estação chuvosa, de dezembro a maio, a fração de área observável cai fortemente, atingindo valores inferiores a 0,2, o que significa que menos de 20% da RMB dispõe de imagem livre de nuvens em determinados meses. Já no período menos úmido, de junho a novembro, a fração frequentemente se aproxima de 1, indicando ampla disponibilidade de cenas limpas. Esse ciclo anual confirma a relação direta entre o regime pluviométrico amazônico e a dinâmica da cobertura de nuvens.</w:t>
      </w:r>
    </w:p>
    <w:p>
      <w:pPr>
        <w:pStyle w:val="BodyText"/>
        <w:widowControl/>
        <w:tabs>
          <w:tab w:val="clear" w:pos="720"/>
          <w:tab w:val="left" w:pos="1290" w:leader="none"/>
        </w:tabs>
        <w:spacing w:lineRule="auto" w:line="360" w:before="0" w:after="160"/>
        <w:ind w:firstLine="709"/>
        <w:jc w:val="both"/>
        <w:rPr/>
      </w:pPr>
      <w:r>
        <w:rPr/>
        <w:t>Os resultados reforçam a importância de compreender a persistência de nuvens como um fator determinante para o planejamento de coletas de dados ópticos e para a execução de análises ambientais na Amazônia Oriental. A quantificação dos períodos de invisibilidade óptica e a identificação das variações espaciais observadas oferecem subsídios práticos para o uso mais eficiente de imagens de satélite e para a integração de sensores ópticos e de radar. Assim, o estudo contribui para aprimorar as estratégias de monitoramento ambiental em uma das regiões mais complexas e desafiadoras do planeta.</w:t>
      </w:r>
    </w:p>
    <w:p>
      <w:pPr>
        <w:pStyle w:val="Normal"/>
        <w:widowControl/>
        <w:tabs>
          <w:tab w:val="clear" w:pos="720"/>
          <w:tab w:val="left" w:pos="1290" w:leader="none"/>
        </w:tabs>
        <w:spacing w:lineRule="auto" w:line="360" w:before="0" w:after="160"/>
        <w:jc w:val="both"/>
        <w:rPr>
          <w:lang w:val="en-US"/>
        </w:rPr>
      </w:pPr>
      <w:r>
        <w:rPr>
          <w:b/>
          <w:bCs/>
          <w:sz w:val="24"/>
          <w:szCs w:val="24"/>
          <w:lang w:val="en-US"/>
        </w:rPr>
        <w:t>REFERÊNCIAS</w:t>
      </w:r>
    </w:p>
    <w:p>
      <w:pPr>
        <w:pStyle w:val="Normal"/>
        <w:spacing w:before="240" w:after="24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AHMADI, A.; MOHAMMADI, M.; NADRY, Z.; NAZARI, A.; ARGAWAN, S. Unveiling the complexity of Earth's dynamic ecosystems: harnessing the power of remote sensing for environmental analysis. </w:t>
      </w:r>
      <w:r>
        <w:rPr>
          <w:i/>
          <w:iCs/>
          <w:sz w:val="24"/>
          <w:szCs w:val="24"/>
          <w:lang w:val="en-US"/>
        </w:rPr>
        <w:t>Indonesian Journal of Earth Sciences</w:t>
      </w:r>
      <w:r>
        <w:rPr>
          <w:sz w:val="24"/>
          <w:szCs w:val="24"/>
          <w:lang w:val="en-US"/>
        </w:rPr>
        <w:t xml:space="preserve">, 2023. Disponível em: </w:t>
      </w:r>
      <w:hyperlink r:id="rId5">
        <w:r>
          <w:rPr>
            <w:rStyle w:val="Hyperlink"/>
            <w:color w:val="auto"/>
            <w:sz w:val="24"/>
            <w:szCs w:val="24"/>
            <w:u w:val="none"/>
            <w:lang w:val="en-US"/>
          </w:rPr>
          <w:t>https://doi.org/10.52562/injoes.2023.827</w:t>
        </w:r>
      </w:hyperlink>
      <w:r>
        <w:rPr>
          <w:sz w:val="24"/>
          <w:szCs w:val="24"/>
          <w:lang w:val="en-US"/>
        </w:rPr>
        <w:t xml:space="preserve">. </w:t>
      </w:r>
    </w:p>
    <w:p>
      <w:pPr>
        <w:pStyle w:val="Normal"/>
        <w:spacing w:before="240" w:after="24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BEZERRA, E.; MAFALDA, S.; ALVAREZ, A.; UMAN-FLORES, D.; PEREZ-TORRES, W.; PALOMINO-QUISPE, F. A cloud coverage image reconstruction approach for remote sensing of temperature and vegetation in Amazon rainforest. </w:t>
      </w:r>
      <w:r>
        <w:rPr>
          <w:i/>
          <w:iCs/>
          <w:sz w:val="24"/>
          <w:szCs w:val="24"/>
          <w:lang w:val="en-US"/>
        </w:rPr>
        <w:t>Applied Sciences</w:t>
      </w:r>
      <w:r>
        <w:rPr>
          <w:sz w:val="24"/>
          <w:szCs w:val="24"/>
          <w:lang w:val="en-US"/>
        </w:rPr>
        <w:t xml:space="preserve">, 2023. Disponível em: </w:t>
      </w:r>
      <w:hyperlink r:id="rId6">
        <w:r>
          <w:rPr>
            <w:rStyle w:val="Hyperlink"/>
            <w:color w:val="auto"/>
            <w:sz w:val="24"/>
            <w:szCs w:val="24"/>
            <w:u w:val="none"/>
            <w:lang w:val="en-US"/>
          </w:rPr>
          <w:t>https://doi.org/10.3390/app132312900</w:t>
        </w:r>
      </w:hyperlink>
      <w:r>
        <w:rPr>
          <w:sz w:val="24"/>
          <w:szCs w:val="24"/>
          <w:lang w:val="en-US"/>
        </w:rPr>
        <w:t>.</w:t>
      </w:r>
    </w:p>
    <w:p>
      <w:pPr>
        <w:pStyle w:val="Normal"/>
        <w:spacing w:before="240" w:after="24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en-US"/>
        </w:rPr>
        <w:t xml:space="preserve">FLORES-ANDERSON, A. I.; CARDILLE, J.; AZAD, K. </w:t>
      </w:r>
      <w:r>
        <w:rPr>
          <w:i/>
          <w:iCs/>
          <w:sz w:val="24"/>
          <w:szCs w:val="24"/>
          <w:lang w:val="en-US"/>
        </w:rPr>
        <w:t>et al.</w:t>
      </w:r>
      <w:r>
        <w:rPr>
          <w:sz w:val="24"/>
          <w:szCs w:val="24"/>
          <w:lang w:val="en-US"/>
        </w:rPr>
        <w:t xml:space="preserve"> Spatial and temporal availability of cloud-free optical observations in the tropics to monitor deforestation. </w:t>
      </w:r>
      <w:r>
        <w:rPr>
          <w:i/>
          <w:iCs/>
          <w:sz w:val="24"/>
          <w:szCs w:val="24"/>
          <w:lang w:val="pt-BR"/>
        </w:rPr>
        <w:t>Scientific Data</w:t>
      </w:r>
      <w:r>
        <w:rPr>
          <w:sz w:val="24"/>
          <w:szCs w:val="24"/>
          <w:lang w:val="pt-BR"/>
        </w:rPr>
        <w:t xml:space="preserve">, v. 10, p. 550, 2023. Disponível em: </w:t>
      </w:r>
      <w:hyperlink r:id="rId7">
        <w:r>
          <w:rPr>
            <w:rStyle w:val="Hyperlink"/>
            <w:color w:val="auto"/>
            <w:sz w:val="24"/>
            <w:szCs w:val="24"/>
            <w:u w:val="none"/>
            <w:lang w:val="pt-BR"/>
          </w:rPr>
          <w:t>https://doi.org/10.1038/s41597-023-02439-x</w:t>
        </w:r>
      </w:hyperlink>
      <w:r>
        <w:rPr>
          <w:sz w:val="24"/>
          <w:szCs w:val="24"/>
          <w:lang w:val="pt-BR"/>
        </w:rPr>
        <w:t xml:space="preserve">. </w:t>
      </w:r>
    </w:p>
    <w:p>
      <w:pPr>
        <w:pStyle w:val="Normal"/>
        <w:spacing w:lineRule="auto" w:line="259" w:before="240" w:after="240"/>
        <w:jc w:val="both"/>
        <w:rPr/>
      </w:pPr>
      <w:r>
        <w:rPr>
          <w:sz w:val="24"/>
          <w:szCs w:val="24"/>
          <w:lang w:val="pt-BR"/>
        </w:rPr>
        <w:t xml:space="preserve">FREITAS, T.P.M; PENHA, A.L.T; VOLOTÃO, C.F. de S.. </w:t>
      </w:r>
      <w:r>
        <w:rPr>
          <w:i/>
          <w:iCs/>
          <w:sz w:val="24"/>
          <w:szCs w:val="24"/>
          <w:lang w:val="pt-BR"/>
        </w:rPr>
        <w:t>Definição de limiares de aceitação para porcentagem de nuvem por Redes Neurais Artificiais para controle de qualidade de dados geoespaciais – estudo de caso de imagens Landsat.</w:t>
      </w:r>
      <w:r>
        <w:rPr>
          <w:sz w:val="24"/>
          <w:szCs w:val="24"/>
          <w:lang w:val="pt-BR"/>
        </w:rPr>
        <w:t xml:space="preserve"> Anais do XVII Simpósio Brasileiro de Sensoriamento Remoto – SBSR, João Pessoa, PB, INPE, 2015, p. 5454–5460.</w:t>
      </w:r>
    </w:p>
    <w:p>
      <w:pPr>
        <w:pStyle w:val="Normal"/>
        <w:spacing w:lineRule="auto" w:line="259" w:before="240" w:after="24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FREITAS, T.P.M; OLIVEIRA, R.A.A.C. </w:t>
      </w:r>
      <w:r>
        <w:rPr>
          <w:i/>
          <w:iCs/>
          <w:sz w:val="24"/>
          <w:szCs w:val="24"/>
          <w:lang w:val="pt-BR"/>
        </w:rPr>
        <w:t>Caracterização de nuvens em imagem do satélite Landsat 5 no Município de Acará-PA.</w:t>
      </w:r>
      <w:r>
        <w:rPr>
          <w:sz w:val="24"/>
          <w:szCs w:val="24"/>
          <w:lang w:val="pt-BR"/>
        </w:rPr>
        <w:t xml:space="preserve"> In: SIMPÓSIO BRASILEIRO DE SENSORIAMENTO REMOTO, 18., 2017, Santos. </w:t>
      </w:r>
      <w:r>
        <w:rPr>
          <w:i/>
          <w:iCs/>
          <w:sz w:val="24"/>
          <w:szCs w:val="24"/>
          <w:lang w:val="pt-BR"/>
        </w:rPr>
        <w:t>Anais...</w:t>
      </w:r>
      <w:r>
        <w:rPr>
          <w:sz w:val="24"/>
          <w:szCs w:val="24"/>
          <w:lang w:val="pt-BR"/>
        </w:rPr>
        <w:t xml:space="preserve"> Santos: INPE, 2017. p. 3078-3083. ISBN 978-85-17-00088-1. Disponível em: https://proceedings.galoa.com.br/sbsr. Acesso em: 30 out. 2025.</w:t>
      </w:r>
    </w:p>
    <w:p>
      <w:pPr>
        <w:pStyle w:val="Normal"/>
        <w:spacing w:before="240" w:after="24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HASHIMOTO, H.; WANG, W.; DUNGAN, J.; LI, S.; MICHAELIS, A.; TAKENAKA, H.; HIGUCHI, A.; MYNENI, R.; NEMANI, R. Observações de satélite geoestacionário de nova geração apoiam a sazonalidade no verde das florestas perenes da Amazônia. </w:t>
      </w:r>
      <w:r>
        <w:rPr>
          <w:i/>
          <w:iCs/>
          <w:sz w:val="24"/>
          <w:szCs w:val="24"/>
          <w:lang w:val="pt-BR"/>
        </w:rPr>
        <w:t>Nature Communications</w:t>
      </w:r>
      <w:r>
        <w:rPr>
          <w:sz w:val="24"/>
          <w:szCs w:val="24"/>
          <w:lang w:val="pt-BR"/>
        </w:rPr>
        <w:t xml:space="preserve">, v. 12, 2021. Disponível em: </w:t>
      </w:r>
      <w:hyperlink r:id="rId8">
        <w:r>
          <w:rPr>
            <w:rStyle w:val="Hyperlink"/>
            <w:color w:val="auto"/>
            <w:sz w:val="24"/>
            <w:szCs w:val="24"/>
            <w:u w:val="none"/>
            <w:lang w:val="pt-BR"/>
          </w:rPr>
          <w:t>https://doi.org/10.1038/s41467-021-20994-y</w:t>
        </w:r>
      </w:hyperlink>
      <w:r>
        <w:rPr>
          <w:sz w:val="24"/>
          <w:szCs w:val="24"/>
          <w:lang w:val="pt-BR"/>
        </w:rPr>
        <w:t>.</w:t>
      </w:r>
    </w:p>
    <w:p>
      <w:pPr>
        <w:pStyle w:val="Normal"/>
        <w:spacing w:before="240" w:after="24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INSTITUTO NACIONAL DE METEOROLOGIA (INMET). </w:t>
      </w:r>
      <w:r>
        <w:rPr>
          <w:i/>
          <w:iCs/>
          <w:sz w:val="24"/>
          <w:szCs w:val="24"/>
          <w:lang w:val="pt-BR"/>
        </w:rPr>
        <w:t>Normais climatológicas do Brasil 1981–2010.</w:t>
      </w:r>
      <w:r>
        <w:rPr>
          <w:sz w:val="24"/>
          <w:szCs w:val="24"/>
          <w:lang w:val="pt-BR"/>
        </w:rPr>
        <w:t xml:space="preserve"> Brasília, 2010. Disponível em: </w:t>
      </w:r>
      <w:hyperlink r:id="rId9">
        <w:r>
          <w:rPr>
            <w:rStyle w:val="Hyperlink"/>
            <w:color w:val="auto"/>
            <w:sz w:val="24"/>
            <w:szCs w:val="24"/>
            <w:u w:val="none"/>
            <w:lang w:val="pt-BR"/>
          </w:rPr>
          <w:t>https://portal.inmet.gov.br/normais</w:t>
        </w:r>
      </w:hyperlink>
      <w:r>
        <w:rPr>
          <w:sz w:val="24"/>
          <w:szCs w:val="24"/>
          <w:lang w:val="pt-BR"/>
        </w:rPr>
        <w:t xml:space="preserve">. </w:t>
      </w:r>
    </w:p>
    <w:p>
      <w:pPr>
        <w:pStyle w:val="Normal"/>
        <w:spacing w:before="240" w:after="24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INSTITUTO BRASILEIRO DE GEOGRAFIA E ESTATÍSTICA (IBGE). </w:t>
      </w:r>
      <w:r>
        <w:rPr>
          <w:i/>
          <w:iCs/>
          <w:sz w:val="24"/>
          <w:szCs w:val="24"/>
          <w:lang w:val="pt-BR"/>
        </w:rPr>
        <w:t>Belém (PA): panorama.</w:t>
      </w:r>
      <w:r>
        <w:rPr>
          <w:sz w:val="24"/>
          <w:szCs w:val="24"/>
          <w:lang w:val="pt-BR"/>
        </w:rPr>
        <w:t xml:space="preserve"> 2023. Disponível em: </w:t>
      </w:r>
      <w:hyperlink r:id="rId10">
        <w:r>
          <w:rPr>
            <w:rStyle w:val="Hyperlink"/>
            <w:color w:val="auto"/>
            <w:sz w:val="24"/>
            <w:szCs w:val="24"/>
            <w:u w:val="none"/>
            <w:lang w:val="pt-BR"/>
          </w:rPr>
          <w:t>https://cidades.ibge.gov.br/brasil/pa/belem/panorama</w:t>
        </w:r>
      </w:hyperlink>
      <w:r>
        <w:rPr>
          <w:sz w:val="24"/>
          <w:szCs w:val="24"/>
          <w:lang w:val="pt-BR"/>
        </w:rPr>
        <w:t xml:space="preserve">. </w:t>
      </w:r>
    </w:p>
    <w:p>
      <w:pPr>
        <w:pStyle w:val="Normal"/>
        <w:spacing w:before="240" w:after="24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en-US"/>
        </w:rPr>
        <w:t xml:space="preserve">LING, J.; ZHANG, H.; LIN, Y. Improving urban land cover classification in cloud-prone areas with polarimetric SAR images. </w:t>
      </w:r>
      <w:r>
        <w:rPr>
          <w:i/>
          <w:iCs/>
          <w:sz w:val="24"/>
          <w:szCs w:val="24"/>
          <w:lang w:val="pt-BR"/>
        </w:rPr>
        <w:t>Remote Sensing</w:t>
      </w:r>
      <w:r>
        <w:rPr>
          <w:sz w:val="24"/>
          <w:szCs w:val="24"/>
          <w:lang w:val="pt-BR"/>
        </w:rPr>
        <w:t xml:space="preserve">, v. 13, p. 4708, 2021. Disponível em: </w:t>
      </w:r>
      <w:hyperlink r:id="rId11">
        <w:r>
          <w:rPr>
            <w:rStyle w:val="Hyperlink"/>
            <w:color w:val="auto"/>
            <w:sz w:val="24"/>
            <w:szCs w:val="24"/>
            <w:u w:val="none"/>
            <w:lang w:val="pt-BR"/>
          </w:rPr>
          <w:t>https://doi.org/10.3390/rs13224708</w:t>
        </w:r>
      </w:hyperlink>
      <w:r>
        <w:rPr>
          <w:sz w:val="24"/>
          <w:szCs w:val="24"/>
          <w:lang w:val="pt-BR"/>
        </w:rPr>
        <w:t>.</w:t>
      </w:r>
    </w:p>
    <w:p>
      <w:pPr>
        <w:pStyle w:val="Normal"/>
        <w:spacing w:before="240" w:after="24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OLIVEIRA, M. C. F. </w:t>
      </w:r>
      <w:r>
        <w:rPr>
          <w:i/>
          <w:iCs/>
          <w:sz w:val="24"/>
          <w:szCs w:val="24"/>
          <w:lang w:val="pt-BR"/>
        </w:rPr>
        <w:t>et al.</w:t>
      </w:r>
      <w:r>
        <w:rPr>
          <w:sz w:val="24"/>
          <w:szCs w:val="24"/>
          <w:lang w:val="pt-BR"/>
        </w:rPr>
        <w:t xml:space="preserve"> Climatologia urbana da cidade de Belém-Pará, através das precipitações e temperaturas do ar, das normais climatológicas de 1941 a 1970, 1971 a 2000 e da normal provisória de 2001 a 2015. </w:t>
      </w:r>
      <w:r>
        <w:rPr>
          <w:i/>
          <w:iCs/>
          <w:sz w:val="24"/>
          <w:szCs w:val="24"/>
          <w:lang w:val="pt-BR"/>
        </w:rPr>
        <w:t>Revista Brasileira de Geografia Física</w:t>
      </w:r>
      <w:r>
        <w:rPr>
          <w:sz w:val="24"/>
          <w:szCs w:val="24"/>
          <w:lang w:val="pt-BR"/>
        </w:rPr>
        <w:t>, v. 9, n. 3, p. 803–819, 2016.</w:t>
      </w:r>
    </w:p>
    <w:p>
      <w:pPr>
        <w:pStyle w:val="Normal"/>
        <w:spacing w:before="240" w:after="24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SALGADO, C.; JÚNIOR, O.; SANTANA, N.; GOMES, R.; GUIMARÃES, R.; SILVA, C. Analysis of multitemporal compositing techniques from regular and non-regular intervals using MODIS daily images in the Amazon region with a high percentage of cloud cover. </w:t>
      </w:r>
      <w:r>
        <w:rPr>
          <w:i/>
          <w:iCs/>
          <w:sz w:val="24"/>
          <w:szCs w:val="24"/>
          <w:lang w:val="pt-BR"/>
        </w:rPr>
        <w:t>Sociedade &amp; Natureza</w:t>
      </w:r>
      <w:r>
        <w:rPr>
          <w:sz w:val="24"/>
          <w:szCs w:val="24"/>
          <w:lang w:val="pt-BR"/>
        </w:rPr>
        <w:t xml:space="preserve">, 2022. Disponível em: </w:t>
      </w:r>
      <w:hyperlink r:id="rId12">
        <w:r>
          <w:rPr>
            <w:rStyle w:val="Hyperlink"/>
            <w:color w:val="auto"/>
            <w:sz w:val="24"/>
            <w:szCs w:val="24"/>
            <w:u w:val="none"/>
            <w:lang w:val="pt-BR"/>
          </w:rPr>
          <w:t>https://doi.org/10.14393/sn-v34-2022-65356</w:t>
        </w:r>
      </w:hyperlink>
      <w:r>
        <w:rPr>
          <w:sz w:val="24"/>
          <w:szCs w:val="24"/>
          <w:lang w:val="pt-BR"/>
        </w:rPr>
        <w:t xml:space="preserve">. </w:t>
      </w:r>
    </w:p>
    <w:p>
      <w:pPr>
        <w:pStyle w:val="Normal"/>
        <w:spacing w:before="240" w:after="24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pt-BR"/>
        </w:rPr>
        <w:t xml:space="preserve">SANTOS, E.; SILVA, D.; AMARAL, C.; FILHO, E.; DIAS, R. A machine learning approach to reconstruct cloudy affected vegetation indices imagery via data fusion from Sentinel-1 and Landsat 8. </w:t>
      </w:r>
      <w:r>
        <w:rPr>
          <w:i/>
          <w:iCs/>
          <w:sz w:val="24"/>
          <w:szCs w:val="24"/>
          <w:lang w:val="en-US"/>
        </w:rPr>
        <w:t>Computers and Electronics in Agriculture</w:t>
      </w:r>
      <w:r>
        <w:rPr>
          <w:sz w:val="24"/>
          <w:szCs w:val="24"/>
          <w:lang w:val="en-US"/>
        </w:rPr>
        <w:t xml:space="preserve">, v. 194, p. 106753, 2022. Disponível em: </w:t>
      </w:r>
      <w:hyperlink r:id="rId13">
        <w:r>
          <w:rPr>
            <w:rStyle w:val="Hyperlink"/>
            <w:color w:val="auto"/>
            <w:sz w:val="24"/>
            <w:szCs w:val="24"/>
            <w:u w:val="none"/>
            <w:lang w:val="en-US"/>
          </w:rPr>
          <w:t>https://doi.org/10.1016/j.compag.2022.106753</w:t>
        </w:r>
      </w:hyperlink>
      <w:r>
        <w:rPr>
          <w:sz w:val="24"/>
          <w:szCs w:val="24"/>
          <w:lang w:val="en-US"/>
        </w:rPr>
        <w:t xml:space="preserve">. </w:t>
      </w:r>
    </w:p>
    <w:p>
      <w:pPr>
        <w:pStyle w:val="Normal"/>
        <w:spacing w:before="240" w:after="24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SKAKUN, S. </w:t>
      </w:r>
      <w:r>
        <w:rPr>
          <w:i/>
          <w:iCs/>
          <w:sz w:val="24"/>
          <w:szCs w:val="24"/>
          <w:lang w:val="en-US"/>
        </w:rPr>
        <w:t>et al.</w:t>
      </w:r>
      <w:r>
        <w:rPr>
          <w:sz w:val="24"/>
          <w:szCs w:val="24"/>
          <w:lang w:val="en-US"/>
        </w:rPr>
        <w:t xml:space="preserve"> Cloud Mask Intercomparison eXercise (CMIX): an evaluation of cloud masking algorithms for Landsat 8 and Sentinel-2. </w:t>
      </w:r>
      <w:r>
        <w:rPr>
          <w:i/>
          <w:iCs/>
          <w:sz w:val="24"/>
          <w:szCs w:val="24"/>
          <w:lang w:val="en-US"/>
        </w:rPr>
        <w:t>Remote Sensing of Environment</w:t>
      </w:r>
      <w:r>
        <w:rPr>
          <w:sz w:val="24"/>
          <w:szCs w:val="24"/>
          <w:lang w:val="en-US"/>
        </w:rPr>
        <w:t>, v. 274, p. 112990, 2022.</w:t>
      </w:r>
    </w:p>
    <w:p>
      <w:pPr>
        <w:pStyle w:val="Normal"/>
        <w:spacing w:before="240" w:after="240"/>
        <w:jc w:val="both"/>
        <w:rPr/>
      </w:pPr>
      <w:r>
        <w:rPr>
          <w:sz w:val="24"/>
          <w:szCs w:val="24"/>
          <w:lang w:val="en-US"/>
        </w:rPr>
        <w:t xml:space="preserve">SOUTO, J.; COHEN, J. Spatiotemporal variability of urban heat island: influence of urbanization on seasonal pattern of land surface temperature in the Metropolitan Region of Belém, Brazil. </w:t>
      </w:r>
      <w:r>
        <w:rPr>
          <w:i/>
          <w:iCs/>
          <w:sz w:val="24"/>
          <w:szCs w:val="24"/>
          <w:lang w:val="en-US"/>
        </w:rPr>
        <w:t>Urbe. Revista Brasileira de Gestão Urbana</w:t>
      </w:r>
      <w:r>
        <w:rPr>
          <w:sz w:val="24"/>
          <w:szCs w:val="24"/>
          <w:lang w:val="en-US"/>
        </w:rPr>
        <w:t>, 2021.</w:t>
      </w:r>
    </w:p>
    <w:p>
      <w:pPr>
        <w:pStyle w:val="Normal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sectPr>
      <w:headerReference w:type="even" r:id="rId14"/>
      <w:headerReference w:type="default" r:id="rId15"/>
      <w:headerReference w:type="first" r:id="rId16"/>
      <w:footerReference w:type="even" r:id="rId17"/>
      <w:footerReference w:type="default" r:id="rId18"/>
      <w:footerReference w:type="first" r:id="rId19"/>
      <w:type w:val="nextPage"/>
      <w:pgSz w:w="11906" w:h="16838"/>
      <w:pgMar w:left="1701" w:right="1134" w:gutter="0" w:header="720" w:top="1701" w:footer="72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114300" simplePos="0" locked="0" layoutInCell="0" allowOverlap="1" relativeHeight="20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6" name="Imagem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29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0" b="0"/>
          <wp:wrapSquare wrapText="bothSides"/>
          <wp:docPr id="7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8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8" name="Imagem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5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47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9" name="Imagem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6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56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0"/>
          <wp:wrapSquare wrapText="bothSides"/>
          <wp:docPr id="10" name="Imagem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65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0" b="0"/>
          <wp:wrapSquare wrapText="bothSides"/>
          <wp:docPr id="11" name="Imagem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8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114300" simplePos="0" locked="0" layoutInCell="0" allowOverlap="1" relativeHeight="20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2" name="Imagem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29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0" b="0"/>
          <wp:wrapSquare wrapText="bothSides"/>
          <wp:docPr id="13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8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14" name="Imagem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5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47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15" name="Imagem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6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56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0"/>
          <wp:wrapSquare wrapText="bothSides"/>
          <wp:docPr id="16" name="Imagem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7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65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0" b="0"/>
          <wp:wrapSquare wrapText="bothSides"/>
          <wp:docPr id="17" name="Imagem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8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inline distT="0" distB="0" distL="0" distR="0">
          <wp:extent cx="3253105" cy="1610360"/>
          <wp:effectExtent l="0" t="0" r="0" b="0"/>
          <wp:docPr id="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863" t="33995" r="-2174" b="26665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inline distT="0" distB="0" distL="0" distR="0">
          <wp:extent cx="3253105" cy="1610360"/>
          <wp:effectExtent l="0" t="0" r="0" b="0"/>
          <wp:docPr id="5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863" t="33995" r="-2174" b="26665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pt-PT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5a1575"/>
    <w:rPr>
      <w:rFonts w:ascii="Times New Roman" w:hAnsi="Times New Roman" w:eastAsia="Times New Roman" w:cs="Times New Roman"/>
      <w:lang w:val="pt-PT"/>
    </w:rPr>
  </w:style>
  <w:style w:type="character" w:styleId="RodapChar" w:customStyle="1">
    <w:name w:val="Rodapé Char"/>
    <w:basedOn w:val="DefaultParagraphFont"/>
    <w:uiPriority w:val="99"/>
    <w:qFormat/>
    <w:rsid w:val="005a1575"/>
    <w:rPr>
      <w:rFonts w:ascii="Times New Roman" w:hAnsi="Times New Roman" w:eastAsia="Times New Roman" w:cs="Times New Roman"/>
      <w:lang w:val="pt-PT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b9059d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sid w:val="00b9059d"/>
    <w:rPr>
      <w:rFonts w:ascii="Times New Roman" w:hAnsi="Times New Roman" w:eastAsia="Times New Roman" w:cs="Times New Roman"/>
      <w:sz w:val="20"/>
      <w:szCs w:val="20"/>
      <w:lang w:val="pt-PT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/>
    <w:qFormat/>
    <w:rsid w:val="00b9059d"/>
    <w:rPr>
      <w:rFonts w:ascii="Times New Roman" w:hAnsi="Times New Roman" w:eastAsia="Times New Roman" w:cs="Times New Roman"/>
      <w:b/>
      <w:bCs/>
      <w:sz w:val="20"/>
      <w:szCs w:val="20"/>
      <w:lang w:val="pt-PT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uiPriority w:val="1"/>
    <w:qFormat/>
    <w:pPr/>
    <w:rPr>
      <w:sz w:val="24"/>
      <w:szCs w:val="24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user" w:customStyle="1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 w:customStyle="1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20" w:after="0"/>
      <w:ind w:hanging="360" w:left="821" w:right="115"/>
      <w:jc w:val="both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Cabealhoerodapuser" w:customStyle="1">
    <w:name w:val="Cabeçalho e rodapé (user)"/>
    <w:basedOn w:val="Normal"/>
    <w:qFormat/>
    <w:pPr/>
    <w:rPr/>
  </w:style>
  <w:style w:type="paragraph" w:styleId="Cabealhoerodap" w:customStyle="1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5a1575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RodapChar"/>
    <w:uiPriority w:val="99"/>
    <w:unhideWhenUsed/>
    <w:rsid w:val="005a1575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Contedodoquadrouser" w:customStyle="1">
    <w:name w:val="Conteúdo do quadro (user)"/>
    <w:basedOn w:val="Normal"/>
    <w:qFormat/>
    <w:pPr/>
    <w:rPr/>
  </w:style>
  <w:style w:type="paragraph" w:styleId="CommentText">
    <w:name w:val="annotation text"/>
    <w:basedOn w:val="Normal"/>
    <w:link w:val="TextodecomentrioChar"/>
    <w:uiPriority w:val="99"/>
    <w:semiHidden/>
    <w:unhideWhenUsed/>
    <w:rsid w:val="00b9059d"/>
    <w:pPr/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/>
    <w:unhideWhenUsed/>
    <w:qFormat/>
    <w:rsid w:val="00b9059d"/>
    <w:pPr/>
    <w:rPr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b9059d"/>
    <w:pPr/>
    <w:rPr>
      <w:sz w:val="24"/>
      <w:szCs w:val="24"/>
    </w:rPr>
  </w:style>
  <w:style w:type="numbering" w:styleId="Semlistauser" w:customStyle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doi.org/10.52562/injoes.2023.827" TargetMode="External"/><Relationship Id="rId6" Type="http://schemas.openxmlformats.org/officeDocument/2006/relationships/hyperlink" Target="https://doi.org/10.3390/app132312900" TargetMode="External"/><Relationship Id="rId7" Type="http://schemas.openxmlformats.org/officeDocument/2006/relationships/hyperlink" Target="https://doi.org/10.1038/s41597-023-02439-x" TargetMode="External"/><Relationship Id="rId8" Type="http://schemas.openxmlformats.org/officeDocument/2006/relationships/hyperlink" Target="https://doi.org/10.1038/s41467-021-20994-y" TargetMode="External"/><Relationship Id="rId9" Type="http://schemas.openxmlformats.org/officeDocument/2006/relationships/hyperlink" Target="https://portal.inmet.gov.br/normais" TargetMode="External"/><Relationship Id="rId10" Type="http://schemas.openxmlformats.org/officeDocument/2006/relationships/hyperlink" Target="https://cidades.ibge.gov.br/brasil/pa/belem/panorama" TargetMode="External"/><Relationship Id="rId11" Type="http://schemas.openxmlformats.org/officeDocument/2006/relationships/hyperlink" Target="https://doi.org/10.3390/rs13224708" TargetMode="External"/><Relationship Id="rId12" Type="http://schemas.openxmlformats.org/officeDocument/2006/relationships/hyperlink" Target="https://doi.org/10.14393/sn-v34-2022-65356" TargetMode="External"/><Relationship Id="rId13" Type="http://schemas.openxmlformats.org/officeDocument/2006/relationships/hyperlink" Target="https://doi.org/10.1016/j.compag.2022.106753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header" Target="header3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5" Type="http://schemas.openxmlformats.org/officeDocument/2006/relationships/image" Target="media/image9.png"/><Relationship Id="rId6" Type="http://schemas.openxmlformats.org/officeDocument/2006/relationships/image" Target="media/image10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5" Type="http://schemas.openxmlformats.org/officeDocument/2006/relationships/image" Target="media/image9.png"/><Relationship Id="rId6" Type="http://schemas.openxmlformats.org/officeDocument/2006/relationships/image" Target="media/image10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LibreOffice/25.2.7.2$Windows_X86_64 LibreOffice_project/5cbfd1ab6520636bb5f7b99185aa69bd7456825d</Application>
  <AppVersion>15.0000</AppVersion>
  <Pages>9</Pages>
  <Words>2510</Words>
  <Characters>14562</Characters>
  <CharactersWithSpaces>17020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2025-11-13T00:06:00Z</dcterms:created>
  <dc:creator/>
  <dc:description/>
  <dc:language>pt-BR</dc:language>
  <cp:lastModifiedBy/>
  <dcterms:modified xsi:type="dcterms:W3CDTF">2025-12-01T14:08:48Z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