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344FEF48" w:rsidR="00DD27F5" w:rsidRDefault="001472D8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LÍRICA E SOCIEDADE EM “3 MINUTOS”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B938D41" w:rsidR="00890CB9" w:rsidRPr="00890CB9" w:rsidRDefault="001472D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Ana Emília Klein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06D28A5" w14:textId="53E35BD5" w:rsidR="001472D8" w:rsidRPr="00890CB9" w:rsidRDefault="001472D8" w:rsidP="00DD27F5">
      <w:pPr>
        <w:spacing w:line="276" w:lineRule="auto"/>
        <w:rPr>
          <w:sz w:val="24"/>
          <w:szCs w:val="24"/>
        </w:rPr>
      </w:pPr>
      <w:r w:rsidRPr="001472D8">
        <w:rPr>
          <w:sz w:val="24"/>
          <w:szCs w:val="24"/>
        </w:rPr>
        <w:t>Em que medida somos donos das nossas escolhas? E se podemos decidir por nós mesmos, qual é o tempo necessário para tomar uma decisão difícil? Marília tem três minutos para finalmente abandonar uma vida com a qual não está satisfeita, romper com um casamento frustrado e encontrar-se com o desconhecido. Por que três minutos? É o tempo de duração da sua ficha telefônica – e também de uma corrida</w:t>
      </w:r>
      <w:r>
        <w:rPr>
          <w:sz w:val="24"/>
          <w:szCs w:val="24"/>
        </w:rPr>
        <w:t xml:space="preserve"> de bastão de 1600 metros</w:t>
      </w:r>
      <w:r w:rsidRPr="001472D8">
        <w:rPr>
          <w:sz w:val="24"/>
          <w:szCs w:val="24"/>
        </w:rPr>
        <w:t xml:space="preserve"> e do cozimento de um ovo –, para deixar uma mensagem definitiva ao seu marido por meio da secretária eletrônica. Este trabalho investiga as tensões que subjazem à personagem de “3 Minutos” (1999), curta-metragem dirigido por Ana Luísa Azevedo e roteirizado por Jorge Furtado, analisando os fatores material e social como condicionadores para as deliberações aparentemente espontâneas de Marília</w:t>
      </w:r>
      <w:r w:rsidR="002E182C">
        <w:rPr>
          <w:sz w:val="24"/>
          <w:szCs w:val="24"/>
        </w:rPr>
        <w:t xml:space="preserve">. </w:t>
      </w:r>
      <w:r w:rsidRPr="001472D8">
        <w:rPr>
          <w:sz w:val="24"/>
          <w:szCs w:val="24"/>
        </w:rPr>
        <w:t xml:space="preserve">Para isso, parte-se da análise e interpretação do filme enquanto forma estética que conforma em si tensões sociais, </w:t>
      </w:r>
      <w:r w:rsidR="005C5C6A">
        <w:rPr>
          <w:sz w:val="24"/>
          <w:szCs w:val="24"/>
        </w:rPr>
        <w:t>tendo no horizonte</w:t>
      </w:r>
      <w:r w:rsidRPr="001472D8">
        <w:rPr>
          <w:sz w:val="24"/>
          <w:szCs w:val="24"/>
        </w:rPr>
        <w:t xml:space="preserve"> como o jogo de câmera, a composição do cenário e o monólogo da </w:t>
      </w:r>
      <w:r w:rsidR="005C5C6A">
        <w:rPr>
          <w:sz w:val="24"/>
          <w:szCs w:val="24"/>
        </w:rPr>
        <w:t>personagem</w:t>
      </w:r>
      <w:r w:rsidRPr="001472D8">
        <w:rPr>
          <w:sz w:val="24"/>
          <w:szCs w:val="24"/>
        </w:rPr>
        <w:t xml:space="preserve"> revelam tanto a relação </w:t>
      </w:r>
      <w:r w:rsidR="005C5C6A">
        <w:rPr>
          <w:sz w:val="24"/>
          <w:szCs w:val="24"/>
        </w:rPr>
        <w:t>íntima</w:t>
      </w:r>
      <w:r w:rsidRPr="001472D8">
        <w:rPr>
          <w:sz w:val="24"/>
          <w:szCs w:val="24"/>
        </w:rPr>
        <w:t xml:space="preserve"> quanto a condição</w:t>
      </w:r>
      <w:r w:rsidR="005C5C6A">
        <w:rPr>
          <w:sz w:val="24"/>
          <w:szCs w:val="24"/>
        </w:rPr>
        <w:t xml:space="preserve"> social do casal</w:t>
      </w:r>
      <w:r w:rsidRPr="001472D8">
        <w:rPr>
          <w:sz w:val="24"/>
          <w:szCs w:val="24"/>
        </w:rPr>
        <w:t>. A hipótese de leitura é de que as mágoas de Marília e seu desejo por uma vida mais tranquila, sem as desventuras implicadas na rotina de quem trabalha com</w:t>
      </w:r>
      <w:r w:rsidR="002E182C">
        <w:rPr>
          <w:sz w:val="24"/>
          <w:szCs w:val="24"/>
        </w:rPr>
        <w:t>/no</w:t>
      </w:r>
      <w:r w:rsidRPr="001472D8">
        <w:rPr>
          <w:sz w:val="24"/>
          <w:szCs w:val="24"/>
        </w:rPr>
        <w:t xml:space="preserve"> circo, tornam sua decisão mais complexa do que um </w:t>
      </w:r>
      <w:r w:rsidR="002E182C">
        <w:rPr>
          <w:sz w:val="24"/>
          <w:szCs w:val="24"/>
        </w:rPr>
        <w:t>simples</w:t>
      </w:r>
      <w:r w:rsidRPr="001472D8">
        <w:rPr>
          <w:sz w:val="24"/>
          <w:szCs w:val="24"/>
        </w:rPr>
        <w:t xml:space="preserve"> ato de liberdade. </w:t>
      </w:r>
      <w:r w:rsidR="002E182C">
        <w:rPr>
          <w:sz w:val="24"/>
          <w:szCs w:val="24"/>
        </w:rPr>
        <w:t>Isso porque a</w:t>
      </w:r>
      <w:r w:rsidRPr="001472D8">
        <w:rPr>
          <w:sz w:val="24"/>
          <w:szCs w:val="24"/>
        </w:rPr>
        <w:t xml:space="preserve"> relação </w:t>
      </w:r>
      <w:r w:rsidR="005C5C6A">
        <w:rPr>
          <w:sz w:val="24"/>
          <w:szCs w:val="24"/>
        </w:rPr>
        <w:t>conjugal</w:t>
      </w:r>
      <w:r w:rsidRPr="001472D8">
        <w:rPr>
          <w:sz w:val="24"/>
          <w:szCs w:val="24"/>
        </w:rPr>
        <w:t xml:space="preserve"> parece atravessada por questões materiais e sociais (</w:t>
      </w:r>
      <w:r w:rsidR="002E182C">
        <w:rPr>
          <w:sz w:val="24"/>
          <w:szCs w:val="24"/>
        </w:rPr>
        <w:t>e</w:t>
      </w:r>
      <w:r w:rsidRPr="001472D8">
        <w:rPr>
          <w:sz w:val="24"/>
          <w:szCs w:val="24"/>
        </w:rPr>
        <w:t xml:space="preserve"> morais) quanto ao papel da mulher na sociedade, que vão dar também em um desgaste do vínculo. </w:t>
      </w:r>
      <w:r w:rsidR="002E182C" w:rsidRPr="002E182C">
        <w:rPr>
          <w:sz w:val="24"/>
          <w:szCs w:val="24"/>
        </w:rPr>
        <w:t xml:space="preserve">A última fala da personagem, “O que é que eu fiz da minha vida?”, sugere uma reflexão sobre as reais possibilidades de Marília, o quanto ela é responsável pelo seu destino e até que ponto suas escolhas foram de fato livres. Nesse sentido, </w:t>
      </w:r>
      <w:r w:rsidR="002E182C">
        <w:rPr>
          <w:sz w:val="24"/>
          <w:szCs w:val="24"/>
        </w:rPr>
        <w:t xml:space="preserve">o </w:t>
      </w:r>
      <w:r w:rsidR="002E182C" w:rsidRPr="002E182C">
        <w:rPr>
          <w:sz w:val="24"/>
          <w:szCs w:val="24"/>
        </w:rPr>
        <w:t xml:space="preserve">problema </w:t>
      </w:r>
      <w:r w:rsidR="005C5C6A">
        <w:rPr>
          <w:sz w:val="24"/>
          <w:szCs w:val="24"/>
        </w:rPr>
        <w:t>íntimo</w:t>
      </w:r>
      <w:r w:rsidR="002E182C">
        <w:rPr>
          <w:sz w:val="24"/>
          <w:szCs w:val="24"/>
        </w:rPr>
        <w:t xml:space="preserve"> </w:t>
      </w:r>
      <w:r w:rsidR="005C5C6A">
        <w:rPr>
          <w:sz w:val="24"/>
          <w:szCs w:val="24"/>
        </w:rPr>
        <w:t>enquanto</w:t>
      </w:r>
      <w:r w:rsidR="002E182C">
        <w:rPr>
          <w:sz w:val="24"/>
          <w:szCs w:val="24"/>
        </w:rPr>
        <w:t xml:space="preserve"> fio condutor da narrativa </w:t>
      </w:r>
      <w:r w:rsidR="002E182C" w:rsidRPr="002E182C">
        <w:rPr>
          <w:sz w:val="24"/>
          <w:szCs w:val="24"/>
        </w:rPr>
        <w:t xml:space="preserve">inscreve-se numa questão de ordem social, ao </w:t>
      </w:r>
      <w:r w:rsidR="002E182C">
        <w:rPr>
          <w:sz w:val="24"/>
          <w:szCs w:val="24"/>
        </w:rPr>
        <w:t xml:space="preserve">apontar para </w:t>
      </w:r>
      <w:r w:rsidR="002E182C" w:rsidRPr="002E182C">
        <w:rPr>
          <w:sz w:val="24"/>
          <w:szCs w:val="24"/>
        </w:rPr>
        <w:t xml:space="preserve">desejos </w:t>
      </w:r>
      <w:r w:rsidR="002E182C">
        <w:rPr>
          <w:sz w:val="24"/>
          <w:szCs w:val="24"/>
        </w:rPr>
        <w:t>marcados</w:t>
      </w:r>
      <w:r w:rsidR="002E182C" w:rsidRPr="002E182C">
        <w:rPr>
          <w:sz w:val="24"/>
          <w:szCs w:val="24"/>
        </w:rPr>
        <w:t xml:space="preserve"> por estruturas de poder</w:t>
      </w:r>
      <w:r w:rsidR="005C5C6A">
        <w:rPr>
          <w:sz w:val="24"/>
          <w:szCs w:val="24"/>
        </w:rPr>
        <w:t xml:space="preserve"> e</w:t>
      </w:r>
      <w:r w:rsidR="002E182C" w:rsidRPr="002E182C">
        <w:rPr>
          <w:sz w:val="24"/>
          <w:szCs w:val="24"/>
        </w:rPr>
        <w:t xml:space="preserve"> gênero. </w:t>
      </w:r>
      <w:r w:rsidR="005C5C6A">
        <w:rPr>
          <w:sz w:val="24"/>
          <w:szCs w:val="24"/>
        </w:rPr>
        <w:t>Defende-se</w:t>
      </w:r>
      <w:r w:rsidR="002E182C" w:rsidRPr="002E182C">
        <w:rPr>
          <w:sz w:val="24"/>
          <w:szCs w:val="24"/>
        </w:rPr>
        <w:t xml:space="preserve">, portanto, </w:t>
      </w:r>
      <w:r w:rsidR="005C5C6A">
        <w:rPr>
          <w:sz w:val="24"/>
          <w:szCs w:val="24"/>
        </w:rPr>
        <w:t xml:space="preserve">que o </w:t>
      </w:r>
      <w:r w:rsidR="002E182C" w:rsidRPr="002E182C">
        <w:rPr>
          <w:sz w:val="24"/>
          <w:szCs w:val="24"/>
        </w:rPr>
        <w:t>gesto</w:t>
      </w:r>
      <w:r w:rsidR="005C5C6A">
        <w:rPr>
          <w:sz w:val="24"/>
          <w:szCs w:val="24"/>
        </w:rPr>
        <w:t xml:space="preserve"> do curta-metragem revela</w:t>
      </w:r>
      <w:r w:rsidR="002E182C" w:rsidRPr="002E182C">
        <w:rPr>
          <w:sz w:val="24"/>
          <w:szCs w:val="24"/>
        </w:rPr>
        <w:t xml:space="preserve"> </w:t>
      </w:r>
      <w:r w:rsidR="005C5C6A">
        <w:rPr>
          <w:sz w:val="24"/>
          <w:szCs w:val="24"/>
        </w:rPr>
        <w:t>um</w:t>
      </w:r>
      <w:r w:rsidR="002E182C" w:rsidRPr="002E182C">
        <w:rPr>
          <w:sz w:val="24"/>
          <w:szCs w:val="24"/>
        </w:rPr>
        <w:t xml:space="preserve">a tensão entre subjetividade e </w:t>
      </w:r>
      <w:r w:rsidR="005C5C6A">
        <w:rPr>
          <w:sz w:val="24"/>
          <w:szCs w:val="24"/>
        </w:rPr>
        <w:t xml:space="preserve">sociedade e posiciona-se criticamente, ainda que de forma </w:t>
      </w:r>
      <w:r w:rsidR="002E182C" w:rsidRPr="002E182C">
        <w:rPr>
          <w:sz w:val="24"/>
          <w:szCs w:val="24"/>
        </w:rPr>
        <w:t>sutil</w:t>
      </w:r>
      <w:r w:rsidR="005C5C6A">
        <w:rPr>
          <w:sz w:val="24"/>
          <w:szCs w:val="24"/>
        </w:rPr>
        <w:t>,</w:t>
      </w:r>
      <w:r w:rsidR="002E182C" w:rsidRPr="002E182C">
        <w:rPr>
          <w:sz w:val="24"/>
          <w:szCs w:val="24"/>
        </w:rPr>
        <w:t xml:space="preserve"> à estrutura patriarcal e às limitações impostas às mulheres em contextos de dependência</w:t>
      </w:r>
      <w:r w:rsidR="005C5C6A">
        <w:rPr>
          <w:sz w:val="24"/>
          <w:szCs w:val="24"/>
        </w:rPr>
        <w:t>, seja</w:t>
      </w:r>
      <w:r w:rsidR="002E182C" w:rsidRPr="002E182C">
        <w:rPr>
          <w:sz w:val="24"/>
          <w:szCs w:val="24"/>
        </w:rPr>
        <w:t xml:space="preserve"> afetiva</w:t>
      </w:r>
      <w:r w:rsidR="005C5C6A">
        <w:rPr>
          <w:sz w:val="24"/>
          <w:szCs w:val="24"/>
        </w:rPr>
        <w:t>, seja</w:t>
      </w:r>
      <w:r w:rsidR="002E182C" w:rsidRPr="002E182C">
        <w:rPr>
          <w:sz w:val="24"/>
          <w:szCs w:val="24"/>
        </w:rPr>
        <w:t xml:space="preserve"> material.</w:t>
      </w:r>
    </w:p>
    <w:p w14:paraId="3E589ECD" w14:textId="77777777" w:rsidR="00EB74B2" w:rsidRDefault="00EB74B2"/>
    <w:p w14:paraId="19923B6A" w14:textId="4DF6EC78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</w:t>
      </w:r>
      <w:r w:rsidR="001472D8">
        <w:rPr>
          <w:b/>
          <w:bCs/>
          <w:sz w:val="24"/>
          <w:szCs w:val="24"/>
        </w:rPr>
        <w:t>-</w:t>
      </w:r>
      <w:r w:rsidRPr="00DD27F5">
        <w:rPr>
          <w:b/>
          <w:bCs/>
          <w:sz w:val="24"/>
          <w:szCs w:val="24"/>
        </w:rPr>
        <w:t>chave:</w:t>
      </w:r>
      <w:r>
        <w:rPr>
          <w:b/>
          <w:bCs/>
          <w:sz w:val="24"/>
          <w:szCs w:val="24"/>
        </w:rPr>
        <w:t xml:space="preserve"> </w:t>
      </w:r>
      <w:r w:rsidR="001472D8">
        <w:rPr>
          <w:sz w:val="24"/>
          <w:szCs w:val="24"/>
        </w:rPr>
        <w:t xml:space="preserve">Curta-metragem. </w:t>
      </w:r>
      <w:r w:rsidR="002E182C">
        <w:rPr>
          <w:sz w:val="24"/>
          <w:szCs w:val="24"/>
        </w:rPr>
        <w:t>Engajamento. Cinema brasileiro.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D236" w14:textId="77777777" w:rsidR="009840C6" w:rsidRDefault="009840C6" w:rsidP="00DD27F5">
      <w:pPr>
        <w:spacing w:line="240" w:lineRule="auto"/>
      </w:pPr>
      <w:r>
        <w:separator/>
      </w:r>
    </w:p>
  </w:endnote>
  <w:endnote w:type="continuationSeparator" w:id="0">
    <w:p w14:paraId="77B4255E" w14:textId="77777777" w:rsidR="009840C6" w:rsidRDefault="009840C6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E857" w14:textId="77777777" w:rsidR="009840C6" w:rsidRDefault="009840C6" w:rsidP="00DD27F5">
      <w:pPr>
        <w:spacing w:line="240" w:lineRule="auto"/>
      </w:pPr>
      <w:r>
        <w:separator/>
      </w:r>
    </w:p>
  </w:footnote>
  <w:footnote w:type="continuationSeparator" w:id="0">
    <w:p w14:paraId="4C8C3D8D" w14:textId="77777777" w:rsidR="009840C6" w:rsidRDefault="009840C6" w:rsidP="00DD27F5">
      <w:pPr>
        <w:spacing w:line="240" w:lineRule="auto"/>
      </w:pPr>
      <w:r>
        <w:continuationSeparator/>
      </w:r>
    </w:p>
  </w:footnote>
  <w:footnote w:id="1">
    <w:p w14:paraId="52AA1906" w14:textId="0B440D06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472D8">
        <w:rPr>
          <w:sz w:val="18"/>
          <w:szCs w:val="18"/>
        </w:rPr>
        <w:t xml:space="preserve">Mestre em Letras. Docente do Curso de Letras da Universidade do Vale do Taquari – Univates. </w:t>
      </w:r>
      <w:r w:rsidR="001472D8" w:rsidRPr="001472D8">
        <w:rPr>
          <w:sz w:val="18"/>
          <w:szCs w:val="18"/>
        </w:rPr>
        <w:t>https://orcid.org/0009-0005-8833-4877</w:t>
      </w:r>
      <w:r w:rsidR="001472D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472D8"/>
    <w:rsid w:val="001E20D4"/>
    <w:rsid w:val="00255803"/>
    <w:rsid w:val="002E182C"/>
    <w:rsid w:val="005B2CBC"/>
    <w:rsid w:val="005C5C6A"/>
    <w:rsid w:val="006A5C1A"/>
    <w:rsid w:val="00782277"/>
    <w:rsid w:val="00890CB9"/>
    <w:rsid w:val="009840C6"/>
    <w:rsid w:val="00C208F0"/>
    <w:rsid w:val="00CE72D7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Ana Emília Klein</cp:lastModifiedBy>
  <cp:revision>2</cp:revision>
  <dcterms:created xsi:type="dcterms:W3CDTF">2025-04-09T18:29:00Z</dcterms:created>
  <dcterms:modified xsi:type="dcterms:W3CDTF">2025-04-09T18:29:00Z</dcterms:modified>
</cp:coreProperties>
</file>