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7405" w14:textId="77777777" w:rsidR="0012667B" w:rsidRDefault="00000000">
      <w:pPr>
        <w:pBdr>
          <w:top w:val="nil"/>
          <w:left w:val="nil"/>
          <w:bottom w:val="nil"/>
          <w:right w:val="nil"/>
          <w:between w:val="nil"/>
        </w:pBdr>
        <w:jc w:val="center"/>
        <w:rPr>
          <w:rFonts w:ascii="Times New Roman" w:eastAsia="Times New Roman" w:hAnsi="Times New Roman" w:cs="Times New Roman"/>
          <w:color w:val="000000"/>
        </w:rPr>
      </w:pPr>
      <w:r>
        <w:rPr>
          <w:b/>
        </w:rPr>
        <w:t>ESPORTES E GÊNERO NA ESCOLA: CONTRIBUIÇÕES DO PIBID/EDUCAÇÃO FÍSICA PARA A VALORIZAÇÃO DO ESPORTE FEMININO NO ENSINO MÉDIO INTEGRAL</w:t>
      </w:r>
    </w:p>
    <w:p w14:paraId="6FFFE5F7" w14:textId="77777777" w:rsidR="0012667B" w:rsidRDefault="0012667B">
      <w:pPr>
        <w:pBdr>
          <w:top w:val="nil"/>
          <w:left w:val="nil"/>
          <w:bottom w:val="nil"/>
          <w:right w:val="nil"/>
          <w:between w:val="nil"/>
        </w:pBdr>
        <w:spacing w:line="240" w:lineRule="auto"/>
        <w:rPr>
          <w:color w:val="000000"/>
          <w:sz w:val="20"/>
          <w:szCs w:val="20"/>
        </w:rPr>
      </w:pPr>
    </w:p>
    <w:p w14:paraId="47262233" w14:textId="77777777" w:rsidR="0012667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sz w:val="20"/>
          <w:szCs w:val="20"/>
        </w:rPr>
        <w:t>SILVA</w:t>
      </w:r>
      <w:r>
        <w:rPr>
          <w:color w:val="000000"/>
          <w:sz w:val="20"/>
          <w:szCs w:val="20"/>
        </w:rPr>
        <w:t xml:space="preserve">, </w:t>
      </w:r>
      <w:r>
        <w:rPr>
          <w:sz w:val="20"/>
          <w:szCs w:val="20"/>
        </w:rPr>
        <w:t>Izabela</w:t>
      </w:r>
      <w:r>
        <w:rPr>
          <w:color w:val="000000"/>
          <w:sz w:val="20"/>
          <w:szCs w:val="20"/>
          <w:vertAlign w:val="superscript"/>
        </w:rPr>
        <w:footnoteReference w:id="1"/>
      </w:r>
      <w:r>
        <w:rPr>
          <w:color w:val="000000"/>
          <w:sz w:val="20"/>
          <w:szCs w:val="20"/>
        </w:rPr>
        <w:t> </w:t>
      </w:r>
    </w:p>
    <w:p w14:paraId="1CFAE6E8" w14:textId="6D4F52F6" w:rsidR="0012667B" w:rsidRDefault="00CA6D1F">
      <w:pPr>
        <w:pBdr>
          <w:top w:val="nil"/>
          <w:left w:val="nil"/>
          <w:bottom w:val="nil"/>
          <w:right w:val="nil"/>
          <w:between w:val="nil"/>
        </w:pBdr>
        <w:spacing w:line="240" w:lineRule="auto"/>
        <w:jc w:val="right"/>
        <w:rPr>
          <w:color w:val="000000"/>
          <w:sz w:val="20"/>
          <w:szCs w:val="20"/>
        </w:rPr>
      </w:pPr>
      <w:r>
        <w:rPr>
          <w:color w:val="000000"/>
          <w:sz w:val="20"/>
          <w:szCs w:val="20"/>
        </w:rPr>
        <w:t>MENDONÇA</w:t>
      </w:r>
      <w:r w:rsidR="00000000">
        <w:rPr>
          <w:color w:val="000000"/>
          <w:sz w:val="20"/>
          <w:szCs w:val="20"/>
        </w:rPr>
        <w:t xml:space="preserve">, </w:t>
      </w:r>
      <w:r>
        <w:rPr>
          <w:color w:val="000000"/>
          <w:sz w:val="20"/>
          <w:szCs w:val="20"/>
        </w:rPr>
        <w:t>Claudemir</w:t>
      </w:r>
      <w:r w:rsidR="00000000">
        <w:rPr>
          <w:color w:val="000000"/>
          <w:sz w:val="20"/>
          <w:szCs w:val="20"/>
          <w:vertAlign w:val="superscript"/>
        </w:rPr>
        <w:footnoteReference w:id="2"/>
      </w:r>
      <w:r w:rsidR="00000000">
        <w:rPr>
          <w:color w:val="000000"/>
          <w:sz w:val="20"/>
          <w:szCs w:val="20"/>
        </w:rPr>
        <w:t> </w:t>
      </w:r>
    </w:p>
    <w:p w14:paraId="607906BB" w14:textId="71135BB9" w:rsidR="0012667B" w:rsidRDefault="00CA6D1F">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color w:val="000000"/>
          <w:sz w:val="20"/>
          <w:szCs w:val="20"/>
        </w:rPr>
        <w:t xml:space="preserve">Soraya </w:t>
      </w:r>
      <w:proofErr w:type="spellStart"/>
      <w:r>
        <w:rPr>
          <w:color w:val="000000"/>
          <w:sz w:val="20"/>
          <w:szCs w:val="20"/>
        </w:rPr>
        <w:t>Dayanna</w:t>
      </w:r>
      <w:proofErr w:type="spellEnd"/>
      <w:r>
        <w:rPr>
          <w:color w:val="000000"/>
          <w:sz w:val="20"/>
          <w:szCs w:val="20"/>
        </w:rPr>
        <w:t xml:space="preserve"> Guimarães Santos</w:t>
      </w:r>
      <w:r w:rsidR="009D6BD4">
        <w:rPr>
          <w:color w:val="000000"/>
          <w:sz w:val="20"/>
          <w:szCs w:val="20"/>
          <w:vertAlign w:val="superscript"/>
        </w:rPr>
        <w:footnoteReference w:id="3"/>
      </w:r>
      <w:r w:rsidR="009D6BD4">
        <w:rPr>
          <w:color w:val="000000"/>
          <w:sz w:val="20"/>
          <w:szCs w:val="20"/>
        </w:rPr>
        <w:t> </w:t>
      </w:r>
    </w:p>
    <w:p w14:paraId="1E041378" w14:textId="77777777" w:rsidR="0012667B" w:rsidRDefault="0012667B">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p>
    <w:p w14:paraId="1D6BACC6" w14:textId="2088775A" w:rsidR="0012667B" w:rsidRDefault="00000000">
      <w:pPr>
        <w:pBdr>
          <w:top w:val="nil"/>
          <w:left w:val="nil"/>
          <w:bottom w:val="nil"/>
          <w:right w:val="nil"/>
          <w:between w:val="nil"/>
        </w:pBdr>
        <w:jc w:val="left"/>
        <w:rPr>
          <w:b/>
          <w:color w:val="000000"/>
          <w:sz w:val="20"/>
          <w:szCs w:val="20"/>
        </w:rPr>
      </w:pPr>
      <w:r>
        <w:rPr>
          <w:b/>
          <w:color w:val="000000"/>
          <w:sz w:val="20"/>
          <w:szCs w:val="20"/>
        </w:rPr>
        <w:t xml:space="preserve">Grupo de Trabalho (GT): </w:t>
      </w:r>
      <w:r w:rsidR="000A698D" w:rsidRPr="000A698D">
        <w:rPr>
          <w:b/>
          <w:bCs/>
          <w:color w:val="000000"/>
          <w:sz w:val="20"/>
          <w:szCs w:val="20"/>
        </w:rPr>
        <w:t>Educação, Direitos Humanos, Currículos, Sujeitos e Diversidades</w:t>
      </w:r>
      <w:r>
        <w:rPr>
          <w:b/>
          <w:color w:val="000000"/>
          <w:sz w:val="20"/>
          <w:szCs w:val="20"/>
        </w:rPr>
        <w:t>.</w:t>
      </w:r>
    </w:p>
    <w:p w14:paraId="66AE2763" w14:textId="77777777" w:rsidR="0012667B" w:rsidRDefault="0012667B">
      <w:pPr>
        <w:pBdr>
          <w:top w:val="nil"/>
          <w:left w:val="nil"/>
          <w:bottom w:val="nil"/>
          <w:right w:val="nil"/>
          <w:between w:val="nil"/>
        </w:pBdr>
        <w:spacing w:line="240" w:lineRule="auto"/>
        <w:rPr>
          <w:b/>
          <w:color w:val="000000"/>
          <w:sz w:val="20"/>
          <w:szCs w:val="20"/>
        </w:rPr>
      </w:pPr>
      <w:bookmarkStart w:id="0" w:name="_heading=h.gjdgxs" w:colFirst="0" w:colLast="0"/>
      <w:bookmarkEnd w:id="0"/>
    </w:p>
    <w:p w14:paraId="4229FA33" w14:textId="77777777" w:rsidR="0012667B" w:rsidRDefault="00000000">
      <w:pPr>
        <w:pBdr>
          <w:top w:val="nil"/>
          <w:left w:val="nil"/>
          <w:bottom w:val="nil"/>
          <w:right w:val="nil"/>
          <w:between w:val="nil"/>
        </w:pBdr>
        <w:spacing w:line="240" w:lineRule="auto"/>
        <w:rPr>
          <w:b/>
          <w:color w:val="000000"/>
          <w:sz w:val="20"/>
          <w:szCs w:val="20"/>
        </w:rPr>
      </w:pPr>
      <w:r>
        <w:rPr>
          <w:b/>
          <w:color w:val="000000"/>
          <w:sz w:val="20"/>
          <w:szCs w:val="20"/>
        </w:rPr>
        <w:t>RESUMO</w:t>
      </w:r>
    </w:p>
    <w:p w14:paraId="722CBECD" w14:textId="77777777" w:rsidR="0012667B" w:rsidRDefault="0012667B">
      <w:pPr>
        <w:pBdr>
          <w:top w:val="nil"/>
          <w:left w:val="nil"/>
          <w:bottom w:val="nil"/>
          <w:right w:val="nil"/>
          <w:between w:val="nil"/>
        </w:pBdr>
        <w:spacing w:line="240" w:lineRule="auto"/>
        <w:rPr>
          <w:b/>
          <w:sz w:val="20"/>
          <w:szCs w:val="20"/>
        </w:rPr>
      </w:pPr>
    </w:p>
    <w:p w14:paraId="6589528F" w14:textId="09786037" w:rsidR="0012667B" w:rsidRPr="009D6BD4" w:rsidRDefault="00000000">
      <w:pPr>
        <w:pBdr>
          <w:top w:val="nil"/>
          <w:left w:val="nil"/>
          <w:bottom w:val="nil"/>
          <w:right w:val="nil"/>
          <w:between w:val="nil"/>
        </w:pBdr>
        <w:spacing w:line="240" w:lineRule="auto"/>
        <w:rPr>
          <w:sz w:val="20"/>
          <w:szCs w:val="20"/>
        </w:rPr>
      </w:pPr>
      <w:r>
        <w:rPr>
          <w:sz w:val="20"/>
          <w:szCs w:val="20"/>
        </w:rPr>
        <w:t>O presente trabalho apresenta uma experiência pedagógica desenvolvida no âmbito do PIBID/Educação Física, em uma escola de</w:t>
      </w:r>
      <w:r w:rsidR="00492349">
        <w:rPr>
          <w:sz w:val="20"/>
          <w:szCs w:val="20"/>
        </w:rPr>
        <w:t xml:space="preserve"> Ensino Médio</w:t>
      </w:r>
      <w:r w:rsidRPr="006F43F8">
        <w:rPr>
          <w:color w:val="4472C4" w:themeColor="accent1"/>
          <w:sz w:val="20"/>
          <w:szCs w:val="20"/>
        </w:rPr>
        <w:t xml:space="preserve"> </w:t>
      </w:r>
      <w:r>
        <w:rPr>
          <w:sz w:val="20"/>
          <w:szCs w:val="20"/>
        </w:rPr>
        <w:t>integral, com foco na valorização do esporte feminino e na desconstrução de estereótipos de gênero. A proposta partiu do reconhecimento das desigualdades de gênero nas práticas corporais escolares, especialmente pela exclusão das meninas de esportes historicamente masculinizados. A intervenção foi realizada por meio de aulas teóricas e práticas que abordaram as trajetórias de Rebeca Andrade, Marta</w:t>
      </w:r>
      <w:r w:rsidR="00492349">
        <w:rPr>
          <w:sz w:val="20"/>
          <w:szCs w:val="20"/>
        </w:rPr>
        <w:t xml:space="preserve"> Silva</w:t>
      </w:r>
      <w:r>
        <w:rPr>
          <w:sz w:val="20"/>
          <w:szCs w:val="20"/>
        </w:rPr>
        <w:t xml:space="preserve"> e Rafaela Silva, refletindo sobre invisibilidade, estigmas e racismo no esporte. As discussões promoveram o engajamento das alunas e revelaram o potencial transformador da Educação Física escolar na construção de um espaço mais inclusivo, participativo e equitativo. O trabalho evidencia a importância de práticas pedagógicas que problematizam as relações de gênero e incentivam o protagonismo feminino no contexto esportivo escolar.</w:t>
      </w:r>
    </w:p>
    <w:p w14:paraId="60312F62" w14:textId="77777777" w:rsidR="0012667B" w:rsidRDefault="00000000">
      <w:pPr>
        <w:spacing w:line="240" w:lineRule="auto"/>
        <w:rPr>
          <w:sz w:val="20"/>
          <w:szCs w:val="20"/>
        </w:rPr>
      </w:pPr>
      <w:r>
        <w:rPr>
          <w:b/>
          <w:sz w:val="20"/>
          <w:szCs w:val="20"/>
        </w:rPr>
        <w:t xml:space="preserve">Palavras-chave: </w:t>
      </w:r>
      <w:r>
        <w:rPr>
          <w:sz w:val="20"/>
          <w:szCs w:val="20"/>
        </w:rPr>
        <w:t>Gênero. Esporte. Escola. PIBID. Educação Física.</w:t>
      </w:r>
    </w:p>
    <w:p w14:paraId="0AF1E0EE" w14:textId="77777777" w:rsidR="0012667B" w:rsidRDefault="0012667B">
      <w:pPr>
        <w:pBdr>
          <w:top w:val="nil"/>
          <w:left w:val="nil"/>
          <w:bottom w:val="nil"/>
          <w:right w:val="nil"/>
          <w:between w:val="nil"/>
        </w:pBdr>
        <w:rPr>
          <w:b/>
          <w:color w:val="000000"/>
        </w:rPr>
      </w:pPr>
    </w:p>
    <w:p w14:paraId="75F019CD" w14:textId="3FC64528" w:rsidR="0012667B" w:rsidRDefault="00000000" w:rsidP="009D6BD4">
      <w:pPr>
        <w:pBdr>
          <w:top w:val="nil"/>
          <w:left w:val="nil"/>
          <w:bottom w:val="nil"/>
          <w:right w:val="nil"/>
          <w:between w:val="nil"/>
        </w:pBdr>
        <w:rPr>
          <w:b/>
        </w:rPr>
      </w:pPr>
      <w:r>
        <w:rPr>
          <w:b/>
          <w:color w:val="000000"/>
        </w:rPr>
        <w:t>INTRODUÇÃO</w:t>
      </w:r>
    </w:p>
    <w:p w14:paraId="171ACDFA" w14:textId="77777777" w:rsidR="0012667B" w:rsidRDefault="00000000">
      <w:pPr>
        <w:pBdr>
          <w:top w:val="nil"/>
          <w:left w:val="nil"/>
          <w:bottom w:val="nil"/>
          <w:right w:val="nil"/>
          <w:between w:val="nil"/>
        </w:pBdr>
        <w:ind w:firstLine="720"/>
      </w:pPr>
      <w:r>
        <w:t>O esporte, enquanto expressão da cultura corporal, constitui-se como um campo de sentidos marcado por disputas e contradições, entre as quais se destaca a luta pela valorização das mulheres. Alinhada à BNCC, a Educação Física escolar deve atuar intencionalmente na superação de preconceitos e na desconstrução de estereótipos de gênero, promovendo práticas que valorizem a diversidade e assegurem a equidade nas experiências corporais (Brasil, 2018).</w:t>
      </w:r>
    </w:p>
    <w:p w14:paraId="7A5CB713" w14:textId="32115CED" w:rsidR="0012667B" w:rsidRDefault="00000000">
      <w:pPr>
        <w:pBdr>
          <w:top w:val="nil"/>
          <w:left w:val="nil"/>
          <w:bottom w:val="nil"/>
          <w:right w:val="nil"/>
          <w:between w:val="nil"/>
        </w:pBdr>
        <w:ind w:firstLine="720"/>
      </w:pPr>
      <w:r>
        <w:t>Partindo dessa perspectiva e reconhecendo o papel formativo da escola na promoção da equidade de gênero, o presente trabalho apresenta uma experiência pedagógica desenvolvida no âmbito do subprojeto de Educação Física do Programa Institucional de Bolsa de Iniciação à Docência (PIBID/E</w:t>
      </w:r>
      <w:r w:rsidR="00AA7A87">
        <w:t>F/MACEIÓ)</w:t>
      </w:r>
      <w:r w:rsidRPr="0085759A">
        <w:rPr>
          <w:color w:val="4472C4" w:themeColor="accent1"/>
        </w:rPr>
        <w:t xml:space="preserve"> </w:t>
      </w:r>
      <w:r>
        <w:t xml:space="preserve">A intervenção teve como objetivo fomentar reflexões críticas sobre as relações entre esporte e gênero, sendo orientada pela seguinte questão norteadora: como a Educação Física escolar pode </w:t>
      </w:r>
      <w:r>
        <w:lastRenderedPageBreak/>
        <w:t>contribuir para a valorização do esporte feminino e para a desconstrução de estereótipos de gênero no context</w:t>
      </w:r>
      <w:r w:rsidR="00AA7A87">
        <w:t>o do Ensino Médio</w:t>
      </w:r>
      <w:r w:rsidRPr="001A2E91">
        <w:rPr>
          <w:color w:val="4472C4" w:themeColor="accent1"/>
        </w:rPr>
        <w:t xml:space="preserve"> </w:t>
      </w:r>
      <w:r>
        <w:t>em tempo integral?</w:t>
      </w:r>
    </w:p>
    <w:p w14:paraId="51E84A23" w14:textId="332C5C26" w:rsidR="0012667B" w:rsidRDefault="00000000">
      <w:pPr>
        <w:pBdr>
          <w:top w:val="nil"/>
          <w:left w:val="nil"/>
          <w:bottom w:val="nil"/>
          <w:right w:val="nil"/>
          <w:between w:val="nil"/>
        </w:pBdr>
        <w:ind w:firstLine="720"/>
      </w:pPr>
      <w:r>
        <w:t>Dessa forma, o objetivo geral deste trabalho foi promover uma reflexão crítica sobre as relações entre esporte e gênero no âmbito da Educação Física escolar, incentivando a valorização do esporte feminino e a desconstrução de estereótipos de gênero entre estudantes d</w:t>
      </w:r>
      <w:r w:rsidR="00AA7A87">
        <w:t>o Ensino Médio</w:t>
      </w:r>
      <w:r w:rsidRPr="0071169A">
        <w:rPr>
          <w:color w:val="4472C4" w:themeColor="accent1"/>
        </w:rPr>
        <w:t xml:space="preserve"> </w:t>
      </w:r>
      <w:r>
        <w:t>em tempo integral.</w:t>
      </w:r>
    </w:p>
    <w:p w14:paraId="577112D4" w14:textId="77777777" w:rsidR="0012667B" w:rsidRDefault="00000000">
      <w:pPr>
        <w:pBdr>
          <w:top w:val="nil"/>
          <w:left w:val="nil"/>
          <w:bottom w:val="nil"/>
          <w:right w:val="nil"/>
          <w:between w:val="nil"/>
        </w:pBdr>
        <w:ind w:firstLine="720"/>
      </w:pPr>
      <w:r>
        <w:t>A motivação para a realização desta experiência pedagógica fundamentou-se na constatação das desigualdades de gênero presentes tanto na escola quanto na sociedade, manifestadas especialmente pelo distanciamento das meninas em relação às práticas corporais, sobretudo nos esportes tradicionalmente associados ao universo masculino. Considerando esse cenário, reconhecemos a escola e as aulas de Educação Física como espaços formativos estratégicos, que podem, alternativamente, contribuir para a reprodução dessas desigualdades ou, de forma intencional, atuar na sua superação, promovendo a inclusão, o respeito à diversidade e a valorização das experiências corporais de todas as estudantes.</w:t>
      </w:r>
    </w:p>
    <w:p w14:paraId="27EC415C" w14:textId="77777777" w:rsidR="0012667B" w:rsidRDefault="0012667B">
      <w:pPr>
        <w:pBdr>
          <w:top w:val="nil"/>
          <w:left w:val="nil"/>
          <w:bottom w:val="nil"/>
          <w:right w:val="nil"/>
          <w:between w:val="nil"/>
        </w:pBdr>
        <w:rPr>
          <w:color w:val="000000"/>
        </w:rPr>
      </w:pPr>
    </w:p>
    <w:p w14:paraId="2D9420F1" w14:textId="77777777" w:rsidR="0012667B" w:rsidRDefault="00000000">
      <w:pPr>
        <w:pBdr>
          <w:top w:val="nil"/>
          <w:left w:val="nil"/>
          <w:bottom w:val="nil"/>
          <w:right w:val="nil"/>
          <w:between w:val="nil"/>
        </w:pBdr>
        <w:rPr>
          <w:b/>
          <w:color w:val="000000"/>
        </w:rPr>
      </w:pPr>
      <w:r w:rsidRPr="00A01FAC">
        <w:rPr>
          <w:b/>
          <w:color w:val="000000"/>
        </w:rPr>
        <w:t>FUNDAMENTAÇÃO TEÓRICA</w:t>
      </w:r>
    </w:p>
    <w:p w14:paraId="2DC5C5F3" w14:textId="77777777" w:rsidR="009D6BD4" w:rsidRDefault="009D6BD4">
      <w:pPr>
        <w:pBdr>
          <w:top w:val="nil"/>
          <w:left w:val="nil"/>
          <w:bottom w:val="nil"/>
          <w:right w:val="nil"/>
          <w:between w:val="nil"/>
        </w:pBdr>
        <w:rPr>
          <w:color w:val="000000"/>
        </w:rPr>
      </w:pPr>
    </w:p>
    <w:p w14:paraId="0154E7C8" w14:textId="74242DB6" w:rsidR="00877800" w:rsidRDefault="00877800" w:rsidP="00877800">
      <w:pPr>
        <w:ind w:firstLine="720"/>
      </w:pPr>
      <w:r w:rsidRPr="00877800">
        <w:t>Sob a ótica de Pierre Bourdieu</w:t>
      </w:r>
      <w:r w:rsidR="00AB5CE9">
        <w:t xml:space="preserve"> (1989)</w:t>
      </w:r>
      <w:r w:rsidRPr="00877800">
        <w:t xml:space="preserve">, o campo esportivo reproduz e naturaliza desigualdades sociais ao estruturar-se por </w:t>
      </w:r>
      <w:proofErr w:type="spellStart"/>
      <w:r w:rsidRPr="00877800">
        <w:rPr>
          <w:i/>
          <w:iCs/>
        </w:rPr>
        <w:t>habitus</w:t>
      </w:r>
      <w:proofErr w:type="spellEnd"/>
      <w:r w:rsidRPr="00877800">
        <w:t xml:space="preserve"> que vinculam a prática esportiva à virilidade, força e competitividade, atributos historicamente associados ao masculino. As relações de dominação não se mantêm apenas pela força ou pela lei, mas, sobretudo, pela aceitação inconsciente das normas sociais, o que faz com que as mulheres sejam vistas como “menos esportivas” ou “menos capazes”. </w:t>
      </w:r>
    </w:p>
    <w:p w14:paraId="2078EAF4" w14:textId="37D4FF5A" w:rsidR="00877800" w:rsidRPr="00877800" w:rsidRDefault="00877800" w:rsidP="00877800">
      <w:pPr>
        <w:ind w:firstLine="720"/>
      </w:pPr>
      <w:r w:rsidRPr="00877800">
        <w:t>Para Bourdieu (1989), esse processo é sustentado pelo poder simbólico, capaz de moldar percepções e legitimar hierarquias por meio da linguagem e das representações sociais: “poder quase mágico que permite obter o equivalente daquilo que é obtido pela força” (p. 14). Assim, homens e mulheres ocupam posições distintas de acesso ao reconhecimento e às oportunidades, diferenças que não são biológicas, mas construções sociais.</w:t>
      </w:r>
    </w:p>
    <w:p w14:paraId="60CD965A" w14:textId="77777777" w:rsidR="00877800" w:rsidRDefault="00877800" w:rsidP="00877800">
      <w:pPr>
        <w:ind w:firstLine="720"/>
      </w:pPr>
      <w:r w:rsidRPr="00877800">
        <w:t xml:space="preserve">No espaço escolar, tais desigualdades manifestam-se na valorização de modalidades esportivas masculinizadas e na deslegitimação do protagonismo feminino, </w:t>
      </w:r>
      <w:r w:rsidRPr="00877800">
        <w:lastRenderedPageBreak/>
        <w:t xml:space="preserve">reforçando a exclusão de meninas em práticas como o futebol. Como ressalta Bourdieu (1989, p. 55), trata-se de um espaço “pré-construído”, no qual as regras determinam quem é incluído ou excluído. Nessa perspectiva, Altmann (2015) observa que a virilidade se torna central nas aulas de Educação Física, sobretudo no futebol, em que os meninos rejeitam jogar com meninas por não as perceberem como “desafio”. </w:t>
      </w:r>
    </w:p>
    <w:p w14:paraId="59DA4C1C" w14:textId="314C8D18" w:rsidR="00877800" w:rsidRPr="00877800" w:rsidRDefault="00877800" w:rsidP="00877800">
      <w:pPr>
        <w:ind w:firstLine="720"/>
      </w:pPr>
      <w:r w:rsidRPr="00877800">
        <w:t xml:space="preserve">Tal cenário evidencia a necessidade de compreender, como apontam Carvalho e </w:t>
      </w:r>
      <w:proofErr w:type="spellStart"/>
      <w:r w:rsidRPr="00877800">
        <w:t>Mandalozzo</w:t>
      </w:r>
      <w:proofErr w:type="spellEnd"/>
      <w:r w:rsidRPr="00877800">
        <w:t xml:space="preserve"> (2014), que a desigualdade de gênero no esporte está ligada à histórica desvalorização das mulheres, vistas por muito tempo como incapazes. Romper com esse padrão exige refletir criticamente sobre as normas de gênero que ainda operam na escola e avançar na construção de uma cultura esportiva equitativa e inclusiva.</w:t>
      </w:r>
    </w:p>
    <w:p w14:paraId="11779F6B" w14:textId="77777777" w:rsidR="0012667B" w:rsidRDefault="0012667B"/>
    <w:p w14:paraId="352B9347" w14:textId="77777777" w:rsidR="0012667B" w:rsidRDefault="00000000">
      <w:pPr>
        <w:pBdr>
          <w:top w:val="nil"/>
          <w:left w:val="nil"/>
          <w:bottom w:val="nil"/>
          <w:right w:val="nil"/>
          <w:between w:val="nil"/>
        </w:pBdr>
        <w:rPr>
          <w:b/>
        </w:rPr>
      </w:pPr>
      <w:r>
        <w:rPr>
          <w:b/>
          <w:color w:val="000000"/>
        </w:rPr>
        <w:t>PROCEDIMENTOS ÉTICOS E METODOLÓGICOS</w:t>
      </w:r>
    </w:p>
    <w:p w14:paraId="63BDE89A" w14:textId="77777777" w:rsidR="0012667B" w:rsidRDefault="0012667B">
      <w:pPr>
        <w:pBdr>
          <w:top w:val="nil"/>
          <w:left w:val="nil"/>
          <w:bottom w:val="nil"/>
          <w:right w:val="nil"/>
          <w:between w:val="nil"/>
        </w:pBdr>
        <w:rPr>
          <w:b/>
        </w:rPr>
      </w:pPr>
    </w:p>
    <w:p w14:paraId="079145AC" w14:textId="32F3A161" w:rsidR="0012667B" w:rsidRDefault="00000000">
      <w:pPr>
        <w:ind w:firstLine="720"/>
      </w:pPr>
      <w:r>
        <w:t>Este relato de experiência é um recorte de intervenções realizadas pelo subprojeto PIBID/Educação Físic</w:t>
      </w:r>
      <w:r w:rsidR="00AA7A87">
        <w:t>a (núcleo Maceió)</w:t>
      </w:r>
      <w:r w:rsidR="0044585B" w:rsidRPr="0044585B">
        <w:rPr>
          <w:color w:val="4472C4" w:themeColor="accent1"/>
        </w:rPr>
        <w:t xml:space="preserve"> </w:t>
      </w:r>
      <w:r>
        <w:t>em um</w:t>
      </w:r>
      <w:r w:rsidR="00AA7A87">
        <w:t>a das escolas parceiras</w:t>
      </w:r>
      <w:r>
        <w:t>. Trata-se de uma pesquisa qualitativa, exploratória e intervencionista, em andamento, com dados ainda preliminares. Configura-se como pesquisa-ação</w:t>
      </w:r>
      <w:r w:rsidR="00891781">
        <w:t xml:space="preserve"> (</w:t>
      </w:r>
      <w:proofErr w:type="spellStart"/>
      <w:r w:rsidR="00891781">
        <w:t>Thiolent</w:t>
      </w:r>
      <w:proofErr w:type="spellEnd"/>
      <w:r w:rsidR="00891781">
        <w:t>, 1992)</w:t>
      </w:r>
      <w:r>
        <w:t>, por articular prática pedagógica e produção de conhecimento, envolvendo os sujeitos na reflexão e transformação do contexto educativo.</w:t>
      </w:r>
    </w:p>
    <w:p w14:paraId="6B2A9646" w14:textId="2AFAA743" w:rsidR="0012667B" w:rsidRDefault="00000000">
      <w:pPr>
        <w:ind w:firstLine="720"/>
      </w:pPr>
      <w:r>
        <w:t>A experiência ocorreu em uma escola estadual d</w:t>
      </w:r>
      <w:r w:rsidR="00AA7A87">
        <w:t>e Ensino Médio</w:t>
      </w:r>
      <w:r w:rsidRPr="00DF2E1D">
        <w:rPr>
          <w:color w:val="4472C4" w:themeColor="accent1"/>
        </w:rPr>
        <w:t xml:space="preserve"> </w:t>
      </w:r>
      <w:r>
        <w:t>em tempo integral, na periferia de Maceió/AL, com duas turmas da 2ª série</w:t>
      </w:r>
      <w:r w:rsidR="00891781">
        <w:t>,</w:t>
      </w:r>
      <w:r w:rsidR="00477932">
        <w:t xml:space="preserve"> uma turma com 40 alunos e a segunda turma com 38, tendo no total, 38 estudantes do sexo feminino e 40 do sexo masculino</w:t>
      </w:r>
      <w:r>
        <w:t>. A intervenção durou seis semanas</w:t>
      </w:r>
      <w:r w:rsidR="00492349">
        <w:t xml:space="preserve"> no ano de 2025</w:t>
      </w:r>
      <w:r>
        <w:t>, durante as aulas regulares de Educação Física, sendo planejada e executada por oito bolsistas de iniciação à docência, sob supervisão de um professor efetivo.</w:t>
      </w:r>
    </w:p>
    <w:p w14:paraId="5BD3DD82" w14:textId="77777777" w:rsidR="0012667B" w:rsidRDefault="00000000">
      <w:pPr>
        <w:ind w:firstLine="720"/>
      </w:pPr>
      <w:r>
        <w:t>Os dados foram obtidos por observação participante, com registros em duas fontes: diários reflexivos dos bolsistas, que relataram percepções, desafios e aprendizagens; e registros audiovisuais das atividades, que documentaram as práticas pedagógicas e as interações dos estudantes. A análise baseou-se na técnica de análise de conteúdo (Bardin, 2011), permitindo a identificação de categorias temáticas a partir dos registros, sistematizando e interpretando as percepções e aprendizagens decorrentes da intervenção.</w:t>
      </w:r>
    </w:p>
    <w:p w14:paraId="69E5BB96" w14:textId="77777777" w:rsidR="0012667B" w:rsidRDefault="0012667B">
      <w:pPr>
        <w:pBdr>
          <w:top w:val="nil"/>
          <w:left w:val="nil"/>
          <w:bottom w:val="nil"/>
          <w:right w:val="nil"/>
          <w:between w:val="nil"/>
        </w:pBdr>
      </w:pPr>
    </w:p>
    <w:p w14:paraId="28CC284D" w14:textId="77777777" w:rsidR="000A698D" w:rsidRDefault="000A698D">
      <w:pPr>
        <w:pBdr>
          <w:top w:val="nil"/>
          <w:left w:val="nil"/>
          <w:bottom w:val="nil"/>
          <w:right w:val="nil"/>
          <w:between w:val="nil"/>
        </w:pBdr>
      </w:pPr>
    </w:p>
    <w:p w14:paraId="263519CC" w14:textId="77777777" w:rsidR="000A698D" w:rsidRDefault="000A698D">
      <w:pPr>
        <w:pBdr>
          <w:top w:val="nil"/>
          <w:left w:val="nil"/>
          <w:bottom w:val="nil"/>
          <w:right w:val="nil"/>
          <w:between w:val="nil"/>
        </w:pBdr>
      </w:pPr>
    </w:p>
    <w:p w14:paraId="2D5A50E5" w14:textId="77777777" w:rsidR="0012667B" w:rsidRDefault="00000000">
      <w:pPr>
        <w:rPr>
          <w:b/>
        </w:rPr>
      </w:pPr>
      <w:r>
        <w:rPr>
          <w:b/>
        </w:rPr>
        <w:t>ANÁLISE DOS DADOS</w:t>
      </w:r>
    </w:p>
    <w:p w14:paraId="7CDE2E24" w14:textId="77777777" w:rsidR="0012667B" w:rsidRDefault="0012667B">
      <w:pPr>
        <w:pBdr>
          <w:top w:val="nil"/>
          <w:left w:val="nil"/>
          <w:bottom w:val="nil"/>
          <w:right w:val="nil"/>
          <w:between w:val="nil"/>
        </w:pBdr>
        <w:rPr>
          <w:b/>
        </w:rPr>
      </w:pPr>
    </w:p>
    <w:p w14:paraId="0D8EA91D" w14:textId="1747B8CC" w:rsidR="0012667B" w:rsidRDefault="00000000">
      <w:pPr>
        <w:pBdr>
          <w:top w:val="nil"/>
          <w:left w:val="nil"/>
          <w:bottom w:val="nil"/>
          <w:right w:val="nil"/>
          <w:between w:val="nil"/>
        </w:pBdr>
        <w:rPr>
          <w:b/>
        </w:rPr>
      </w:pPr>
      <w:r>
        <w:rPr>
          <w:b/>
        </w:rPr>
        <w:t>Mapeamento Diagnóstico</w:t>
      </w:r>
    </w:p>
    <w:p w14:paraId="43AB7D27" w14:textId="1AA454DC" w:rsidR="00877800" w:rsidRPr="00877800" w:rsidRDefault="00000000" w:rsidP="00877800">
      <w:pPr>
        <w:pBdr>
          <w:top w:val="nil"/>
          <w:left w:val="nil"/>
          <w:bottom w:val="nil"/>
          <w:right w:val="nil"/>
          <w:between w:val="nil"/>
        </w:pBdr>
      </w:pPr>
      <w:r>
        <w:rPr>
          <w:b/>
        </w:rPr>
        <w:tab/>
      </w:r>
      <w:r w:rsidR="00877800" w:rsidRPr="00877800">
        <w:t>O planejamento pedagógico partiu de um diagnóstico que revelou interesses e percepções dos estudantes sobre as práticas corporais, com destaque para as questões de gênero. Relatos de professoras</w:t>
      </w:r>
      <w:r w:rsidR="00477932">
        <w:t xml:space="preserve"> de outras disciplinas</w:t>
      </w:r>
      <w:r w:rsidR="00877800" w:rsidRPr="00877800">
        <w:t xml:space="preserve"> em reuniões</w:t>
      </w:r>
      <w:r w:rsidR="00ED3313">
        <w:t>,</w:t>
      </w:r>
      <w:r w:rsidR="00877800" w:rsidRPr="00877800">
        <w:t xml:space="preserve"> apontaram atitudes opressoras de alguns alunos, como interrupções e piadas machistas, evidenciando desigualdades</w:t>
      </w:r>
      <w:r w:rsidR="00ED3313">
        <w:t>, onde, em aulas de Educação Física, essa é uma realidade que se repete, tornando assim, um ambiente ainda mais propício para se trabalhar este tema</w:t>
      </w:r>
      <w:r w:rsidR="00877800" w:rsidRPr="00877800">
        <w:t>. Apesar de propostas inclusivas, persistiam estereótipos que reforçavam a associação entre esporte e masculinidade, inibindo a participação das alunas, sobretudo em modalidades como futebol e futsal.</w:t>
      </w:r>
    </w:p>
    <w:p w14:paraId="24ED24F9" w14:textId="77777777" w:rsidR="00877800" w:rsidRPr="00877800" w:rsidRDefault="00877800" w:rsidP="00877800">
      <w:pPr>
        <w:pBdr>
          <w:top w:val="nil"/>
          <w:left w:val="nil"/>
          <w:bottom w:val="nil"/>
          <w:right w:val="nil"/>
          <w:between w:val="nil"/>
        </w:pBdr>
        <w:ind w:firstLine="720"/>
      </w:pPr>
      <w:r w:rsidRPr="00877800">
        <w:t>Para aprofundar a compreensão dessas vivências, realizou-se uma roda de conversa exclusiva com as meninas, que relataram experiências de exclusão, dominação masculina nas aulas mistas e comportamentos violentos que limitavam sua participação. Também denunciaram a sexualização de seus corpos, expressa em comentários e olhares constrangedores, levando muitas a usar roupas que restringiam movimentos. Algumas naturalizavam tais práticas, revelando a internalização de atitudes opressoras.</w:t>
      </w:r>
    </w:p>
    <w:p w14:paraId="38B03C33" w14:textId="77777777" w:rsidR="00877800" w:rsidRDefault="00877800" w:rsidP="00877800">
      <w:pPr>
        <w:pBdr>
          <w:top w:val="nil"/>
          <w:left w:val="nil"/>
          <w:bottom w:val="nil"/>
          <w:right w:val="nil"/>
          <w:between w:val="nil"/>
        </w:pBdr>
        <w:ind w:firstLine="720"/>
      </w:pPr>
      <w:r w:rsidRPr="00877800">
        <w:t>Essas vivências refletem a violência simbólica descrita por Bourdieu, na medida em que a escola, ao naturalizar comportamentos hegemônicos, contribui para a reprodução das desigualdades de gênero. A partir das narrativas, identificaram-se dimensões recorrentes de exclusão, sistematizadas em categorias analíticas fundamentadas em Bourdieu, nos estudos feministas e nas abordagens de gênero na educação.</w:t>
      </w:r>
    </w:p>
    <w:p w14:paraId="40F13625" w14:textId="77777777" w:rsidR="000A698D" w:rsidRDefault="000A698D" w:rsidP="00877800">
      <w:pPr>
        <w:pBdr>
          <w:top w:val="nil"/>
          <w:left w:val="nil"/>
          <w:bottom w:val="nil"/>
          <w:right w:val="nil"/>
          <w:between w:val="nil"/>
        </w:pBdr>
        <w:ind w:firstLine="720"/>
      </w:pPr>
    </w:p>
    <w:p w14:paraId="2A8C9FD0" w14:textId="021477D6" w:rsidR="0012667B" w:rsidRPr="009D6BD4" w:rsidRDefault="009D6BD4" w:rsidP="000A698D">
      <w:pPr>
        <w:pBdr>
          <w:top w:val="nil"/>
          <w:left w:val="nil"/>
          <w:bottom w:val="nil"/>
          <w:right w:val="nil"/>
          <w:between w:val="nil"/>
        </w:pBdr>
        <w:rPr>
          <w:iCs/>
        </w:rPr>
      </w:pPr>
      <w:r>
        <w:rPr>
          <w:iCs/>
        </w:rPr>
        <w:t>Quadro 1: Categorias de análise</w:t>
      </w:r>
    </w:p>
    <w:tbl>
      <w:tblPr>
        <w:tblStyle w:val="a"/>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3558"/>
        <w:gridCol w:w="3529"/>
      </w:tblGrid>
      <w:tr w:rsidR="0012667B" w14:paraId="12BC8325" w14:textId="77777777" w:rsidTr="009D6BD4">
        <w:trPr>
          <w:trHeight w:val="314"/>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BC494" w14:textId="77777777" w:rsidR="0012667B" w:rsidRDefault="00000000" w:rsidP="00877800">
            <w:pPr>
              <w:spacing w:line="240" w:lineRule="auto"/>
              <w:jc w:val="center"/>
              <w:rPr>
                <w:sz w:val="22"/>
                <w:szCs w:val="22"/>
              </w:rPr>
            </w:pPr>
            <w:r>
              <w:rPr>
                <w:b/>
                <w:sz w:val="22"/>
                <w:szCs w:val="22"/>
              </w:rPr>
              <w:t>Categoria</w:t>
            </w:r>
          </w:p>
        </w:tc>
        <w:tc>
          <w:tcPr>
            <w:tcW w:w="3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14FAF" w14:textId="77777777" w:rsidR="0012667B" w:rsidRDefault="00000000" w:rsidP="00877800">
            <w:pPr>
              <w:spacing w:line="240" w:lineRule="auto"/>
              <w:jc w:val="center"/>
              <w:rPr>
                <w:sz w:val="22"/>
                <w:szCs w:val="22"/>
              </w:rPr>
            </w:pPr>
            <w:r>
              <w:rPr>
                <w:b/>
                <w:sz w:val="22"/>
                <w:szCs w:val="22"/>
              </w:rPr>
              <w:t>Descrição</w:t>
            </w:r>
          </w:p>
        </w:tc>
        <w:tc>
          <w:tcPr>
            <w:tcW w:w="3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AD865" w14:textId="77777777" w:rsidR="0012667B" w:rsidRDefault="00000000" w:rsidP="00877800">
            <w:pPr>
              <w:spacing w:line="240" w:lineRule="auto"/>
              <w:jc w:val="center"/>
              <w:rPr>
                <w:sz w:val="22"/>
                <w:szCs w:val="22"/>
              </w:rPr>
            </w:pPr>
            <w:r>
              <w:rPr>
                <w:b/>
                <w:sz w:val="22"/>
                <w:szCs w:val="22"/>
              </w:rPr>
              <w:t>Indicadores</w:t>
            </w:r>
          </w:p>
        </w:tc>
      </w:tr>
      <w:tr w:rsidR="0012667B" w14:paraId="672ED716" w14:textId="77777777" w:rsidTr="009D6BD4">
        <w:trPr>
          <w:trHeight w:val="1358"/>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FDE02" w14:textId="77777777" w:rsidR="0012667B" w:rsidRDefault="00000000" w:rsidP="00877800">
            <w:pPr>
              <w:spacing w:line="240" w:lineRule="auto"/>
              <w:rPr>
                <w:sz w:val="22"/>
                <w:szCs w:val="22"/>
              </w:rPr>
            </w:pPr>
            <w:r>
              <w:rPr>
                <w:b/>
                <w:sz w:val="22"/>
                <w:szCs w:val="22"/>
              </w:rPr>
              <w:lastRenderedPageBreak/>
              <w:t>1. Violência simbólica e naturalização da desigualdade</w:t>
            </w:r>
          </w:p>
        </w:tc>
        <w:tc>
          <w:tcPr>
            <w:tcW w:w="3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4DC13" w14:textId="77777777" w:rsidR="0012667B" w:rsidRDefault="00000000" w:rsidP="00877800">
            <w:pPr>
              <w:spacing w:line="240" w:lineRule="auto"/>
              <w:rPr>
                <w:sz w:val="22"/>
                <w:szCs w:val="22"/>
              </w:rPr>
            </w:pPr>
            <w:r>
              <w:rPr>
                <w:sz w:val="22"/>
                <w:szCs w:val="22"/>
              </w:rPr>
              <w:t>Engloba a aceitação passiva de práticas discriminatórias como parte da “normalidade” nas relações de gênero, sustentando hierarquias invisíveis no cotidiano escolar.</w:t>
            </w:r>
          </w:p>
        </w:tc>
        <w:tc>
          <w:tcPr>
            <w:tcW w:w="3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BAD94" w14:textId="77777777" w:rsidR="0012667B" w:rsidRDefault="00000000" w:rsidP="00877800">
            <w:pPr>
              <w:spacing w:line="240" w:lineRule="auto"/>
              <w:rPr>
                <w:sz w:val="22"/>
                <w:szCs w:val="22"/>
              </w:rPr>
            </w:pPr>
            <w:r>
              <w:rPr>
                <w:sz w:val="22"/>
                <w:szCs w:val="22"/>
              </w:rPr>
              <w:t>Frases como “eles são assim mesmo” ou “é só o jeito deles”; ausência de denúncia; tolerância às práticas excludentes masculinas.</w:t>
            </w:r>
          </w:p>
        </w:tc>
      </w:tr>
      <w:tr w:rsidR="0012667B" w14:paraId="590D3261" w14:textId="77777777" w:rsidTr="009D6BD4">
        <w:trPr>
          <w:trHeight w:val="1437"/>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E5C69" w14:textId="77777777" w:rsidR="0012667B" w:rsidRDefault="00000000" w:rsidP="00877800">
            <w:pPr>
              <w:spacing w:line="240" w:lineRule="auto"/>
              <w:rPr>
                <w:sz w:val="22"/>
                <w:szCs w:val="22"/>
              </w:rPr>
            </w:pPr>
            <w:r>
              <w:rPr>
                <w:b/>
                <w:sz w:val="22"/>
                <w:szCs w:val="22"/>
              </w:rPr>
              <w:t>2. Sexualização e constrangimento corporal</w:t>
            </w:r>
          </w:p>
        </w:tc>
        <w:tc>
          <w:tcPr>
            <w:tcW w:w="3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BCD75" w14:textId="77777777" w:rsidR="0012667B" w:rsidRDefault="00000000" w:rsidP="00877800">
            <w:pPr>
              <w:spacing w:line="240" w:lineRule="auto"/>
              <w:rPr>
                <w:sz w:val="22"/>
                <w:szCs w:val="22"/>
              </w:rPr>
            </w:pPr>
            <w:r>
              <w:rPr>
                <w:sz w:val="22"/>
                <w:szCs w:val="22"/>
              </w:rPr>
              <w:t>Diz respeito à objetificação dos corpos femininos, expressa por meio de olhares, comentários ou avaliações estéticas que limitam a expressão e o conforto das meninas.</w:t>
            </w:r>
          </w:p>
        </w:tc>
        <w:tc>
          <w:tcPr>
            <w:tcW w:w="3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5ECE0" w14:textId="77777777" w:rsidR="0012667B" w:rsidRDefault="00000000" w:rsidP="00877800">
            <w:pPr>
              <w:spacing w:line="240" w:lineRule="auto"/>
              <w:rPr>
                <w:sz w:val="22"/>
                <w:szCs w:val="22"/>
              </w:rPr>
            </w:pPr>
            <w:r>
              <w:rPr>
                <w:sz w:val="22"/>
                <w:szCs w:val="22"/>
              </w:rPr>
              <w:t>Comentários sobre roupas, corpos e posturas; olhares invasivos; preocupação em “não chamar atenção”; evasão das aulas por desconforto.</w:t>
            </w:r>
          </w:p>
        </w:tc>
      </w:tr>
      <w:tr w:rsidR="0012667B" w14:paraId="24D5CDA8" w14:textId="77777777" w:rsidTr="009D6BD4">
        <w:trPr>
          <w:trHeight w:val="1260"/>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28761" w14:textId="77777777" w:rsidR="0012667B" w:rsidRDefault="00000000" w:rsidP="00877800">
            <w:pPr>
              <w:spacing w:line="240" w:lineRule="auto"/>
              <w:rPr>
                <w:sz w:val="22"/>
                <w:szCs w:val="22"/>
              </w:rPr>
            </w:pPr>
            <w:r>
              <w:rPr>
                <w:b/>
                <w:sz w:val="22"/>
                <w:szCs w:val="22"/>
              </w:rPr>
              <w:t>3. Silenciamento e omissão institucional</w:t>
            </w:r>
          </w:p>
        </w:tc>
        <w:tc>
          <w:tcPr>
            <w:tcW w:w="3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093C3" w14:textId="77777777" w:rsidR="0012667B" w:rsidRDefault="00000000" w:rsidP="00877800">
            <w:pPr>
              <w:spacing w:line="240" w:lineRule="auto"/>
              <w:rPr>
                <w:sz w:val="22"/>
                <w:szCs w:val="22"/>
              </w:rPr>
            </w:pPr>
            <w:r>
              <w:rPr>
                <w:sz w:val="22"/>
                <w:szCs w:val="22"/>
              </w:rPr>
              <w:t>Refere-se à ausência de posicionamento, escuta ou intervenção da escola frente às manifestações de violência de gênero.</w:t>
            </w:r>
          </w:p>
        </w:tc>
        <w:tc>
          <w:tcPr>
            <w:tcW w:w="3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1A5E3" w14:textId="77777777" w:rsidR="0012667B" w:rsidRDefault="00000000" w:rsidP="00877800">
            <w:pPr>
              <w:spacing w:line="240" w:lineRule="auto"/>
              <w:rPr>
                <w:sz w:val="22"/>
                <w:szCs w:val="22"/>
              </w:rPr>
            </w:pPr>
            <w:r>
              <w:rPr>
                <w:sz w:val="22"/>
                <w:szCs w:val="22"/>
              </w:rPr>
              <w:t>Falta de resposta de professores; ausência de protocolos de enfrentamento; banalização de queixas; invisibilização das demandas femininas.</w:t>
            </w:r>
          </w:p>
        </w:tc>
      </w:tr>
      <w:tr w:rsidR="0012667B" w14:paraId="08386D43" w14:textId="77777777" w:rsidTr="009D6BD4">
        <w:trPr>
          <w:trHeight w:val="1487"/>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F77DB" w14:textId="77777777" w:rsidR="0012667B" w:rsidRDefault="00000000" w:rsidP="00877800">
            <w:pPr>
              <w:spacing w:line="240" w:lineRule="auto"/>
              <w:rPr>
                <w:sz w:val="22"/>
                <w:szCs w:val="22"/>
              </w:rPr>
            </w:pPr>
            <w:r>
              <w:rPr>
                <w:b/>
                <w:sz w:val="22"/>
                <w:szCs w:val="22"/>
              </w:rPr>
              <w:t>4. Resistência e ressignificação dos espaços</w:t>
            </w:r>
          </w:p>
        </w:tc>
        <w:tc>
          <w:tcPr>
            <w:tcW w:w="3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5CD85" w14:textId="77777777" w:rsidR="0012667B" w:rsidRDefault="00000000" w:rsidP="00877800">
            <w:pPr>
              <w:spacing w:line="240" w:lineRule="auto"/>
              <w:rPr>
                <w:sz w:val="22"/>
                <w:szCs w:val="22"/>
              </w:rPr>
            </w:pPr>
            <w:r>
              <w:rPr>
                <w:sz w:val="22"/>
                <w:szCs w:val="22"/>
              </w:rPr>
              <w:t>Trata dos movimentos das meninas para denunciar, questionar ou transformar suas experiências, mesmo que de forma sutil ou fragmentada.</w:t>
            </w:r>
          </w:p>
        </w:tc>
        <w:tc>
          <w:tcPr>
            <w:tcW w:w="3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A53A9" w14:textId="77777777" w:rsidR="0012667B" w:rsidRDefault="00000000" w:rsidP="00877800">
            <w:pPr>
              <w:spacing w:line="240" w:lineRule="auto"/>
              <w:rPr>
                <w:sz w:val="22"/>
                <w:szCs w:val="22"/>
              </w:rPr>
            </w:pPr>
            <w:r>
              <w:rPr>
                <w:sz w:val="22"/>
                <w:szCs w:val="22"/>
              </w:rPr>
              <w:t>Expressões de incômodo; tentativas de diálogo com adultos; busca por alternativas para participar das aulas; enfrentamentos verbais com colegas.</w:t>
            </w:r>
          </w:p>
        </w:tc>
      </w:tr>
    </w:tbl>
    <w:p w14:paraId="46C2CFC1" w14:textId="0EF3F44D" w:rsidR="009D6BD4" w:rsidRPr="009D6BD4" w:rsidRDefault="009D6BD4" w:rsidP="009D6BD4">
      <w:pPr>
        <w:spacing w:after="240" w:line="240" w:lineRule="auto"/>
        <w:rPr>
          <w:sz w:val="20"/>
          <w:szCs w:val="20"/>
        </w:rPr>
      </w:pPr>
      <w:r w:rsidRPr="009D6BD4">
        <w:rPr>
          <w:sz w:val="20"/>
          <w:szCs w:val="20"/>
        </w:rPr>
        <w:t>Fonte: Os autores, dados da pesquisa (2025).</w:t>
      </w:r>
    </w:p>
    <w:p w14:paraId="0C1A6493" w14:textId="55AC1C34" w:rsidR="0012667B" w:rsidRDefault="00000000" w:rsidP="00877800">
      <w:pPr>
        <w:spacing w:before="240" w:after="240"/>
        <w:ind w:firstLine="720"/>
      </w:pPr>
      <w:r>
        <w:t>A adoção dessas categorias possibilitou uma leitura mais aprofundada das vivências relatadas, evidenciando como o espaço escolar, ao mesmo tempo em que pode ser um reprodutor de desigualdades, também pode se constituir como um território de disputa, ressignificação e resistência. Assim, a análise orientada por essas categorias contribui para compreender os modos pelos quais as alunas negociam, resistem ou se resignam diante das opressões de gênero vivenciadas nas aulas de Educação Física.</w:t>
      </w:r>
    </w:p>
    <w:p w14:paraId="2AE16782" w14:textId="01CEFC22" w:rsidR="009D6BD4" w:rsidRPr="00877800" w:rsidRDefault="00877800" w:rsidP="00877800">
      <w:pPr>
        <w:pBdr>
          <w:top w:val="nil"/>
          <w:left w:val="nil"/>
          <w:bottom w:val="nil"/>
          <w:right w:val="nil"/>
          <w:between w:val="nil"/>
        </w:pBdr>
        <w:rPr>
          <w:b/>
        </w:rPr>
      </w:pPr>
      <w:r w:rsidRPr="00877800">
        <w:rPr>
          <w:b/>
        </w:rPr>
        <w:t>Construção do Planejament</w:t>
      </w:r>
      <w:r w:rsidR="009D6BD4">
        <w:rPr>
          <w:b/>
        </w:rPr>
        <w:t>o</w:t>
      </w:r>
    </w:p>
    <w:p w14:paraId="6B2E2551" w14:textId="0785356A" w:rsidR="00877800" w:rsidRPr="00877800" w:rsidRDefault="00877800" w:rsidP="00877800">
      <w:pPr>
        <w:pBdr>
          <w:top w:val="nil"/>
          <w:left w:val="nil"/>
          <w:bottom w:val="nil"/>
          <w:right w:val="nil"/>
          <w:between w:val="nil"/>
        </w:pBdr>
        <w:ind w:firstLine="720"/>
        <w:rPr>
          <w:bCs/>
        </w:rPr>
      </w:pPr>
      <w:r w:rsidRPr="00877800">
        <w:rPr>
          <w:bCs/>
        </w:rPr>
        <w:t xml:space="preserve">A partir das evidências levantadas no diagnóstico, que evidenciaram situações de violência simbólica, dominação e reprodução de desigualdades de gênero, optou-se por planejar as aulas de Educação Física tendo o esporte como eixo. A escolha foi intencional, considerando seu potencial, enquanto manifestação da cultura corporal, para problematizar e desconstruir tais desigualdades. Conforme Soares et al. (1992), o esporte pode ser ressignificado no contexto escolar para além do rendimento e da competição, assumindo </w:t>
      </w:r>
      <w:r w:rsidRPr="00877800">
        <w:rPr>
          <w:bCs/>
        </w:rPr>
        <w:lastRenderedPageBreak/>
        <w:t>uma perspectiva crítica e inclusiva capaz de favorecer o debate sobre relações de poder, valores culturais e desigualdades historicamente construídas.</w:t>
      </w:r>
    </w:p>
    <w:p w14:paraId="7F41960C" w14:textId="1C5EE00D" w:rsidR="00877800" w:rsidRPr="00877800" w:rsidRDefault="00877800" w:rsidP="00877800">
      <w:pPr>
        <w:pBdr>
          <w:top w:val="nil"/>
          <w:left w:val="nil"/>
          <w:bottom w:val="nil"/>
          <w:right w:val="nil"/>
          <w:between w:val="nil"/>
        </w:pBdr>
        <w:ind w:firstLine="720"/>
        <w:rPr>
          <w:bCs/>
        </w:rPr>
      </w:pPr>
      <w:r w:rsidRPr="00877800">
        <w:rPr>
          <w:bCs/>
        </w:rPr>
        <w:t>Os dados do diagnóstico foram apresentados aos bolsistas de Iniciação à Docência, articulando-se a luta histórica das mulheres no esporte com os entraves vivenciados em suas trajetórias. O objetivo foi estimular a reflexão crítica sobre as estruturas que sustentam desigualdades de gênero e subsidiar a elaboração de intervenções pedagógicas voltadas à equidade nas aulas.</w:t>
      </w:r>
    </w:p>
    <w:p w14:paraId="12263B0E" w14:textId="77777777" w:rsidR="00877800" w:rsidRDefault="00877800" w:rsidP="00877800">
      <w:pPr>
        <w:pBdr>
          <w:top w:val="nil"/>
          <w:left w:val="nil"/>
          <w:bottom w:val="nil"/>
          <w:right w:val="nil"/>
          <w:between w:val="nil"/>
        </w:pBdr>
        <w:ind w:firstLine="720"/>
        <w:rPr>
          <w:bCs/>
        </w:rPr>
      </w:pPr>
      <w:r w:rsidRPr="00877800">
        <w:rPr>
          <w:bCs/>
        </w:rPr>
        <w:t>Em grupos, os bolsistas pesquisaram trajetórias de atletas que enfrentaram opressões, a fim de provocar reflexões a partir de diferentes contextos sociais. A sequência didática foi organizada em dois momentos: (1) apresentação de atletas e desafios enfrentados ao longo de suas carreiras; (2) vivência prática da modalidade relacionada, promovendo protagonismo das alunas e valorização da participação feminina.</w:t>
      </w:r>
    </w:p>
    <w:p w14:paraId="5219A3D4" w14:textId="77777777" w:rsidR="009D6BD4" w:rsidRDefault="009D6BD4" w:rsidP="009D6BD4">
      <w:pPr>
        <w:pBdr>
          <w:top w:val="nil"/>
          <w:left w:val="nil"/>
          <w:bottom w:val="nil"/>
          <w:right w:val="nil"/>
          <w:between w:val="nil"/>
        </w:pBdr>
        <w:rPr>
          <w:bCs/>
        </w:rPr>
      </w:pPr>
    </w:p>
    <w:p w14:paraId="1CA72927" w14:textId="5E35D42D" w:rsidR="007448B3" w:rsidRPr="00877800" w:rsidRDefault="009D6BD4" w:rsidP="009D6BD4">
      <w:pPr>
        <w:pBdr>
          <w:top w:val="nil"/>
          <w:left w:val="nil"/>
          <w:bottom w:val="nil"/>
          <w:right w:val="nil"/>
          <w:between w:val="nil"/>
        </w:pBdr>
        <w:rPr>
          <w:bCs/>
        </w:rPr>
      </w:pPr>
      <w:r>
        <w:rPr>
          <w:bCs/>
        </w:rPr>
        <w:t xml:space="preserve">Quadro 2: Sistematização do Planejamento </w:t>
      </w:r>
    </w:p>
    <w:tbl>
      <w:tblPr>
        <w:tblStyle w:val="Tabelacomgrade"/>
        <w:tblW w:w="0" w:type="auto"/>
        <w:tblLook w:val="04A0" w:firstRow="1" w:lastRow="0" w:firstColumn="1" w:lastColumn="0" w:noHBand="0" w:noVBand="1"/>
      </w:tblPr>
      <w:tblGrid>
        <w:gridCol w:w="1060"/>
        <w:gridCol w:w="1349"/>
        <w:gridCol w:w="1427"/>
        <w:gridCol w:w="2262"/>
        <w:gridCol w:w="3530"/>
      </w:tblGrid>
      <w:tr w:rsidR="007448B3" w:rsidRPr="007448B3" w14:paraId="047162A6" w14:textId="77777777" w:rsidTr="007448B3">
        <w:tc>
          <w:tcPr>
            <w:tcW w:w="1060" w:type="dxa"/>
            <w:hideMark/>
          </w:tcPr>
          <w:p w14:paraId="2D053255" w14:textId="77777777" w:rsidR="007448B3" w:rsidRPr="007448B3" w:rsidRDefault="007448B3" w:rsidP="007448B3">
            <w:pPr>
              <w:pBdr>
                <w:top w:val="nil"/>
                <w:left w:val="nil"/>
                <w:bottom w:val="nil"/>
                <w:right w:val="nil"/>
                <w:between w:val="nil"/>
              </w:pBdr>
              <w:spacing w:line="360" w:lineRule="auto"/>
              <w:jc w:val="center"/>
              <w:rPr>
                <w:b/>
                <w:bCs/>
                <w:sz w:val="22"/>
                <w:szCs w:val="22"/>
              </w:rPr>
            </w:pPr>
            <w:r w:rsidRPr="007448B3">
              <w:rPr>
                <w:b/>
                <w:bCs/>
                <w:sz w:val="22"/>
                <w:szCs w:val="22"/>
              </w:rPr>
              <w:t>Semana</w:t>
            </w:r>
          </w:p>
        </w:tc>
        <w:tc>
          <w:tcPr>
            <w:tcW w:w="1349" w:type="dxa"/>
            <w:hideMark/>
          </w:tcPr>
          <w:p w14:paraId="3B68AB24" w14:textId="1B0B260E" w:rsidR="007448B3" w:rsidRPr="007448B3" w:rsidRDefault="007448B3" w:rsidP="007448B3">
            <w:pPr>
              <w:pBdr>
                <w:top w:val="nil"/>
                <w:left w:val="nil"/>
                <w:bottom w:val="nil"/>
                <w:right w:val="nil"/>
                <w:between w:val="nil"/>
              </w:pBdr>
              <w:spacing w:line="360" w:lineRule="auto"/>
              <w:jc w:val="center"/>
              <w:rPr>
                <w:b/>
                <w:bCs/>
                <w:sz w:val="22"/>
                <w:szCs w:val="22"/>
              </w:rPr>
            </w:pPr>
            <w:r w:rsidRPr="007448B3">
              <w:rPr>
                <w:b/>
                <w:bCs/>
                <w:sz w:val="22"/>
                <w:szCs w:val="22"/>
              </w:rPr>
              <w:t>Atleta</w:t>
            </w:r>
          </w:p>
        </w:tc>
        <w:tc>
          <w:tcPr>
            <w:tcW w:w="1427" w:type="dxa"/>
            <w:hideMark/>
          </w:tcPr>
          <w:p w14:paraId="397A49C3" w14:textId="77777777" w:rsidR="007448B3" w:rsidRPr="007448B3" w:rsidRDefault="007448B3" w:rsidP="007448B3">
            <w:pPr>
              <w:pBdr>
                <w:top w:val="nil"/>
                <w:left w:val="nil"/>
                <w:bottom w:val="nil"/>
                <w:right w:val="nil"/>
                <w:between w:val="nil"/>
              </w:pBdr>
              <w:spacing w:line="360" w:lineRule="auto"/>
              <w:rPr>
                <w:b/>
                <w:bCs/>
                <w:sz w:val="22"/>
                <w:szCs w:val="22"/>
              </w:rPr>
            </w:pPr>
            <w:r w:rsidRPr="007448B3">
              <w:rPr>
                <w:b/>
                <w:bCs/>
                <w:sz w:val="22"/>
                <w:szCs w:val="22"/>
              </w:rPr>
              <w:t>Modalidade</w:t>
            </w:r>
          </w:p>
        </w:tc>
        <w:tc>
          <w:tcPr>
            <w:tcW w:w="2262" w:type="dxa"/>
            <w:hideMark/>
          </w:tcPr>
          <w:p w14:paraId="236C94D5" w14:textId="77777777" w:rsidR="007448B3" w:rsidRPr="007448B3" w:rsidRDefault="007448B3" w:rsidP="007448B3">
            <w:pPr>
              <w:pBdr>
                <w:top w:val="nil"/>
                <w:left w:val="nil"/>
                <w:bottom w:val="nil"/>
                <w:right w:val="nil"/>
                <w:between w:val="nil"/>
              </w:pBdr>
              <w:spacing w:line="360" w:lineRule="auto"/>
              <w:rPr>
                <w:b/>
                <w:bCs/>
                <w:sz w:val="22"/>
                <w:szCs w:val="22"/>
              </w:rPr>
            </w:pPr>
            <w:r w:rsidRPr="007448B3">
              <w:rPr>
                <w:b/>
                <w:bCs/>
                <w:sz w:val="22"/>
                <w:szCs w:val="22"/>
              </w:rPr>
              <w:t>Temática central</w:t>
            </w:r>
          </w:p>
        </w:tc>
        <w:tc>
          <w:tcPr>
            <w:tcW w:w="3530" w:type="dxa"/>
            <w:hideMark/>
          </w:tcPr>
          <w:p w14:paraId="179684CD" w14:textId="77777777" w:rsidR="007448B3" w:rsidRPr="007448B3" w:rsidRDefault="007448B3" w:rsidP="007448B3">
            <w:pPr>
              <w:pBdr>
                <w:top w:val="nil"/>
                <w:left w:val="nil"/>
                <w:bottom w:val="nil"/>
                <w:right w:val="nil"/>
                <w:between w:val="nil"/>
              </w:pBdr>
              <w:spacing w:line="360" w:lineRule="auto"/>
              <w:rPr>
                <w:b/>
                <w:bCs/>
                <w:sz w:val="22"/>
                <w:szCs w:val="22"/>
              </w:rPr>
            </w:pPr>
            <w:r w:rsidRPr="007448B3">
              <w:rPr>
                <w:b/>
                <w:bCs/>
                <w:sz w:val="22"/>
                <w:szCs w:val="22"/>
              </w:rPr>
              <w:t>Estratégia aplicada</w:t>
            </w:r>
          </w:p>
        </w:tc>
      </w:tr>
      <w:tr w:rsidR="007448B3" w:rsidRPr="007448B3" w14:paraId="0507BC69" w14:textId="77777777" w:rsidTr="007448B3">
        <w:tc>
          <w:tcPr>
            <w:tcW w:w="1060" w:type="dxa"/>
            <w:hideMark/>
          </w:tcPr>
          <w:p w14:paraId="0CE23A4C" w14:textId="77777777" w:rsidR="007448B3" w:rsidRPr="007448B3" w:rsidRDefault="007448B3" w:rsidP="007448B3">
            <w:pPr>
              <w:pBdr>
                <w:top w:val="nil"/>
                <w:left w:val="nil"/>
                <w:bottom w:val="nil"/>
                <w:right w:val="nil"/>
                <w:between w:val="nil"/>
              </w:pBdr>
              <w:jc w:val="center"/>
              <w:rPr>
                <w:sz w:val="22"/>
                <w:szCs w:val="22"/>
              </w:rPr>
            </w:pPr>
            <w:r w:rsidRPr="007448B3">
              <w:rPr>
                <w:sz w:val="22"/>
                <w:szCs w:val="22"/>
              </w:rPr>
              <w:t>1</w:t>
            </w:r>
          </w:p>
        </w:tc>
        <w:tc>
          <w:tcPr>
            <w:tcW w:w="1349" w:type="dxa"/>
            <w:vAlign w:val="center"/>
            <w:hideMark/>
          </w:tcPr>
          <w:p w14:paraId="5DE32DBB"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Rebeca Andrade</w:t>
            </w:r>
          </w:p>
        </w:tc>
        <w:tc>
          <w:tcPr>
            <w:tcW w:w="1427" w:type="dxa"/>
            <w:vAlign w:val="center"/>
            <w:hideMark/>
          </w:tcPr>
          <w:p w14:paraId="6F5E3AA5"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Ginástica Artística</w:t>
            </w:r>
          </w:p>
        </w:tc>
        <w:tc>
          <w:tcPr>
            <w:tcW w:w="2262" w:type="dxa"/>
            <w:vAlign w:val="center"/>
            <w:hideMark/>
          </w:tcPr>
          <w:p w14:paraId="0CFCB25F"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Invisibilidade das mulheres negras no esporte</w:t>
            </w:r>
          </w:p>
        </w:tc>
        <w:tc>
          <w:tcPr>
            <w:tcW w:w="3530" w:type="dxa"/>
            <w:hideMark/>
          </w:tcPr>
          <w:p w14:paraId="5553A5AD" w14:textId="77777777" w:rsidR="007448B3" w:rsidRPr="007448B3" w:rsidRDefault="007448B3" w:rsidP="007448B3">
            <w:pPr>
              <w:pBdr>
                <w:top w:val="nil"/>
                <w:left w:val="nil"/>
                <w:bottom w:val="nil"/>
                <w:right w:val="nil"/>
                <w:between w:val="nil"/>
              </w:pBdr>
              <w:rPr>
                <w:sz w:val="22"/>
                <w:szCs w:val="22"/>
              </w:rPr>
            </w:pPr>
            <w:r w:rsidRPr="007448B3">
              <w:rPr>
                <w:sz w:val="22"/>
                <w:szCs w:val="22"/>
              </w:rPr>
              <w:t>Discussão da trajetória, reflexão crítica, vivência prática, promoção de protagonismo feminino</w:t>
            </w:r>
          </w:p>
        </w:tc>
      </w:tr>
      <w:tr w:rsidR="007448B3" w:rsidRPr="007448B3" w14:paraId="676401E7" w14:textId="77777777" w:rsidTr="007448B3">
        <w:tc>
          <w:tcPr>
            <w:tcW w:w="1060" w:type="dxa"/>
            <w:hideMark/>
          </w:tcPr>
          <w:p w14:paraId="14D3C477" w14:textId="77777777" w:rsidR="007448B3" w:rsidRPr="007448B3" w:rsidRDefault="007448B3" w:rsidP="007448B3">
            <w:pPr>
              <w:pBdr>
                <w:top w:val="nil"/>
                <w:left w:val="nil"/>
                <w:bottom w:val="nil"/>
                <w:right w:val="nil"/>
                <w:between w:val="nil"/>
              </w:pBdr>
              <w:jc w:val="center"/>
              <w:rPr>
                <w:sz w:val="22"/>
                <w:szCs w:val="22"/>
              </w:rPr>
            </w:pPr>
            <w:r w:rsidRPr="007448B3">
              <w:rPr>
                <w:sz w:val="22"/>
                <w:szCs w:val="22"/>
              </w:rPr>
              <w:t>2</w:t>
            </w:r>
          </w:p>
        </w:tc>
        <w:tc>
          <w:tcPr>
            <w:tcW w:w="1349" w:type="dxa"/>
            <w:vAlign w:val="center"/>
            <w:hideMark/>
          </w:tcPr>
          <w:p w14:paraId="1B24C52D"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Marta</w:t>
            </w:r>
          </w:p>
        </w:tc>
        <w:tc>
          <w:tcPr>
            <w:tcW w:w="1427" w:type="dxa"/>
            <w:vAlign w:val="center"/>
            <w:hideMark/>
          </w:tcPr>
          <w:p w14:paraId="6CAD0ECF"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Futebol</w:t>
            </w:r>
          </w:p>
        </w:tc>
        <w:tc>
          <w:tcPr>
            <w:tcW w:w="2262" w:type="dxa"/>
            <w:vAlign w:val="center"/>
            <w:hideMark/>
          </w:tcPr>
          <w:p w14:paraId="461E15A2"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Estigmas de gênero no futebol feminino</w:t>
            </w:r>
          </w:p>
        </w:tc>
        <w:tc>
          <w:tcPr>
            <w:tcW w:w="3530" w:type="dxa"/>
            <w:hideMark/>
          </w:tcPr>
          <w:p w14:paraId="0B30BA34" w14:textId="77777777" w:rsidR="007448B3" w:rsidRPr="007448B3" w:rsidRDefault="007448B3" w:rsidP="007448B3">
            <w:pPr>
              <w:pBdr>
                <w:top w:val="nil"/>
                <w:left w:val="nil"/>
                <w:bottom w:val="nil"/>
                <w:right w:val="nil"/>
                <w:between w:val="nil"/>
              </w:pBdr>
              <w:rPr>
                <w:sz w:val="22"/>
                <w:szCs w:val="22"/>
              </w:rPr>
            </w:pPr>
            <w:r w:rsidRPr="007448B3">
              <w:rPr>
                <w:sz w:val="22"/>
                <w:szCs w:val="22"/>
              </w:rPr>
              <w:t>Relatos de experiências, debate sobre preconceitos, reflexão crítica sobre desigualdades</w:t>
            </w:r>
          </w:p>
        </w:tc>
      </w:tr>
      <w:tr w:rsidR="007448B3" w:rsidRPr="007448B3" w14:paraId="6E89FFEB" w14:textId="77777777" w:rsidTr="007448B3">
        <w:tc>
          <w:tcPr>
            <w:tcW w:w="1060" w:type="dxa"/>
            <w:hideMark/>
          </w:tcPr>
          <w:p w14:paraId="02A9F0C9" w14:textId="77777777" w:rsidR="007448B3" w:rsidRPr="007448B3" w:rsidRDefault="007448B3" w:rsidP="007448B3">
            <w:pPr>
              <w:pBdr>
                <w:top w:val="nil"/>
                <w:left w:val="nil"/>
                <w:bottom w:val="nil"/>
                <w:right w:val="nil"/>
                <w:between w:val="nil"/>
              </w:pBdr>
              <w:jc w:val="center"/>
              <w:rPr>
                <w:sz w:val="22"/>
                <w:szCs w:val="22"/>
              </w:rPr>
            </w:pPr>
            <w:r w:rsidRPr="007448B3">
              <w:rPr>
                <w:sz w:val="22"/>
                <w:szCs w:val="22"/>
              </w:rPr>
              <w:t>3</w:t>
            </w:r>
          </w:p>
        </w:tc>
        <w:tc>
          <w:tcPr>
            <w:tcW w:w="1349" w:type="dxa"/>
            <w:vAlign w:val="center"/>
            <w:hideMark/>
          </w:tcPr>
          <w:p w14:paraId="4C86F7C8"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Rafaela Silva</w:t>
            </w:r>
          </w:p>
        </w:tc>
        <w:tc>
          <w:tcPr>
            <w:tcW w:w="1427" w:type="dxa"/>
            <w:vAlign w:val="center"/>
            <w:hideMark/>
          </w:tcPr>
          <w:p w14:paraId="70DC864D"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Judô</w:t>
            </w:r>
          </w:p>
        </w:tc>
        <w:tc>
          <w:tcPr>
            <w:tcW w:w="2262" w:type="dxa"/>
            <w:vAlign w:val="center"/>
            <w:hideMark/>
          </w:tcPr>
          <w:p w14:paraId="5719363A"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Racismo e representatividade</w:t>
            </w:r>
          </w:p>
        </w:tc>
        <w:tc>
          <w:tcPr>
            <w:tcW w:w="3530" w:type="dxa"/>
            <w:hideMark/>
          </w:tcPr>
          <w:p w14:paraId="7D422B74" w14:textId="77777777" w:rsidR="007448B3" w:rsidRPr="007448B3" w:rsidRDefault="007448B3" w:rsidP="007448B3">
            <w:pPr>
              <w:pBdr>
                <w:top w:val="nil"/>
                <w:left w:val="nil"/>
                <w:bottom w:val="nil"/>
                <w:right w:val="nil"/>
                <w:between w:val="nil"/>
              </w:pBdr>
              <w:rPr>
                <w:sz w:val="22"/>
                <w:szCs w:val="22"/>
              </w:rPr>
            </w:pPr>
            <w:r w:rsidRPr="007448B3">
              <w:rPr>
                <w:sz w:val="22"/>
                <w:szCs w:val="22"/>
              </w:rPr>
              <w:t>Discussão sobre discriminação racial, identidade e padrões estéticos, reflexão sobre diversidade</w:t>
            </w:r>
          </w:p>
        </w:tc>
      </w:tr>
      <w:tr w:rsidR="007448B3" w:rsidRPr="007448B3" w14:paraId="4F333E46" w14:textId="77777777" w:rsidTr="007448B3">
        <w:tc>
          <w:tcPr>
            <w:tcW w:w="1060" w:type="dxa"/>
            <w:hideMark/>
          </w:tcPr>
          <w:p w14:paraId="3F2BC119" w14:textId="77777777" w:rsidR="007448B3" w:rsidRPr="007448B3" w:rsidRDefault="007448B3" w:rsidP="007448B3">
            <w:pPr>
              <w:pBdr>
                <w:top w:val="nil"/>
                <w:left w:val="nil"/>
                <w:bottom w:val="nil"/>
                <w:right w:val="nil"/>
                <w:between w:val="nil"/>
              </w:pBdr>
              <w:jc w:val="center"/>
              <w:rPr>
                <w:sz w:val="22"/>
                <w:szCs w:val="22"/>
              </w:rPr>
            </w:pPr>
            <w:r w:rsidRPr="007448B3">
              <w:rPr>
                <w:sz w:val="22"/>
                <w:szCs w:val="22"/>
              </w:rPr>
              <w:t>4</w:t>
            </w:r>
          </w:p>
        </w:tc>
        <w:tc>
          <w:tcPr>
            <w:tcW w:w="1349" w:type="dxa"/>
            <w:vAlign w:val="center"/>
            <w:hideMark/>
          </w:tcPr>
          <w:p w14:paraId="0C9BB720"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 xml:space="preserve">Geruza </w:t>
            </w:r>
            <w:proofErr w:type="spellStart"/>
            <w:r w:rsidRPr="007448B3">
              <w:rPr>
                <w:sz w:val="22"/>
                <w:szCs w:val="22"/>
              </w:rPr>
              <w:t>Jerber</w:t>
            </w:r>
            <w:proofErr w:type="spellEnd"/>
          </w:p>
        </w:tc>
        <w:tc>
          <w:tcPr>
            <w:tcW w:w="1427" w:type="dxa"/>
            <w:vAlign w:val="center"/>
            <w:hideMark/>
          </w:tcPr>
          <w:p w14:paraId="4CCCEE56"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Atletismo Paralímpico</w:t>
            </w:r>
          </w:p>
        </w:tc>
        <w:tc>
          <w:tcPr>
            <w:tcW w:w="2262" w:type="dxa"/>
            <w:vAlign w:val="center"/>
            <w:hideMark/>
          </w:tcPr>
          <w:p w14:paraId="6CE03D6B"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Inclusão e esporte adaptado</w:t>
            </w:r>
          </w:p>
        </w:tc>
        <w:tc>
          <w:tcPr>
            <w:tcW w:w="3530" w:type="dxa"/>
            <w:hideMark/>
          </w:tcPr>
          <w:p w14:paraId="71A12C73" w14:textId="77777777" w:rsidR="007448B3" w:rsidRPr="007448B3" w:rsidRDefault="007448B3" w:rsidP="007448B3">
            <w:pPr>
              <w:pBdr>
                <w:top w:val="nil"/>
                <w:left w:val="nil"/>
                <w:bottom w:val="nil"/>
                <w:right w:val="nil"/>
                <w:between w:val="nil"/>
              </w:pBdr>
              <w:rPr>
                <w:sz w:val="22"/>
                <w:szCs w:val="22"/>
              </w:rPr>
            </w:pPr>
            <w:r w:rsidRPr="007448B3">
              <w:rPr>
                <w:sz w:val="22"/>
                <w:szCs w:val="22"/>
              </w:rPr>
              <w:t>Apresentação da trajetória, vivência prática adaptada, debate sobre acessibilidade e respeito às diferenças</w:t>
            </w:r>
          </w:p>
        </w:tc>
      </w:tr>
      <w:tr w:rsidR="007448B3" w:rsidRPr="007448B3" w14:paraId="5084600B" w14:textId="77777777" w:rsidTr="007448B3">
        <w:tc>
          <w:tcPr>
            <w:tcW w:w="1060" w:type="dxa"/>
            <w:hideMark/>
          </w:tcPr>
          <w:p w14:paraId="7BE8DF10" w14:textId="77777777" w:rsidR="007448B3" w:rsidRPr="007448B3" w:rsidRDefault="007448B3" w:rsidP="007448B3">
            <w:pPr>
              <w:pBdr>
                <w:top w:val="nil"/>
                <w:left w:val="nil"/>
                <w:bottom w:val="nil"/>
                <w:right w:val="nil"/>
                <w:between w:val="nil"/>
              </w:pBdr>
              <w:jc w:val="center"/>
              <w:rPr>
                <w:sz w:val="22"/>
                <w:szCs w:val="22"/>
              </w:rPr>
            </w:pPr>
            <w:r w:rsidRPr="007448B3">
              <w:rPr>
                <w:sz w:val="22"/>
                <w:szCs w:val="22"/>
              </w:rPr>
              <w:t>5</w:t>
            </w:r>
          </w:p>
        </w:tc>
        <w:tc>
          <w:tcPr>
            <w:tcW w:w="1349" w:type="dxa"/>
            <w:vAlign w:val="center"/>
            <w:hideMark/>
          </w:tcPr>
          <w:p w14:paraId="2FC26EA3" w14:textId="032F98AD" w:rsidR="007448B3" w:rsidRPr="007448B3" w:rsidRDefault="007448B3" w:rsidP="007448B3">
            <w:pPr>
              <w:pBdr>
                <w:top w:val="nil"/>
                <w:left w:val="nil"/>
                <w:bottom w:val="nil"/>
                <w:right w:val="nil"/>
                <w:between w:val="nil"/>
              </w:pBdr>
              <w:jc w:val="left"/>
              <w:rPr>
                <w:sz w:val="22"/>
                <w:szCs w:val="22"/>
              </w:rPr>
            </w:pPr>
            <w:r w:rsidRPr="007448B3">
              <w:rPr>
                <w:sz w:val="22"/>
                <w:szCs w:val="22"/>
              </w:rPr>
              <w:t>Hortência</w:t>
            </w:r>
          </w:p>
        </w:tc>
        <w:tc>
          <w:tcPr>
            <w:tcW w:w="1427" w:type="dxa"/>
            <w:vAlign w:val="center"/>
            <w:hideMark/>
          </w:tcPr>
          <w:p w14:paraId="511B2693" w14:textId="0A7F04D5" w:rsidR="007448B3" w:rsidRPr="007448B3" w:rsidRDefault="007448B3" w:rsidP="007448B3">
            <w:pPr>
              <w:pBdr>
                <w:top w:val="nil"/>
                <w:left w:val="nil"/>
                <w:bottom w:val="nil"/>
                <w:right w:val="nil"/>
                <w:between w:val="nil"/>
              </w:pBdr>
              <w:jc w:val="left"/>
              <w:rPr>
                <w:sz w:val="22"/>
                <w:szCs w:val="22"/>
              </w:rPr>
            </w:pPr>
            <w:r>
              <w:rPr>
                <w:sz w:val="22"/>
                <w:szCs w:val="22"/>
              </w:rPr>
              <w:t>Basquete</w:t>
            </w:r>
          </w:p>
        </w:tc>
        <w:tc>
          <w:tcPr>
            <w:tcW w:w="2262" w:type="dxa"/>
            <w:vAlign w:val="center"/>
            <w:hideMark/>
          </w:tcPr>
          <w:p w14:paraId="19A3BA8F" w14:textId="77777777" w:rsidR="007448B3" w:rsidRPr="007448B3" w:rsidRDefault="007448B3" w:rsidP="007448B3">
            <w:pPr>
              <w:pBdr>
                <w:top w:val="nil"/>
                <w:left w:val="nil"/>
                <w:bottom w:val="nil"/>
                <w:right w:val="nil"/>
                <w:between w:val="nil"/>
              </w:pBdr>
              <w:jc w:val="left"/>
              <w:rPr>
                <w:sz w:val="22"/>
                <w:szCs w:val="22"/>
              </w:rPr>
            </w:pPr>
            <w:r w:rsidRPr="007448B3">
              <w:rPr>
                <w:sz w:val="22"/>
                <w:szCs w:val="22"/>
              </w:rPr>
              <w:t>Gestação e carreira esportiva</w:t>
            </w:r>
          </w:p>
        </w:tc>
        <w:tc>
          <w:tcPr>
            <w:tcW w:w="3530" w:type="dxa"/>
            <w:hideMark/>
          </w:tcPr>
          <w:p w14:paraId="3938BBAB" w14:textId="77777777" w:rsidR="007448B3" w:rsidRPr="007448B3" w:rsidRDefault="007448B3" w:rsidP="007448B3">
            <w:pPr>
              <w:pBdr>
                <w:top w:val="nil"/>
                <w:left w:val="nil"/>
                <w:bottom w:val="nil"/>
                <w:right w:val="nil"/>
                <w:between w:val="nil"/>
              </w:pBdr>
              <w:rPr>
                <w:sz w:val="22"/>
                <w:szCs w:val="22"/>
              </w:rPr>
            </w:pPr>
            <w:r w:rsidRPr="007448B3">
              <w:rPr>
                <w:sz w:val="22"/>
                <w:szCs w:val="22"/>
              </w:rPr>
              <w:t>Debate sobre maternidade, direitos reprodutivos, retorno às competições e políticas de apoio a atletas mulheres</w:t>
            </w:r>
          </w:p>
        </w:tc>
      </w:tr>
    </w:tbl>
    <w:p w14:paraId="0288A7DA" w14:textId="19D6DA1F" w:rsidR="007448B3" w:rsidRPr="009D6BD4" w:rsidRDefault="009D6BD4">
      <w:pPr>
        <w:pBdr>
          <w:top w:val="nil"/>
          <w:left w:val="nil"/>
          <w:bottom w:val="nil"/>
          <w:right w:val="nil"/>
          <w:between w:val="nil"/>
        </w:pBdr>
        <w:rPr>
          <w:bCs/>
          <w:color w:val="000000"/>
          <w:sz w:val="20"/>
          <w:szCs w:val="20"/>
        </w:rPr>
      </w:pPr>
      <w:r w:rsidRPr="009D6BD4">
        <w:rPr>
          <w:bCs/>
          <w:color w:val="000000"/>
          <w:sz w:val="20"/>
          <w:szCs w:val="20"/>
        </w:rPr>
        <w:t>Fonte: Os autores, dados da pesquisa (2025)</w:t>
      </w:r>
    </w:p>
    <w:p w14:paraId="11F86889" w14:textId="77777777" w:rsidR="009D6BD4" w:rsidRDefault="009D6BD4">
      <w:pPr>
        <w:pBdr>
          <w:top w:val="nil"/>
          <w:left w:val="nil"/>
          <w:bottom w:val="nil"/>
          <w:right w:val="nil"/>
          <w:between w:val="nil"/>
        </w:pBdr>
        <w:rPr>
          <w:b/>
          <w:color w:val="000000"/>
        </w:rPr>
      </w:pPr>
    </w:p>
    <w:p w14:paraId="148CC1A4" w14:textId="5ED6D229" w:rsidR="007448B3" w:rsidRPr="007448B3" w:rsidRDefault="007448B3" w:rsidP="007448B3">
      <w:pPr>
        <w:pBdr>
          <w:top w:val="nil"/>
          <w:left w:val="nil"/>
          <w:bottom w:val="nil"/>
          <w:right w:val="nil"/>
          <w:between w:val="nil"/>
        </w:pBdr>
        <w:ind w:firstLine="720"/>
        <w:rPr>
          <w:bCs/>
          <w:color w:val="000000"/>
        </w:rPr>
      </w:pPr>
      <w:r w:rsidRPr="007448B3">
        <w:rPr>
          <w:bCs/>
          <w:color w:val="000000"/>
        </w:rPr>
        <w:t xml:space="preserve">A organização da sequência didática permitiu integrar reflexão crítica e prática corporal, proporcionando aos estudantes experiências significativas de aprendizado sobre desigualdades sociais e de gênero no esporte. Ao relacionar trajetórias de atletas com vivências práticas, buscou-se sensibilizar os alunos quanto à importância da </w:t>
      </w:r>
      <w:r w:rsidRPr="007448B3">
        <w:rPr>
          <w:bCs/>
          <w:color w:val="000000"/>
        </w:rPr>
        <w:lastRenderedPageBreak/>
        <w:t xml:space="preserve">representatividade, inclusão e equidade, estimulando atitudes de respeito e valorização da diversidade. Além disso, o trabalho em grupo e a mediação dos bolsistas favoreceram a construção de um ambiente colaborativo, em que </w:t>
      </w:r>
      <w:r w:rsidR="007E28FF">
        <w:rPr>
          <w:bCs/>
          <w:color w:val="000000"/>
        </w:rPr>
        <w:t>os</w:t>
      </w:r>
      <w:r w:rsidRPr="007448B3">
        <w:rPr>
          <w:bCs/>
          <w:color w:val="000000"/>
        </w:rPr>
        <w:t xml:space="preserve"> estudantes puderam assumir protagonismo e ampliar sua consciência crítica sobre os desafios enfrentados por mulheres em diferentes contextos esportivos.</w:t>
      </w:r>
      <w:r w:rsidR="00ED3313">
        <w:rPr>
          <w:bCs/>
          <w:color w:val="000000"/>
        </w:rPr>
        <w:t xml:space="preserve"> Essa vivência possibilitou o reconhecimento da união coletiva </w:t>
      </w:r>
      <w:r w:rsidR="007E28FF">
        <w:rPr>
          <w:bCs/>
          <w:color w:val="000000"/>
        </w:rPr>
        <w:t xml:space="preserve">na busca por equidade. Assim, o espaço educativo se mostrou como um local de reflexão, diálogo e transformação social. </w:t>
      </w:r>
    </w:p>
    <w:p w14:paraId="5562F0B0" w14:textId="5224F0FC" w:rsidR="0012667B" w:rsidRDefault="00000000">
      <w:pPr>
        <w:pBdr>
          <w:top w:val="nil"/>
          <w:left w:val="nil"/>
          <w:bottom w:val="nil"/>
          <w:right w:val="nil"/>
          <w:between w:val="nil"/>
        </w:pBdr>
        <w:rPr>
          <w:rFonts w:ascii="Times New Roman" w:eastAsia="Times New Roman" w:hAnsi="Times New Roman" w:cs="Times New Roman"/>
        </w:rPr>
      </w:pPr>
      <w:r>
        <w:rPr>
          <w:b/>
          <w:color w:val="000000"/>
        </w:rPr>
        <w:t>CONSIDERAÇÕES FINAIS </w:t>
      </w:r>
    </w:p>
    <w:p w14:paraId="747BFDE5" w14:textId="77777777" w:rsidR="0012667B" w:rsidRDefault="00000000">
      <w:pPr>
        <w:pBdr>
          <w:top w:val="nil"/>
          <w:left w:val="nil"/>
          <w:bottom w:val="nil"/>
          <w:right w:val="nil"/>
          <w:between w:val="nil"/>
        </w:pBdr>
        <w:ind w:firstLine="720"/>
      </w:pPr>
      <w:r>
        <w:t xml:space="preserve">As atividades pedagógicas desenvolvidas buscaram, de forma intencional, estimular a reflexão crítica dos alunos acerca da valorização das mulheres no esporte e da desconstrução de estereótipos de gênero. Tais intervenções, ainda em andamento, representam um avanço significativo na formação de estudantes mais conscientes e engajados com a promoção da igualdade. Além de contribuir diretamente para a redução do preconceito contra as mulheres, este trabalho fortalece valores de respeito e equidade. Assim, sua repercussão ultrapassa os limites da escola, trazendo benefícios para toda a sociedade ao resgatar e reafirmar a importância da mulher no esporte, historicamente desvalorizada. </w:t>
      </w:r>
    </w:p>
    <w:p w14:paraId="53C842B6" w14:textId="77777777" w:rsidR="0012667B" w:rsidRDefault="0012667B">
      <w:pPr>
        <w:pBdr>
          <w:top w:val="nil"/>
          <w:left w:val="nil"/>
          <w:bottom w:val="nil"/>
          <w:right w:val="nil"/>
          <w:between w:val="nil"/>
        </w:pBdr>
        <w:rPr>
          <w:b/>
          <w:color w:val="000000"/>
        </w:rPr>
      </w:pPr>
    </w:p>
    <w:p w14:paraId="44B41828" w14:textId="77777777" w:rsidR="0012667B" w:rsidRDefault="00000000">
      <w:pPr>
        <w:pBdr>
          <w:top w:val="nil"/>
          <w:left w:val="nil"/>
          <w:bottom w:val="nil"/>
          <w:right w:val="nil"/>
          <w:between w:val="nil"/>
        </w:pBdr>
        <w:rPr>
          <w:b/>
          <w:color w:val="000000"/>
        </w:rPr>
      </w:pPr>
      <w:r>
        <w:rPr>
          <w:b/>
          <w:color w:val="000000"/>
        </w:rPr>
        <w:t>REFERÊNCIAS </w:t>
      </w:r>
    </w:p>
    <w:p w14:paraId="4C0FA0C7" w14:textId="77777777" w:rsidR="0012667B" w:rsidRDefault="0012667B">
      <w:pPr>
        <w:pBdr>
          <w:top w:val="nil"/>
          <w:left w:val="nil"/>
          <w:bottom w:val="nil"/>
          <w:right w:val="nil"/>
          <w:between w:val="nil"/>
        </w:pBdr>
        <w:rPr>
          <w:b/>
        </w:rPr>
      </w:pPr>
    </w:p>
    <w:p w14:paraId="4562C1E9" w14:textId="77777777" w:rsidR="009D6BD4" w:rsidRDefault="009D6BD4" w:rsidP="009D6BD4">
      <w:pPr>
        <w:spacing w:line="240" w:lineRule="auto"/>
      </w:pPr>
      <w:r>
        <w:t xml:space="preserve">ALTMANN, Helena. </w:t>
      </w:r>
      <w:r>
        <w:rPr>
          <w:b/>
        </w:rPr>
        <w:t>Educação física escolar: relações de gênero em jogo</w:t>
      </w:r>
      <w:r>
        <w:t>. São Paulo: Cortez, 2015.</w:t>
      </w:r>
    </w:p>
    <w:p w14:paraId="79781182" w14:textId="77777777" w:rsidR="009D6BD4" w:rsidRDefault="009D6BD4" w:rsidP="009D6BD4">
      <w:pPr>
        <w:spacing w:line="240" w:lineRule="auto"/>
      </w:pPr>
    </w:p>
    <w:p w14:paraId="78B5E407" w14:textId="77777777" w:rsidR="009D6BD4" w:rsidRDefault="009D6BD4" w:rsidP="009D6BD4">
      <w:pPr>
        <w:spacing w:line="240" w:lineRule="auto"/>
      </w:pPr>
      <w:r>
        <w:t xml:space="preserve">BOURDIEU, Pierre. </w:t>
      </w:r>
      <w:r>
        <w:rPr>
          <w:b/>
        </w:rPr>
        <w:t>O poder simbólico.</w:t>
      </w:r>
      <w:r>
        <w:t xml:space="preserve"> Rio de Janeiro: Bertrand Brasil, 1989.</w:t>
      </w:r>
    </w:p>
    <w:p w14:paraId="7A26BF54" w14:textId="77777777" w:rsidR="009D6BD4" w:rsidRDefault="009D6BD4" w:rsidP="009D6BD4">
      <w:pPr>
        <w:spacing w:line="240" w:lineRule="auto"/>
        <w:rPr>
          <w:b/>
        </w:rPr>
      </w:pPr>
    </w:p>
    <w:p w14:paraId="74F9DF52" w14:textId="77777777" w:rsidR="009D6BD4" w:rsidRDefault="009D6BD4" w:rsidP="009D6BD4">
      <w:pPr>
        <w:spacing w:line="240" w:lineRule="auto"/>
        <w:rPr>
          <w:color w:val="000000"/>
        </w:rPr>
      </w:pPr>
      <w:r w:rsidRPr="009D6BD4">
        <w:rPr>
          <w:color w:val="000000"/>
        </w:rPr>
        <w:t xml:space="preserve">BRASIL. Ministério da Educação. </w:t>
      </w:r>
      <w:r w:rsidRPr="009D6BD4">
        <w:rPr>
          <w:b/>
          <w:bCs/>
          <w:color w:val="000000"/>
        </w:rPr>
        <w:t>Base Nacional Comum Curricular</w:t>
      </w:r>
      <w:r w:rsidRPr="009D6BD4">
        <w:rPr>
          <w:color w:val="000000"/>
        </w:rPr>
        <w:t>: educação básica. Brasília: MEC, 2018. Disponível em: http://basenacionalcomum.mec.gov.br/. Acesso em: 24 ago. 2025.</w:t>
      </w:r>
    </w:p>
    <w:p w14:paraId="4468F6B1" w14:textId="77777777" w:rsidR="009D6BD4" w:rsidRDefault="009D6BD4" w:rsidP="009D6BD4">
      <w:pPr>
        <w:spacing w:line="240" w:lineRule="auto"/>
        <w:rPr>
          <w:color w:val="000000"/>
        </w:rPr>
      </w:pPr>
    </w:p>
    <w:p w14:paraId="30F93384" w14:textId="77777777" w:rsidR="009D6BD4" w:rsidRDefault="009D6BD4" w:rsidP="009D6BD4">
      <w:pPr>
        <w:spacing w:line="240" w:lineRule="auto"/>
      </w:pPr>
      <w:r>
        <w:t xml:space="preserve">CARVALHO, Flávia Xavier de; MANDALOZZO, Silvana Souza Netto. </w:t>
      </w:r>
      <w:r>
        <w:rPr>
          <w:b/>
        </w:rPr>
        <w:t>Gênero: uma história de luta no Brasil.</w:t>
      </w:r>
      <w:r>
        <w:t xml:space="preserve"> Revista Trabalho da Mulher, [</w:t>
      </w:r>
      <w:proofErr w:type="spellStart"/>
      <w:r>
        <w:t>s.l</w:t>
      </w:r>
      <w:proofErr w:type="spellEnd"/>
      <w:r>
        <w:t>.], p. 72–82, 2014.</w:t>
      </w:r>
    </w:p>
    <w:p w14:paraId="0DF7E4A4" w14:textId="77777777" w:rsidR="009D6BD4" w:rsidRDefault="009D6BD4" w:rsidP="009D6BD4">
      <w:pPr>
        <w:spacing w:line="240" w:lineRule="auto"/>
      </w:pPr>
    </w:p>
    <w:p w14:paraId="633A29FD" w14:textId="09CCB993" w:rsidR="009D6BD4" w:rsidRDefault="009D6BD4" w:rsidP="009D6BD4">
      <w:pPr>
        <w:spacing w:line="240" w:lineRule="auto"/>
      </w:pPr>
      <w:r w:rsidRPr="009D6BD4">
        <w:t xml:space="preserve">SOARES, C. L. </w:t>
      </w:r>
      <w:r w:rsidRPr="009D6BD4">
        <w:rPr>
          <w:i/>
          <w:iCs/>
        </w:rPr>
        <w:t>et al</w:t>
      </w:r>
      <w:r w:rsidRPr="009D6BD4">
        <w:t xml:space="preserve">. </w:t>
      </w:r>
      <w:r w:rsidRPr="009D6BD4">
        <w:rPr>
          <w:b/>
          <w:bCs/>
        </w:rPr>
        <w:t>Metodologia do Ensino de Educação Física</w:t>
      </w:r>
      <w:r w:rsidRPr="009D6BD4">
        <w:t>. São Paulo: Cortez, 1992.</w:t>
      </w:r>
    </w:p>
    <w:sectPr w:rsidR="009D6BD4">
      <w:headerReference w:type="default" r:id="rId7"/>
      <w:footerReference w:type="default" r:id="rId8"/>
      <w:pgSz w:w="11906" w:h="16838"/>
      <w:pgMar w:top="1701" w:right="1134" w:bottom="170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B361" w14:textId="77777777" w:rsidR="00C725B7" w:rsidRDefault="00C725B7">
      <w:pPr>
        <w:spacing w:line="240" w:lineRule="auto"/>
      </w:pPr>
      <w:r>
        <w:separator/>
      </w:r>
    </w:p>
  </w:endnote>
  <w:endnote w:type="continuationSeparator" w:id="0">
    <w:p w14:paraId="5295203E" w14:textId="77777777" w:rsidR="00C725B7" w:rsidRDefault="00C72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8A21" w14:textId="77777777" w:rsidR="0012667B" w:rsidRDefault="00000000">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9264" behindDoc="1" locked="0" layoutInCell="1" hidden="0" allowOverlap="1" wp14:anchorId="2FBE7588" wp14:editId="38AFA804">
          <wp:simplePos x="0" y="0"/>
          <wp:positionH relativeFrom="column">
            <wp:posOffset>-729614</wp:posOffset>
          </wp:positionH>
          <wp:positionV relativeFrom="paragraph">
            <wp:posOffset>-103504</wp:posOffset>
          </wp:positionV>
          <wp:extent cx="7583344" cy="720725"/>
          <wp:effectExtent l="0" t="0" r="0" b="0"/>
          <wp:wrapNone/>
          <wp:docPr id="21357861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3344" cy="72072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45CD717A" wp14:editId="75872EDB">
              <wp:simplePos x="0" y="0"/>
              <wp:positionH relativeFrom="column">
                <wp:posOffset>6108700</wp:posOffset>
              </wp:positionH>
              <wp:positionV relativeFrom="paragraph">
                <wp:posOffset>0</wp:posOffset>
              </wp:positionV>
              <wp:extent cx="426453" cy="192405"/>
              <wp:effectExtent l="0" t="0" r="0" b="0"/>
              <wp:wrapNone/>
              <wp:docPr id="2135786173" name="Retângulo 2135786173"/>
              <wp:cNvGraphicFramePr/>
              <a:graphic xmlns:a="http://schemas.openxmlformats.org/drawingml/2006/main">
                <a:graphicData uri="http://schemas.microsoft.com/office/word/2010/wordprocessingShape">
                  <wps:wsp>
                    <wps:cNvSpPr/>
                    <wps:spPr>
                      <a:xfrm>
                        <a:off x="5137536" y="3688560"/>
                        <a:ext cx="416928" cy="182880"/>
                      </a:xfrm>
                      <a:prstGeom prst="rect">
                        <a:avLst/>
                      </a:prstGeom>
                      <a:noFill/>
                      <a:ln>
                        <a:noFill/>
                      </a:ln>
                    </wps:spPr>
                    <wps:txbx>
                      <w:txbxContent>
                        <w:p w14:paraId="2DE8EEC8" w14:textId="77777777" w:rsidR="0012667B" w:rsidRDefault="00000000">
                          <w:pPr>
                            <w:jc w:val="center"/>
                            <w:textDirection w:val="btLr"/>
                          </w:pPr>
                          <w:r>
                            <w:rPr>
                              <w:color w:val="000000"/>
                            </w:rPr>
                            <w:t>PAGE    \* MERGEFORMAT</w:t>
                          </w:r>
                          <w:r>
                            <w:rPr>
                              <w:color w:val="8C8C8C"/>
                            </w:rPr>
                            <w:t>2</w:t>
                          </w:r>
                        </w:p>
                      </w:txbxContent>
                    </wps:txbx>
                    <wps:bodyPr spcFirstLastPara="1" wrap="square" lIns="0" tIns="0" rIns="0" bIns="0" anchor="t" anchorCtr="0">
                      <a:noAutofit/>
                    </wps:bodyPr>
                  </wps:wsp>
                </a:graphicData>
              </a:graphic>
            </wp:anchor>
          </w:drawing>
        </mc:Choice>
        <mc:Fallback>
          <w:pict>
            <v:rect w14:anchorId="45CD717A" id="Retângulo 2135786173" o:spid="_x0000_s1026" style="position:absolute;left:0;text-align:left;margin-left:481pt;margin-top:0;width:33.6pt;height:1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" filled="f" stroked="f">
              <v:textbox inset="0,0,0,0">
                <w:txbxContent>
                  <w:p w14:paraId="2DE8EEC8" w14:textId="77777777" w:rsidR="0012667B" w:rsidRDefault="00000000">
                    <w:pPr>
                      <w:jc w:val="center"/>
                      <w:textDirection w:val="btLr"/>
                    </w:pPr>
                    <w:r>
                      <w:rPr>
                        <w:color w:val="000000"/>
                      </w:rPr>
                      <w:t>PAGE    \* MERGEFORMAT</w:t>
                    </w:r>
                    <w:r>
                      <w:rPr>
                        <w:color w:val="8C8C8C"/>
                      </w:rPr>
                      <w:t>2</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E1D8A15" wp14:editId="2E4731A7">
              <wp:simplePos x="0" y="0"/>
              <wp:positionH relativeFrom="column">
                <wp:posOffset>330200</wp:posOffset>
              </wp:positionH>
              <wp:positionV relativeFrom="paragraph">
                <wp:posOffset>38100</wp:posOffset>
              </wp:positionV>
              <wp:extent cx="4073525" cy="333375"/>
              <wp:effectExtent l="0" t="0" r="0" b="0"/>
              <wp:wrapNone/>
              <wp:docPr id="2135786174" name="Retângulo 2135786174"/>
              <wp:cNvGraphicFramePr/>
              <a:graphic xmlns:a="http://schemas.openxmlformats.org/drawingml/2006/main">
                <a:graphicData uri="http://schemas.microsoft.com/office/word/2010/wordprocessingShape">
                  <wps:wsp>
                    <wps:cNvSpPr/>
                    <wps:spPr>
                      <a:xfrm>
                        <a:off x="3314000" y="3618075"/>
                        <a:ext cx="4064000" cy="323850"/>
                      </a:xfrm>
                      <a:prstGeom prst="rect">
                        <a:avLst/>
                      </a:prstGeom>
                      <a:noFill/>
                      <a:ln>
                        <a:noFill/>
                      </a:ln>
                    </wps:spPr>
                    <wps:txbx>
                      <w:txbxContent>
                        <w:p w14:paraId="68F4B302" w14:textId="77777777" w:rsidR="0012667B" w:rsidRDefault="00000000">
                          <w:pPr>
                            <w:textDirection w:val="btLr"/>
                          </w:pPr>
                          <w:r>
                            <w:rPr>
                              <w:color w:val="000000"/>
                              <w:sz w:val="22"/>
                            </w:rPr>
                            <w:t>XI Encontro de Pesquisa em Educação em Alagoas (</w:t>
                          </w:r>
                          <w:proofErr w:type="spellStart"/>
                          <w:r>
                            <w:rPr>
                              <w:color w:val="000000"/>
                              <w:sz w:val="22"/>
                            </w:rPr>
                            <w:t>Epeal</w:t>
                          </w:r>
                          <w:proofErr w:type="spellEnd"/>
                          <w:r>
                            <w:rPr>
                              <w:color w:val="000000"/>
                              <w:sz w:val="22"/>
                            </w:rPr>
                            <w:t>)</w:t>
                          </w:r>
                        </w:p>
                      </w:txbxContent>
                    </wps:txbx>
                    <wps:bodyPr spcFirstLastPara="1" wrap="square" lIns="91425" tIns="45700" rIns="91425" bIns="45700" anchor="t" anchorCtr="0">
                      <a:noAutofit/>
                    </wps:bodyPr>
                  </wps:wsp>
                </a:graphicData>
              </a:graphic>
            </wp:anchor>
          </w:drawing>
        </mc:Choice>
        <mc:Fallback>
          <w:pict>
            <v:rect w14:anchorId="5E1D8A15" id="Retângulo 2135786174" o:spid="_x0000_s1027" style="position:absolute;left:0;text-align:left;margin-left:26pt;margin-top:3pt;width:320.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" filled="f" stroked="f">
              <v:textbox inset="2.53958mm,1.2694mm,2.53958mm,1.2694mm">
                <w:txbxContent>
                  <w:p w14:paraId="68F4B302" w14:textId="77777777" w:rsidR="0012667B" w:rsidRDefault="00000000">
                    <w:pPr>
                      <w:textDirection w:val="btLr"/>
                    </w:pPr>
                    <w:r>
                      <w:rPr>
                        <w:color w:val="000000"/>
                        <w:sz w:val="22"/>
                      </w:rPr>
                      <w:t>XI Encontro de Pesquisa em Educação em Alagoas (</w:t>
                    </w:r>
                    <w:proofErr w:type="spellStart"/>
                    <w:r>
                      <w:rPr>
                        <w:color w:val="000000"/>
                        <w:sz w:val="22"/>
                      </w:rPr>
                      <w:t>Epeal</w:t>
                    </w:r>
                    <w:proofErr w:type="spellEnd"/>
                    <w:r>
                      <w:rPr>
                        <w:color w:val="000000"/>
                        <w:sz w:val="22"/>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0EA6" w14:textId="77777777" w:rsidR="00C725B7" w:rsidRDefault="00C725B7">
      <w:pPr>
        <w:spacing w:line="240" w:lineRule="auto"/>
      </w:pPr>
      <w:r>
        <w:separator/>
      </w:r>
    </w:p>
  </w:footnote>
  <w:footnote w:type="continuationSeparator" w:id="0">
    <w:p w14:paraId="29B0D526" w14:textId="77777777" w:rsidR="00C725B7" w:rsidRDefault="00C725B7">
      <w:pPr>
        <w:spacing w:line="240" w:lineRule="auto"/>
      </w:pPr>
      <w:r>
        <w:continuationSeparator/>
      </w:r>
    </w:p>
  </w:footnote>
  <w:footnote w:id="1">
    <w:p w14:paraId="7C48AE54" w14:textId="742FED5E" w:rsidR="0012667B" w:rsidRDefault="00000000">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r w:rsidR="00CA6D1F">
        <w:rPr>
          <w:color w:val="000000"/>
          <w:sz w:val="18"/>
          <w:szCs w:val="18"/>
        </w:rPr>
        <w:t>Universidade Federal de Alagoas</w:t>
      </w:r>
      <w:r>
        <w:rPr>
          <w:color w:val="000000"/>
          <w:sz w:val="18"/>
          <w:szCs w:val="18"/>
        </w:rPr>
        <w:t xml:space="preserve">. </w:t>
      </w:r>
      <w:r w:rsidR="00CA6D1F">
        <w:rPr>
          <w:color w:val="000000"/>
          <w:sz w:val="18"/>
          <w:szCs w:val="18"/>
        </w:rPr>
        <w:t>izabela.silva@ichca.ufal.br</w:t>
      </w:r>
    </w:p>
  </w:footnote>
  <w:footnote w:id="2">
    <w:p w14:paraId="0B54C47B" w14:textId="1C8A48F9" w:rsidR="0012667B"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18"/>
          <w:szCs w:val="18"/>
        </w:rPr>
        <w:t xml:space="preserve"> </w:t>
      </w:r>
      <w:r w:rsidR="00CA6D1F">
        <w:rPr>
          <w:color w:val="000000"/>
          <w:sz w:val="18"/>
          <w:szCs w:val="18"/>
        </w:rPr>
        <w:t>Universidade Federal de Alagoas</w:t>
      </w:r>
      <w:r>
        <w:rPr>
          <w:color w:val="000000"/>
          <w:sz w:val="18"/>
          <w:szCs w:val="18"/>
        </w:rPr>
        <w:t>.</w:t>
      </w:r>
      <w:r w:rsidR="00CA6D1F">
        <w:rPr>
          <w:color w:val="000000"/>
          <w:sz w:val="18"/>
          <w:szCs w:val="18"/>
        </w:rPr>
        <w:t xml:space="preserve"> claudemir.junior@iefe.ufal.br</w:t>
      </w:r>
    </w:p>
  </w:footnote>
  <w:footnote w:id="3">
    <w:p w14:paraId="4E024ED1" w14:textId="42369A2B" w:rsidR="0012667B"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18"/>
          <w:szCs w:val="18"/>
        </w:rPr>
        <w:t xml:space="preserve"> </w:t>
      </w:r>
      <w:r w:rsidR="00CA6D1F">
        <w:rPr>
          <w:color w:val="000000"/>
          <w:sz w:val="18"/>
          <w:szCs w:val="18"/>
        </w:rPr>
        <w:t>Universidade Federal de Alagoas</w:t>
      </w:r>
      <w:r w:rsidR="009D6BD4">
        <w:rPr>
          <w:color w:val="000000"/>
          <w:sz w:val="18"/>
          <w:szCs w:val="18"/>
        </w:rPr>
        <w:t xml:space="preserve">. </w:t>
      </w:r>
      <w:r w:rsidR="00AB5CE9">
        <w:rPr>
          <w:color w:val="000000"/>
          <w:sz w:val="18"/>
          <w:szCs w:val="18"/>
        </w:rPr>
        <w:t>soraya.santos@iefe.ufal.br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60AE" w14:textId="77777777" w:rsidR="0012667B" w:rsidRDefault="00000000">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66614B4A" wp14:editId="3D92471A">
          <wp:simplePos x="0" y="0"/>
          <wp:positionH relativeFrom="column">
            <wp:posOffset>-720089</wp:posOffset>
          </wp:positionH>
          <wp:positionV relativeFrom="paragraph">
            <wp:posOffset>-450214</wp:posOffset>
          </wp:positionV>
          <wp:extent cx="7577455" cy="1079500"/>
          <wp:effectExtent l="0" t="0" r="0" b="0"/>
          <wp:wrapSquare wrapText="bothSides" distT="0" distB="0" distL="114300" distR="114300"/>
          <wp:docPr id="2135786176" name="image2.jpg"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jpg" descr="Diagrama&#10;&#10;O conteúdo gerado por IA pode estar incorreto."/>
                  <pic:cNvPicPr preferRelativeResize="0"/>
                </pic:nvPicPr>
                <pic:blipFill>
                  <a:blip r:embed="rId1"/>
                  <a:srcRect/>
                  <a:stretch>
                    <a:fillRect/>
                  </a:stretch>
                </pic:blipFill>
                <pic:spPr>
                  <a:xfrm>
                    <a:off x="0" y="0"/>
                    <a:ext cx="7577455" cy="10795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7B"/>
    <w:rsid w:val="000920DC"/>
    <w:rsid w:val="000A698D"/>
    <w:rsid w:val="0012667B"/>
    <w:rsid w:val="001A2E91"/>
    <w:rsid w:val="002259F6"/>
    <w:rsid w:val="002B3194"/>
    <w:rsid w:val="00391FA0"/>
    <w:rsid w:val="00393938"/>
    <w:rsid w:val="0044585B"/>
    <w:rsid w:val="004630A8"/>
    <w:rsid w:val="00477932"/>
    <w:rsid w:val="00492349"/>
    <w:rsid w:val="0063230A"/>
    <w:rsid w:val="00697DDE"/>
    <w:rsid w:val="006F43F8"/>
    <w:rsid w:val="0071169A"/>
    <w:rsid w:val="007448B3"/>
    <w:rsid w:val="00775507"/>
    <w:rsid w:val="00782BFB"/>
    <w:rsid w:val="007A2024"/>
    <w:rsid w:val="007A6AE0"/>
    <w:rsid w:val="007E28FF"/>
    <w:rsid w:val="0085759A"/>
    <w:rsid w:val="00877800"/>
    <w:rsid w:val="00891781"/>
    <w:rsid w:val="008B153D"/>
    <w:rsid w:val="00902DF2"/>
    <w:rsid w:val="009C0735"/>
    <w:rsid w:val="009D6BD4"/>
    <w:rsid w:val="00A01FAC"/>
    <w:rsid w:val="00A658AD"/>
    <w:rsid w:val="00A965E0"/>
    <w:rsid w:val="00AA7A87"/>
    <w:rsid w:val="00AB5CE9"/>
    <w:rsid w:val="00C725B7"/>
    <w:rsid w:val="00C916B0"/>
    <w:rsid w:val="00CA6D1F"/>
    <w:rsid w:val="00CF7739"/>
    <w:rsid w:val="00DF2E1D"/>
    <w:rsid w:val="00E75AE1"/>
    <w:rsid w:val="00E94A4A"/>
    <w:rsid w:val="00E96A24"/>
    <w:rsid w:val="00ED3313"/>
    <w:rsid w:val="00FE4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9407"/>
  <w15:docId w15:val="{3532501D-E925-4E7C-92E6-A0412C93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8F0BC3"/>
    <w:pPr>
      <w:tabs>
        <w:tab w:val="center" w:pos="4252"/>
        <w:tab w:val="right" w:pos="8504"/>
      </w:tabs>
      <w:spacing w:line="240" w:lineRule="auto"/>
    </w:pPr>
  </w:style>
  <w:style w:type="character" w:customStyle="1" w:styleId="CabealhoChar">
    <w:name w:val="Cabeçalho Char"/>
    <w:basedOn w:val="Fontepargpadro"/>
    <w:link w:val="Cabealho"/>
    <w:uiPriority w:val="99"/>
    <w:rsid w:val="008F0BC3"/>
    <w:rPr>
      <w:rFonts w:ascii="Calibri" w:eastAsia="Calibri" w:hAnsi="Calibri" w:cs="Calibri"/>
      <w:lang w:eastAsia="pt-BR"/>
    </w:rPr>
  </w:style>
  <w:style w:type="paragraph" w:styleId="Rodap">
    <w:name w:val="footer"/>
    <w:basedOn w:val="Normal"/>
    <w:link w:val="RodapChar"/>
    <w:uiPriority w:val="99"/>
    <w:unhideWhenUsed/>
    <w:rsid w:val="008F0BC3"/>
    <w:pPr>
      <w:tabs>
        <w:tab w:val="center" w:pos="4252"/>
        <w:tab w:val="right" w:pos="8504"/>
      </w:tabs>
      <w:spacing w:line="240" w:lineRule="auto"/>
    </w:pPr>
  </w:style>
  <w:style w:type="character" w:customStyle="1" w:styleId="RodapChar">
    <w:name w:val="Rodapé Char"/>
    <w:basedOn w:val="Fontepargpadro"/>
    <w:link w:val="Rodap"/>
    <w:uiPriority w:val="99"/>
    <w:rsid w:val="008F0BC3"/>
    <w:rPr>
      <w:rFonts w:ascii="Calibri" w:eastAsia="Calibri" w:hAnsi="Calibri" w:cs="Calibri"/>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77800"/>
    <w:rPr>
      <w:rFonts w:ascii="Times New Roman" w:hAnsi="Times New Roman" w:cs="Times New Roman"/>
    </w:rPr>
  </w:style>
  <w:style w:type="table" w:styleId="Tabelacomgrade">
    <w:name w:val="Table Grid"/>
    <w:basedOn w:val="Tabelanormal"/>
    <w:uiPriority w:val="39"/>
    <w:rsid w:val="007448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393938"/>
    <w:rPr>
      <w:sz w:val="16"/>
      <w:szCs w:val="16"/>
    </w:rPr>
  </w:style>
  <w:style w:type="paragraph" w:styleId="Textodecomentrio">
    <w:name w:val="annotation text"/>
    <w:basedOn w:val="Normal"/>
    <w:link w:val="TextodecomentrioChar"/>
    <w:uiPriority w:val="99"/>
    <w:semiHidden/>
    <w:unhideWhenUsed/>
    <w:rsid w:val="0039393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3938"/>
    <w:rPr>
      <w:sz w:val="20"/>
      <w:szCs w:val="20"/>
    </w:rPr>
  </w:style>
  <w:style w:type="paragraph" w:styleId="Assuntodocomentrio">
    <w:name w:val="annotation subject"/>
    <w:basedOn w:val="Textodecomentrio"/>
    <w:next w:val="Textodecomentrio"/>
    <w:link w:val="AssuntodocomentrioChar"/>
    <w:uiPriority w:val="99"/>
    <w:semiHidden/>
    <w:unhideWhenUsed/>
    <w:rsid w:val="00393938"/>
    <w:rPr>
      <w:b/>
      <w:bCs/>
    </w:rPr>
  </w:style>
  <w:style w:type="character" w:customStyle="1" w:styleId="AssuntodocomentrioChar">
    <w:name w:val="Assunto do comentário Char"/>
    <w:basedOn w:val="TextodecomentrioChar"/>
    <w:link w:val="Assuntodocomentrio"/>
    <w:uiPriority w:val="99"/>
    <w:semiHidden/>
    <w:rsid w:val="003939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twdJKUOasedxJ9XDovNz17eeg==">CgMxLjAaHwoBMBIaChgICVIUChJ0YWJsZS4xOHY3ZTdpaWZod2UyCGguZ2pkZ3hzOAByITFRZUhNOTZOVFRvQnItTEp3U19qNG9QOHk1MElDVVJVNQ==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2346</Words>
  <Characters>12670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Claudemir Junior</cp:lastModifiedBy>
  <cp:revision>2</cp:revision>
  <dcterms:created xsi:type="dcterms:W3CDTF">2025-08-31T13:34:00Z</dcterms:created>
  <dcterms:modified xsi:type="dcterms:W3CDTF">2025-08-31T13:34:00Z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