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D590" w14:textId="122CF8A5" w:rsidR="00D55915" w:rsidRDefault="00AF23A8" w:rsidP="00735D7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lk83382528"/>
      <w:r>
        <w:rPr>
          <w:rFonts w:ascii="Arial" w:eastAsia="Arial" w:hAnsi="Arial" w:cs="Arial"/>
          <w:b/>
          <w:smallCaps/>
          <w:sz w:val="22"/>
          <w:szCs w:val="22"/>
        </w:rPr>
        <w:t>Í</w:t>
      </w:r>
      <w:r w:rsidR="00F8464B">
        <w:rPr>
          <w:rFonts w:ascii="Arial" w:eastAsia="Arial" w:hAnsi="Arial" w:cs="Arial"/>
          <w:b/>
          <w:smallCaps/>
          <w:sz w:val="22"/>
          <w:szCs w:val="22"/>
        </w:rPr>
        <w:t>NDICES DOPPLER COMO INDICADORES DE DISFUNÇÃO TESTICULAR EM GARANHÕES</w:t>
      </w:r>
    </w:p>
    <w:p w14:paraId="736900FA" w14:textId="1B32D083" w:rsidR="00D55915" w:rsidRDefault="004D3C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Ighor</w:t>
      </w:r>
      <w:proofErr w:type="spellEnd"/>
      <w:r>
        <w:rPr>
          <w:rFonts w:ascii="Arial" w:eastAsia="Arial" w:hAnsi="Arial" w:cs="Arial"/>
          <w:b/>
          <w:color w:val="000000"/>
        </w:rPr>
        <w:t xml:space="preserve"> Henrique Oliveira Santos</w:t>
      </w:r>
      <w:r w:rsidR="009E5B41">
        <w:rPr>
          <w:rFonts w:ascii="Arial" w:eastAsia="Arial" w:hAnsi="Arial" w:cs="Arial"/>
          <w:b/>
          <w:color w:val="000000"/>
          <w:vertAlign w:val="superscript"/>
        </w:rPr>
        <w:t>1</w:t>
      </w:r>
      <w:r w:rsidR="009E5B41">
        <w:rPr>
          <w:rFonts w:ascii="Arial" w:eastAsia="Arial" w:hAnsi="Arial" w:cs="Arial"/>
          <w:b/>
          <w:color w:val="000000"/>
        </w:rPr>
        <w:t>*,</w:t>
      </w:r>
      <w:r w:rsidR="006D741D">
        <w:rPr>
          <w:rFonts w:ascii="Arial" w:eastAsia="Arial" w:hAnsi="Arial" w:cs="Arial"/>
          <w:b/>
          <w:color w:val="000000"/>
        </w:rPr>
        <w:t xml:space="preserve"> </w:t>
      </w:r>
      <w:r w:rsidR="00B67795">
        <w:rPr>
          <w:rFonts w:ascii="Arial" w:eastAsia="Arial" w:hAnsi="Arial" w:cs="Arial"/>
          <w:b/>
          <w:color w:val="000000"/>
        </w:rPr>
        <w:t>Vitória Faria Viana</w:t>
      </w:r>
      <w:r w:rsidR="00B67795">
        <w:rPr>
          <w:rFonts w:ascii="Arial" w:eastAsia="Arial" w:hAnsi="Arial" w:cs="Arial"/>
          <w:b/>
          <w:color w:val="000000"/>
          <w:vertAlign w:val="superscript"/>
        </w:rPr>
        <w:t>1</w:t>
      </w:r>
      <w:r w:rsidR="00B67795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B67795">
        <w:rPr>
          <w:rFonts w:ascii="Arial" w:eastAsia="Arial" w:hAnsi="Arial" w:cs="Arial"/>
          <w:b/>
          <w:color w:val="000000"/>
        </w:rPr>
        <w:t>Maressa</w:t>
      </w:r>
      <w:proofErr w:type="spellEnd"/>
      <w:r w:rsidR="00B67795">
        <w:rPr>
          <w:rFonts w:ascii="Arial" w:eastAsia="Arial" w:hAnsi="Arial" w:cs="Arial"/>
          <w:b/>
          <w:color w:val="000000"/>
        </w:rPr>
        <w:t xml:space="preserve"> Veiga Peron Lúcio</w:t>
      </w:r>
      <w:r w:rsidR="00963632" w:rsidRPr="00963632">
        <w:rPr>
          <w:rFonts w:ascii="Arial" w:eastAsia="Arial" w:hAnsi="Arial" w:cs="Arial"/>
          <w:b/>
          <w:color w:val="000000"/>
          <w:vertAlign w:val="superscript"/>
        </w:rPr>
        <w:t>1</w:t>
      </w:r>
      <w:r w:rsidR="00B67795">
        <w:rPr>
          <w:rFonts w:ascii="Arial" w:eastAsia="Arial" w:hAnsi="Arial" w:cs="Arial"/>
          <w:b/>
          <w:color w:val="000000"/>
        </w:rPr>
        <w:t xml:space="preserve">, </w:t>
      </w:r>
      <w:r w:rsidR="006D741D">
        <w:rPr>
          <w:rFonts w:ascii="Arial" w:eastAsia="Arial" w:hAnsi="Arial" w:cs="Arial"/>
          <w:b/>
          <w:color w:val="000000"/>
        </w:rPr>
        <w:t>Stella</w:t>
      </w:r>
      <w:r w:rsidR="00B67795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B67795">
        <w:rPr>
          <w:rFonts w:ascii="Arial" w:eastAsia="Arial" w:hAnsi="Arial" w:cs="Arial"/>
          <w:b/>
          <w:color w:val="000000"/>
        </w:rPr>
        <w:t>Gouthier</w:t>
      </w:r>
      <w:proofErr w:type="spellEnd"/>
      <w:r w:rsidR="00B67795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B67795">
        <w:rPr>
          <w:rFonts w:ascii="Arial" w:eastAsia="Arial" w:hAnsi="Arial" w:cs="Arial"/>
          <w:b/>
          <w:color w:val="000000"/>
        </w:rPr>
        <w:t>Morilha</w:t>
      </w:r>
      <w:proofErr w:type="spellEnd"/>
      <w:r w:rsidR="00B67795">
        <w:rPr>
          <w:rFonts w:ascii="Arial" w:eastAsia="Arial" w:hAnsi="Arial" w:cs="Arial"/>
          <w:b/>
          <w:color w:val="000000"/>
        </w:rPr>
        <w:t xml:space="preserve"> Munduruca</w:t>
      </w:r>
      <w:r w:rsidR="00B67795" w:rsidRPr="00B67795">
        <w:rPr>
          <w:rFonts w:ascii="Arial" w:eastAsia="Arial" w:hAnsi="Arial" w:cs="Arial"/>
          <w:b/>
          <w:color w:val="000000"/>
          <w:vertAlign w:val="superscript"/>
        </w:rPr>
        <w:t>1</w:t>
      </w:r>
      <w:r w:rsidR="006D741D">
        <w:rPr>
          <w:rFonts w:ascii="Arial" w:eastAsia="Arial" w:hAnsi="Arial" w:cs="Arial"/>
          <w:b/>
          <w:color w:val="000000"/>
        </w:rPr>
        <w:t>,</w:t>
      </w:r>
      <w:r w:rsidR="00B67795">
        <w:rPr>
          <w:rFonts w:ascii="Arial" w:eastAsia="Arial" w:hAnsi="Arial" w:cs="Arial"/>
          <w:b/>
          <w:color w:val="000000"/>
        </w:rPr>
        <w:t xml:space="preserve"> Giovanna Bicalho Reis Sanches</w:t>
      </w:r>
      <w:r w:rsidR="009E5B41">
        <w:rPr>
          <w:rFonts w:ascii="Arial" w:eastAsia="Arial" w:hAnsi="Arial" w:cs="Arial"/>
          <w:b/>
          <w:color w:val="000000"/>
          <w:vertAlign w:val="superscript"/>
        </w:rPr>
        <w:t>1</w:t>
      </w:r>
      <w:r w:rsidR="00B67795">
        <w:rPr>
          <w:rFonts w:ascii="Arial" w:eastAsia="Arial" w:hAnsi="Arial" w:cs="Arial"/>
          <w:b/>
          <w:color w:val="000000"/>
        </w:rPr>
        <w:t>, Lucas Braga Bretas Lima</w:t>
      </w:r>
      <w:r w:rsidR="00B67795" w:rsidRPr="00B67795">
        <w:rPr>
          <w:rFonts w:ascii="Arial" w:eastAsia="Arial" w:hAnsi="Arial" w:cs="Arial"/>
          <w:b/>
          <w:color w:val="000000"/>
          <w:vertAlign w:val="superscript"/>
        </w:rPr>
        <w:t>1</w:t>
      </w:r>
      <w:r w:rsidR="009E5B41">
        <w:rPr>
          <w:rFonts w:ascii="Arial" w:eastAsia="Arial" w:hAnsi="Arial" w:cs="Arial"/>
          <w:b/>
          <w:color w:val="000000"/>
        </w:rPr>
        <w:t xml:space="preserve"> e </w:t>
      </w:r>
      <w:r w:rsidR="006C3719">
        <w:rPr>
          <w:rFonts w:ascii="Arial" w:eastAsia="Arial" w:hAnsi="Arial" w:cs="Arial"/>
          <w:b/>
          <w:color w:val="000000"/>
        </w:rPr>
        <w:t>Patrícia Alves Dutra</w:t>
      </w:r>
      <w:r w:rsidR="00B67795">
        <w:rPr>
          <w:rFonts w:ascii="Arial" w:eastAsia="Arial" w:hAnsi="Arial" w:cs="Arial"/>
          <w:b/>
          <w:color w:val="000000"/>
          <w:vertAlign w:val="superscript"/>
        </w:rPr>
        <w:t>2</w:t>
      </w:r>
      <w:r w:rsidR="009E5B41">
        <w:rPr>
          <w:rFonts w:ascii="Arial" w:eastAsia="Arial" w:hAnsi="Arial" w:cs="Arial"/>
          <w:b/>
          <w:color w:val="000000"/>
        </w:rPr>
        <w:t>.</w:t>
      </w:r>
    </w:p>
    <w:p w14:paraId="1E5766D7" w14:textId="10551567" w:rsidR="00D55915" w:rsidRDefault="009E5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 w:rsidR="000D7872">
        <w:rPr>
          <w:rFonts w:ascii="Arial" w:eastAsia="Arial" w:hAnsi="Arial" w:cs="Arial"/>
          <w:i/>
          <w:color w:val="000000"/>
          <w:sz w:val="14"/>
          <w:szCs w:val="14"/>
        </w:rPr>
        <w:t>ighor.henrique.o.s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1B73F613" w14:textId="5BA8459B" w:rsidR="00D55915" w:rsidRDefault="009E5B41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B67795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75F67D18" w14:textId="77777777" w:rsidR="00B67F57" w:rsidRDefault="00B67F5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B67F57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1" w:name="_heading=h.gjdgxs" w:colFirst="0" w:colLast="0"/>
      <w:bookmarkEnd w:id="0"/>
      <w:bookmarkEnd w:id="1"/>
    </w:p>
    <w:p w14:paraId="0C29F124" w14:textId="77777777" w:rsidR="00D55915" w:rsidRPr="0072222C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222C">
        <w:rPr>
          <w:rFonts w:ascii="Arial" w:eastAsia="Arial" w:hAnsi="Arial" w:cs="Arial"/>
          <w:b/>
          <w:color w:val="000000" w:themeColor="text1"/>
          <w:sz w:val="18"/>
          <w:szCs w:val="18"/>
        </w:rPr>
        <w:t>INTRODUÇÃO</w:t>
      </w:r>
    </w:p>
    <w:p w14:paraId="0847FB41" w14:textId="777CCA73" w:rsidR="003A0179" w:rsidRPr="0072222C" w:rsidRDefault="006C3719" w:rsidP="00735D7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2" w:name="_Hlk83382562"/>
      <w:r w:rsidRPr="0072222C">
        <w:rPr>
          <w:rFonts w:ascii="Arial" w:hAnsi="Arial" w:cs="Arial"/>
          <w:color w:val="000000" w:themeColor="text1"/>
          <w:sz w:val="18"/>
          <w:szCs w:val="18"/>
        </w:rPr>
        <w:t>Os testículos são as gônadas masculinas</w:t>
      </w:r>
      <w:r w:rsidR="00BA7FF7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>com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 xml:space="preserve"> funç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>ões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 xml:space="preserve"> endócrina e exócrina, necessitam de uma correta perfusão sanguínea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para manter a espermatogênese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>.</w:t>
      </w:r>
      <w:r w:rsidR="00865253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 xml:space="preserve"> E para isso existe uma complexa rede de vasos sanguíneos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>, o plexo pampiniforme,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 xml:space="preserve"> que promovem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>irrigação</w:t>
      </w:r>
      <w:r w:rsidR="001929AB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1929AB" w:rsidRPr="0072222C">
        <w:rPr>
          <w:rFonts w:ascii="Arial" w:hAnsi="Arial" w:cs="Arial"/>
          <w:color w:val="000000" w:themeColor="text1"/>
          <w:sz w:val="18"/>
          <w:szCs w:val="18"/>
        </w:rPr>
        <w:t>sanguinea</w:t>
      </w:r>
      <w:proofErr w:type="spellEnd"/>
      <w:r w:rsidR="00072E8D" w:rsidRPr="0072222C">
        <w:rPr>
          <w:rFonts w:ascii="Arial" w:hAnsi="Arial" w:cs="Arial"/>
          <w:color w:val="000000" w:themeColor="text1"/>
          <w:sz w:val="18"/>
          <w:szCs w:val="18"/>
        </w:rPr>
        <w:t xml:space="preserve"> e participa da termorregulação dos testículos em que o sangue da artéria testicular</w:t>
      </w:r>
      <w:r w:rsidR="00A74649" w:rsidRPr="0072222C">
        <w:rPr>
          <w:rFonts w:ascii="Arial" w:hAnsi="Arial" w:cs="Arial"/>
          <w:color w:val="000000" w:themeColor="text1"/>
          <w:sz w:val="18"/>
          <w:szCs w:val="18"/>
        </w:rPr>
        <w:t xml:space="preserve"> é </w:t>
      </w:r>
      <w:proofErr w:type="spellStart"/>
      <w:r w:rsidR="00A74649" w:rsidRPr="0072222C">
        <w:rPr>
          <w:rFonts w:ascii="Arial" w:hAnsi="Arial" w:cs="Arial"/>
          <w:color w:val="000000" w:themeColor="text1"/>
          <w:sz w:val="18"/>
          <w:szCs w:val="18"/>
        </w:rPr>
        <w:t>refriado</w:t>
      </w:r>
      <w:proofErr w:type="spellEnd"/>
      <w:r w:rsidR="00A74649" w:rsidRPr="0072222C">
        <w:rPr>
          <w:rFonts w:ascii="Arial" w:hAnsi="Arial" w:cs="Arial"/>
          <w:color w:val="000000" w:themeColor="text1"/>
          <w:sz w:val="18"/>
          <w:szCs w:val="18"/>
        </w:rPr>
        <w:t xml:space="preserve"> pela troca de calor com as veias do plexo</w:t>
      </w:r>
      <w:r w:rsidR="00072E8D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>.</w:t>
      </w:r>
      <w:r w:rsidR="00072E8D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 xml:space="preserve"> Por ser o principal meio de chegada de nutrientes, hormônios e oxigênio para os testículos, alterações nesse fluxo de sangue</w:t>
      </w:r>
      <w:r w:rsidR="00D86956" w:rsidRPr="0072222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>leva a disfunç</w:t>
      </w:r>
      <w:r w:rsidR="0060424A" w:rsidRPr="0072222C">
        <w:rPr>
          <w:rFonts w:ascii="Arial" w:hAnsi="Arial" w:cs="Arial"/>
          <w:color w:val="000000" w:themeColor="text1"/>
          <w:sz w:val="18"/>
          <w:szCs w:val="18"/>
        </w:rPr>
        <w:t>ões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 xml:space="preserve"> testicular</w:t>
      </w:r>
      <w:r w:rsidR="0060424A" w:rsidRPr="0072222C">
        <w:rPr>
          <w:rFonts w:ascii="Arial" w:hAnsi="Arial" w:cs="Arial"/>
          <w:color w:val="000000" w:themeColor="text1"/>
          <w:sz w:val="18"/>
          <w:szCs w:val="18"/>
        </w:rPr>
        <w:t>es</w:t>
      </w:r>
      <w:r w:rsidR="00865253" w:rsidRPr="0072222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D86956" w:rsidRPr="0072222C">
        <w:rPr>
          <w:rFonts w:ascii="Arial" w:hAnsi="Arial" w:cs="Arial"/>
          <w:color w:val="000000" w:themeColor="text1"/>
          <w:sz w:val="18"/>
          <w:szCs w:val="18"/>
        </w:rPr>
        <w:t>e consequentemente, interfere na espermatogênese e na qualidade do sêmen.</w:t>
      </w:r>
      <w:r w:rsidR="00865253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BA7FF7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,5,8</w:t>
      </w:r>
    </w:p>
    <w:p w14:paraId="2819F41F" w14:textId="6EB3DB93" w:rsidR="003A0179" w:rsidRPr="0072222C" w:rsidRDefault="002B28B7" w:rsidP="00735D7E">
      <w:pPr>
        <w:spacing w:before="40" w:after="40"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Além de ser </w:t>
      </w:r>
      <w:proofErr w:type="gramStart"/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uma método não invasivo</w:t>
      </w:r>
      <w:proofErr w:type="gramEnd"/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, a ultrassonografia Doppler,</w:t>
      </w:r>
      <w:r w:rsidR="00F651C3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é </w:t>
      </w:r>
      <w:r w:rsidR="0067594A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um recurso que </w:t>
      </w:r>
      <w:r w:rsidR="0096331D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permite analisar o fluxo sanguíneo de um determinado tecido ou órgão em tempo real, podendo ser utilizada no diagnóstico precoce de muitas doenças</w:t>
      </w:r>
      <w:r w:rsidR="00F651C3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, como</w:t>
      </w:r>
      <w:r w:rsidR="00D2227F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B67795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em casos de</w:t>
      </w:r>
      <w:r w:rsidR="00D76008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D2227F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degeneração testicular,</w:t>
      </w:r>
      <w:r w:rsidR="00F651C3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varicocele,</w:t>
      </w:r>
      <w:r w:rsidR="00B67795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="00F651C3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epipidimites</w:t>
      </w:r>
      <w:proofErr w:type="spellEnd"/>
      <w:r w:rsidR="00F651C3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, neoplasias, entre outras patologias</w:t>
      </w:r>
      <w:r w:rsidR="0096331D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que acomete o sistema reprodutivo do garanhão.</w:t>
      </w:r>
      <w:r w:rsidR="0060424A" w:rsidRPr="0072222C">
        <w:rPr>
          <w:rFonts w:ascii="Arial" w:eastAsiaTheme="minorHAnsi" w:hAnsi="Arial" w:cs="Arial"/>
          <w:color w:val="000000" w:themeColor="text1"/>
          <w:sz w:val="18"/>
          <w:szCs w:val="18"/>
          <w:vertAlign w:val="superscript"/>
          <w:lang w:eastAsia="en-US"/>
        </w:rPr>
        <w:t>2</w:t>
      </w:r>
      <w:r w:rsidR="00D2227F" w:rsidRPr="0072222C">
        <w:rPr>
          <w:rFonts w:ascii="Arial" w:eastAsiaTheme="minorHAnsi" w:hAnsi="Arial" w:cs="Arial"/>
          <w:color w:val="000000" w:themeColor="text1"/>
          <w:sz w:val="18"/>
          <w:szCs w:val="18"/>
          <w:vertAlign w:val="superscript"/>
          <w:lang w:eastAsia="en-US"/>
        </w:rPr>
        <w:t>,10</w:t>
      </w:r>
      <w:r w:rsidR="0060424A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="00D72AEE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Sendo também </w:t>
      </w:r>
      <w:r w:rsidR="0096331D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um acréscimo ao exame andrológico de equinos e no monitoramento após tratamento.</w:t>
      </w:r>
      <w:r w:rsidR="00865253" w:rsidRPr="0072222C">
        <w:rPr>
          <w:rFonts w:ascii="Arial" w:eastAsiaTheme="minorHAnsi" w:hAnsi="Arial" w:cs="Arial"/>
          <w:color w:val="000000" w:themeColor="text1"/>
          <w:sz w:val="18"/>
          <w:szCs w:val="18"/>
          <w:vertAlign w:val="superscript"/>
          <w:lang w:eastAsia="en-US"/>
        </w:rPr>
        <w:t>4</w:t>
      </w:r>
    </w:p>
    <w:p w14:paraId="479D6921" w14:textId="76E275D3" w:rsidR="0096331D" w:rsidRPr="0072222C" w:rsidRDefault="0096331D" w:rsidP="00735D7E">
      <w:pPr>
        <w:spacing w:before="40" w:after="40"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Desta forma, </w:t>
      </w:r>
      <w:r w:rsidR="00F651C3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o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presente </w:t>
      </w:r>
      <w:r w:rsidR="002044A8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trabalho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tem como objetivo </w:t>
      </w:r>
      <w:r w:rsidR="002044A8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discutir 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o uso dos índices </w:t>
      </w:r>
      <w:r w:rsidR="00CF0A04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d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oppler</w:t>
      </w:r>
      <w:r w:rsidR="00F8464B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como indicadores clínicos de disfunção testicular em garanhões.</w:t>
      </w:r>
    </w:p>
    <w:bookmarkEnd w:id="2"/>
    <w:p w14:paraId="1FC741E3" w14:textId="77777777" w:rsidR="00BD45C6" w:rsidRPr="0072222C" w:rsidRDefault="00BD45C6" w:rsidP="003A0179">
      <w:pPr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</w:p>
    <w:p w14:paraId="119D827F" w14:textId="1136BD06" w:rsidR="00D55915" w:rsidRPr="0072222C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 w:themeColor="text1"/>
          <w:sz w:val="24"/>
          <w:szCs w:val="24"/>
        </w:rPr>
      </w:pPr>
      <w:r w:rsidRPr="0072222C">
        <w:rPr>
          <w:rFonts w:ascii="Arial" w:eastAsia="Arial" w:hAnsi="Arial" w:cs="Arial"/>
          <w:b/>
          <w:color w:val="000000" w:themeColor="text1"/>
          <w:sz w:val="18"/>
          <w:szCs w:val="18"/>
        </w:rPr>
        <w:t>MATERIAL E MÉTODOS</w:t>
      </w:r>
    </w:p>
    <w:p w14:paraId="1910E044" w14:textId="6C034F5F" w:rsidR="00CF4B92" w:rsidRPr="0072222C" w:rsidRDefault="00CF4B92" w:rsidP="00735D7E">
      <w:pPr>
        <w:autoSpaceDE w:val="0"/>
        <w:autoSpaceDN w:val="0"/>
        <w:adjustRightInd w:val="0"/>
        <w:spacing w:after="40"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Para a elaboração d</w:t>
      </w:r>
      <w:r w:rsidR="00F651C3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o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presente </w:t>
      </w:r>
      <w:r w:rsidR="007D6A15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trabalho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="007D6A15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foi feito uma revisão </w:t>
      </w:r>
      <w:r w:rsidR="007D6A15" w:rsidRPr="0072222C">
        <w:rPr>
          <w:rFonts w:ascii="Arial" w:eastAsia="Arial" w:hAnsi="Arial" w:cs="Arial"/>
          <w:color w:val="000000" w:themeColor="text1"/>
          <w:sz w:val="18"/>
          <w:szCs w:val="18"/>
        </w:rPr>
        <w:t xml:space="preserve">de literatura técnico-científica, envolvendo </w:t>
      </w:r>
      <w:r w:rsidR="007D6A15" w:rsidRPr="0072222C">
        <w:rPr>
          <w:rFonts w:ascii="Arial" w:hAnsi="Arial" w:cs="Arial"/>
          <w:color w:val="000000" w:themeColor="text1"/>
          <w:sz w:val="18"/>
          <w:szCs w:val="18"/>
        </w:rPr>
        <w:t>pesquisas</w:t>
      </w:r>
      <w:r w:rsidR="007D6A15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em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artigos científicos publicados entre os anos de 201</w:t>
      </w:r>
      <w:r w:rsidR="00E00483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1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e 202</w:t>
      </w:r>
      <w:r w:rsidR="00E00483"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1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, localizados através das plataformas de busca</w:t>
      </w:r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="00920EC7"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Scielo</w:t>
      </w:r>
      <w:proofErr w:type="spellEnd"/>
      <w:r w:rsidR="00920EC7"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  <w:proofErr w:type="spellStart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ScienceDirect</w:t>
      </w:r>
      <w:proofErr w:type="spellEnd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  <w:proofErr w:type="spellStart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Mendeley</w:t>
      </w:r>
      <w:proofErr w:type="spellEnd"/>
      <w:r w:rsidR="0060424A"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,</w:t>
      </w:r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PubMed</w:t>
      </w:r>
      <w:proofErr w:type="spellEnd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 e </w:t>
      </w:r>
      <w:proofErr w:type="spellStart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Wiley</w:t>
      </w:r>
      <w:proofErr w:type="spellEnd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 Online Library. </w:t>
      </w:r>
      <w:r w:rsidRPr="0072222C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Foram utilizadas as palavras chave: </w:t>
      </w:r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doppler, testicular </w:t>
      </w:r>
      <w:proofErr w:type="spellStart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dysfunction</w:t>
      </w:r>
      <w:proofErr w:type="spellEnd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  <w:proofErr w:type="spellStart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stallions</w:t>
      </w:r>
      <w:proofErr w:type="spellEnd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, testicular </w:t>
      </w:r>
      <w:proofErr w:type="spellStart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blood</w:t>
      </w:r>
      <w:proofErr w:type="spellEnd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flow</w:t>
      </w:r>
      <w:proofErr w:type="spellEnd"/>
      <w:r w:rsidR="00537DB8" w:rsidRPr="0072222C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.</w:t>
      </w:r>
    </w:p>
    <w:p w14:paraId="7DF1E4D2" w14:textId="77777777" w:rsidR="0096331D" w:rsidRPr="0072222C" w:rsidRDefault="0096331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14:paraId="2259A320" w14:textId="77777777" w:rsidR="00D55915" w:rsidRPr="0072222C" w:rsidRDefault="009E5B41" w:rsidP="00375D3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222C">
        <w:rPr>
          <w:rFonts w:ascii="Arial" w:eastAsia="Arial" w:hAnsi="Arial" w:cs="Arial"/>
          <w:b/>
          <w:color w:val="000000" w:themeColor="text1"/>
          <w:sz w:val="18"/>
          <w:szCs w:val="18"/>
        </w:rPr>
        <w:t>REVISÃO DE LITERATURA</w:t>
      </w:r>
    </w:p>
    <w:p w14:paraId="1BF970BC" w14:textId="6D33BA52" w:rsidR="00B64BE1" w:rsidRPr="0072222C" w:rsidRDefault="001B5992" w:rsidP="00735D7E">
      <w:pPr>
        <w:spacing w:afterLines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Vários problemas patológicos que acometem o trato reprodutivo de </w:t>
      </w:r>
      <w:r w:rsidR="00865253" w:rsidRPr="0072222C">
        <w:rPr>
          <w:rFonts w:ascii="Arial" w:hAnsi="Arial" w:cs="Arial"/>
          <w:color w:val="000000" w:themeColor="text1"/>
          <w:sz w:val="18"/>
          <w:szCs w:val="18"/>
        </w:rPr>
        <w:t>garanhões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tem sido diagnostic</w:t>
      </w:r>
      <w:r w:rsidR="00865253" w:rsidRPr="0072222C">
        <w:rPr>
          <w:rFonts w:ascii="Arial" w:hAnsi="Arial" w:cs="Arial"/>
          <w:color w:val="000000" w:themeColor="text1"/>
          <w:sz w:val="18"/>
          <w:szCs w:val="18"/>
        </w:rPr>
        <w:t>ado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76008" w:rsidRPr="0072222C">
        <w:rPr>
          <w:rFonts w:ascii="Arial" w:hAnsi="Arial" w:cs="Arial"/>
          <w:color w:val="000000" w:themeColor="text1"/>
          <w:sz w:val="18"/>
          <w:szCs w:val="18"/>
        </w:rPr>
        <w:t xml:space="preserve"> com o </w:t>
      </w:r>
      <w:proofErr w:type="spellStart"/>
      <w:r w:rsidR="00D76008" w:rsidRPr="0072222C">
        <w:rPr>
          <w:rFonts w:ascii="Arial" w:hAnsi="Arial" w:cs="Arial"/>
          <w:color w:val="000000" w:themeColor="text1"/>
          <w:sz w:val="18"/>
          <w:szCs w:val="18"/>
        </w:rPr>
        <w:t>auxilio</w:t>
      </w:r>
      <w:proofErr w:type="spellEnd"/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da ultrassonografia, </w:t>
      </w:r>
      <w:r w:rsidR="0055140B" w:rsidRPr="0072222C">
        <w:rPr>
          <w:rFonts w:ascii="Arial" w:hAnsi="Arial" w:cs="Arial"/>
          <w:color w:val="000000" w:themeColor="text1"/>
          <w:sz w:val="18"/>
          <w:szCs w:val="18"/>
        </w:rPr>
        <w:t>dentre as quais est</w:t>
      </w:r>
      <w:r w:rsidR="0072222C" w:rsidRPr="0072222C">
        <w:rPr>
          <w:rFonts w:ascii="Arial" w:hAnsi="Arial" w:cs="Arial"/>
          <w:color w:val="000000" w:themeColor="text1"/>
          <w:sz w:val="18"/>
          <w:szCs w:val="18"/>
        </w:rPr>
        <w:t>á</w:t>
      </w:r>
      <w:r w:rsidR="0055140B" w:rsidRPr="0072222C">
        <w:rPr>
          <w:rFonts w:ascii="Arial" w:hAnsi="Arial" w:cs="Arial"/>
          <w:color w:val="000000" w:themeColor="text1"/>
          <w:sz w:val="18"/>
          <w:szCs w:val="18"/>
        </w:rPr>
        <w:t xml:space="preserve"> a injuria testicular mais comum </w:t>
      </w:r>
      <w:r w:rsidR="002E508F" w:rsidRPr="0072222C">
        <w:rPr>
          <w:rFonts w:ascii="Arial" w:hAnsi="Arial" w:cs="Arial"/>
          <w:color w:val="000000" w:themeColor="text1"/>
          <w:sz w:val="18"/>
          <w:szCs w:val="18"/>
        </w:rPr>
        <w:t>nos garanhões</w:t>
      </w:r>
      <w:r w:rsidR="0055140B" w:rsidRPr="0072222C">
        <w:rPr>
          <w:rFonts w:ascii="Arial" w:hAnsi="Arial" w:cs="Arial"/>
          <w:color w:val="000000" w:themeColor="text1"/>
          <w:sz w:val="18"/>
          <w:szCs w:val="18"/>
        </w:rPr>
        <w:t>, a degeneração testicular,</w:t>
      </w:r>
      <w:r w:rsidR="00A94E68" w:rsidRPr="0072222C">
        <w:rPr>
          <w:rFonts w:ascii="Arial" w:hAnsi="Arial" w:cs="Arial"/>
          <w:color w:val="000000" w:themeColor="text1"/>
          <w:sz w:val="18"/>
          <w:szCs w:val="18"/>
        </w:rPr>
        <w:t xml:space="preserve"> que é um processo degenerativo do parênquima testicular que resulta em animais </w:t>
      </w:r>
      <w:proofErr w:type="spellStart"/>
      <w:r w:rsidR="00A94E68" w:rsidRPr="0072222C">
        <w:rPr>
          <w:rFonts w:ascii="Arial" w:hAnsi="Arial" w:cs="Arial"/>
          <w:color w:val="000000" w:themeColor="text1"/>
          <w:sz w:val="18"/>
          <w:szCs w:val="18"/>
        </w:rPr>
        <w:t>subferteis</w:t>
      </w:r>
      <w:proofErr w:type="spellEnd"/>
      <w:r w:rsidR="00A94E68" w:rsidRPr="0072222C">
        <w:rPr>
          <w:rFonts w:ascii="Arial" w:hAnsi="Arial" w:cs="Arial"/>
          <w:color w:val="000000" w:themeColor="text1"/>
          <w:sz w:val="18"/>
          <w:szCs w:val="18"/>
        </w:rPr>
        <w:t xml:space="preserve"> e inférteis.</w:t>
      </w:r>
      <w:r w:rsidR="00A94E68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10</w:t>
      </w:r>
      <w:r w:rsidR="00A94E68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76008" w:rsidRPr="0072222C">
        <w:rPr>
          <w:rFonts w:ascii="Arial" w:hAnsi="Arial" w:cs="Arial"/>
          <w:color w:val="000000" w:themeColor="text1"/>
          <w:sz w:val="18"/>
          <w:szCs w:val="18"/>
        </w:rPr>
        <w:t xml:space="preserve"> Essa ferramenta também pode ser útil no </w:t>
      </w:r>
      <w:proofErr w:type="spellStart"/>
      <w:r w:rsidR="00D76008" w:rsidRPr="0072222C">
        <w:rPr>
          <w:rFonts w:ascii="Arial" w:hAnsi="Arial" w:cs="Arial"/>
          <w:color w:val="000000" w:themeColor="text1"/>
          <w:sz w:val="18"/>
          <w:szCs w:val="18"/>
        </w:rPr>
        <w:t>diagnostico</w:t>
      </w:r>
      <w:proofErr w:type="spellEnd"/>
      <w:r w:rsidR="00D76008" w:rsidRPr="0072222C">
        <w:rPr>
          <w:rFonts w:ascii="Arial" w:hAnsi="Arial" w:cs="Arial"/>
          <w:color w:val="000000" w:themeColor="text1"/>
          <w:sz w:val="18"/>
          <w:szCs w:val="18"/>
        </w:rPr>
        <w:t xml:space="preserve"> de o</w:t>
      </w:r>
      <w:r w:rsidR="00A94E68" w:rsidRPr="0072222C">
        <w:rPr>
          <w:rFonts w:ascii="Arial" w:hAnsi="Arial" w:cs="Arial"/>
          <w:color w:val="000000" w:themeColor="text1"/>
          <w:sz w:val="18"/>
          <w:szCs w:val="18"/>
        </w:rPr>
        <w:t>utras doenças reprodutivas</w:t>
      </w:r>
      <w:r w:rsidR="00D76008" w:rsidRPr="0072222C">
        <w:rPr>
          <w:rFonts w:ascii="Arial" w:hAnsi="Arial" w:cs="Arial"/>
          <w:color w:val="000000" w:themeColor="text1"/>
          <w:sz w:val="18"/>
          <w:szCs w:val="18"/>
        </w:rPr>
        <w:t>,</w:t>
      </w:r>
      <w:r w:rsidR="00401A3C" w:rsidRPr="0072222C">
        <w:rPr>
          <w:rFonts w:ascii="Arial" w:hAnsi="Arial" w:cs="Arial"/>
          <w:color w:val="000000" w:themeColor="text1"/>
          <w:sz w:val="18"/>
          <w:szCs w:val="18"/>
        </w:rPr>
        <w:t xml:space="preserve"> por exemplo em</w:t>
      </w:r>
      <w:r w:rsidR="00A94E68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casos de neoplasias, </w:t>
      </w:r>
      <w:r w:rsidR="004322EB" w:rsidRPr="0072222C">
        <w:rPr>
          <w:rFonts w:ascii="Arial" w:hAnsi="Arial" w:cs="Arial"/>
          <w:color w:val="000000" w:themeColor="text1"/>
          <w:sz w:val="18"/>
          <w:szCs w:val="18"/>
        </w:rPr>
        <w:t xml:space="preserve">hernia inguinal,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>varicocele</w:t>
      </w:r>
      <w:r w:rsidR="004322EB" w:rsidRPr="0072222C">
        <w:rPr>
          <w:rFonts w:ascii="Arial" w:hAnsi="Arial" w:cs="Arial"/>
          <w:color w:val="000000" w:themeColor="text1"/>
          <w:sz w:val="18"/>
          <w:szCs w:val="18"/>
        </w:rPr>
        <w:t xml:space="preserve">, torção testicular, </w:t>
      </w:r>
      <w:proofErr w:type="spellStart"/>
      <w:r w:rsidR="004322EB" w:rsidRPr="0072222C">
        <w:rPr>
          <w:rFonts w:ascii="Arial" w:hAnsi="Arial" w:cs="Arial"/>
          <w:color w:val="000000" w:themeColor="text1"/>
          <w:sz w:val="18"/>
          <w:szCs w:val="18"/>
        </w:rPr>
        <w:t>hidrocele</w:t>
      </w:r>
      <w:proofErr w:type="spellEnd"/>
      <w:r w:rsidR="00BD45C6" w:rsidRPr="0072222C"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epididimites.</w:t>
      </w:r>
      <w:r w:rsidR="0060424A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4322EB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,4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Além disso, a</w:t>
      </w:r>
      <w:r w:rsidR="00B64BE1" w:rsidRPr="0072222C">
        <w:rPr>
          <w:rFonts w:ascii="Arial" w:hAnsi="Arial" w:cs="Arial"/>
          <w:color w:val="000000" w:themeColor="text1"/>
          <w:sz w:val="18"/>
          <w:szCs w:val="18"/>
        </w:rPr>
        <w:t xml:space="preserve">tualmente tem sido utilizados associações entre </w:t>
      </w:r>
      <w:r w:rsidR="009729D7" w:rsidRPr="0072222C">
        <w:rPr>
          <w:rFonts w:ascii="Arial" w:hAnsi="Arial" w:cs="Arial"/>
          <w:color w:val="000000" w:themeColor="text1"/>
          <w:sz w:val="18"/>
          <w:szCs w:val="18"/>
        </w:rPr>
        <w:t xml:space="preserve">a ultrassonografia </w:t>
      </w:r>
      <w:r w:rsidR="003C1993" w:rsidRPr="0072222C">
        <w:rPr>
          <w:rFonts w:ascii="Arial" w:hAnsi="Arial" w:cs="Arial"/>
          <w:color w:val="000000" w:themeColor="text1"/>
          <w:sz w:val="18"/>
          <w:szCs w:val="18"/>
        </w:rPr>
        <w:t>bidimensional</w:t>
      </w:r>
      <w:r w:rsidR="009729D7" w:rsidRPr="0072222C">
        <w:rPr>
          <w:rFonts w:ascii="Arial" w:hAnsi="Arial" w:cs="Arial"/>
          <w:color w:val="000000" w:themeColor="text1"/>
          <w:sz w:val="18"/>
          <w:szCs w:val="18"/>
        </w:rPr>
        <w:t>, UD colorido</w:t>
      </w:r>
      <w:r w:rsidR="00BD45C6" w:rsidRPr="0072222C">
        <w:rPr>
          <w:rFonts w:ascii="Arial" w:hAnsi="Arial" w:cs="Arial"/>
          <w:color w:val="000000" w:themeColor="text1"/>
          <w:sz w:val="18"/>
          <w:szCs w:val="18"/>
        </w:rPr>
        <w:t xml:space="preserve"> e UD</w:t>
      </w:r>
      <w:r w:rsidR="009729D7" w:rsidRPr="0072222C">
        <w:rPr>
          <w:rFonts w:ascii="Arial" w:hAnsi="Arial" w:cs="Arial"/>
          <w:color w:val="000000" w:themeColor="text1"/>
          <w:sz w:val="18"/>
          <w:szCs w:val="18"/>
        </w:rPr>
        <w:t xml:space="preserve"> espectral (pulsado)</w:t>
      </w:r>
      <w:r w:rsidR="009729D7" w:rsidRPr="0072222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B64BE1" w:rsidRPr="0072222C">
        <w:rPr>
          <w:rFonts w:ascii="Arial" w:hAnsi="Arial" w:cs="Arial"/>
          <w:color w:val="000000" w:themeColor="text1"/>
          <w:sz w:val="18"/>
          <w:szCs w:val="18"/>
        </w:rPr>
        <w:t>para identificar e analisar estruturas anatômicas e determinar medidas do fluxo sanguíneo.</w:t>
      </w:r>
      <w:r w:rsidR="0060424A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9</w:t>
      </w:r>
    </w:p>
    <w:p w14:paraId="3D85F879" w14:textId="60737717" w:rsidR="00B64BE1" w:rsidRPr="0072222C" w:rsidRDefault="00B64BE1" w:rsidP="00735D7E">
      <w:pPr>
        <w:autoSpaceDE w:val="0"/>
        <w:autoSpaceDN w:val="0"/>
        <w:adjustRightInd w:val="0"/>
        <w:spacing w:afterLines="40" w:after="96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Inicialmente utiliza o modo B para </w:t>
      </w:r>
      <w:r w:rsidR="003C1993" w:rsidRPr="0072222C">
        <w:rPr>
          <w:rFonts w:ascii="Arial" w:hAnsi="Arial" w:cs="Arial"/>
          <w:color w:val="000000" w:themeColor="text1"/>
          <w:sz w:val="18"/>
          <w:szCs w:val="18"/>
        </w:rPr>
        <w:t xml:space="preserve">explorar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>a arquitetura anatômica e as estruturas vasculares presente no cordão espermático, testículos e epidídimos.</w:t>
      </w:r>
      <w:r w:rsidR="00865253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865253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D6A15" w:rsidRPr="0072222C">
        <w:rPr>
          <w:rFonts w:ascii="Arial" w:hAnsi="Arial" w:cs="Arial"/>
          <w:color w:val="000000" w:themeColor="text1"/>
          <w:sz w:val="18"/>
          <w:szCs w:val="18"/>
        </w:rPr>
        <w:t>Na sequência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>, é</w:t>
      </w:r>
      <w:r w:rsidR="007D6A15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82EF6" w:rsidRPr="0072222C">
        <w:rPr>
          <w:rFonts w:ascii="Arial" w:hAnsi="Arial" w:cs="Arial"/>
          <w:color w:val="000000" w:themeColor="text1"/>
          <w:sz w:val="18"/>
          <w:szCs w:val="18"/>
        </w:rPr>
        <w:t xml:space="preserve">realizado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r w:rsidR="00E00483" w:rsidRPr="0072222C">
        <w:rPr>
          <w:rFonts w:ascii="Arial" w:hAnsi="Arial" w:cs="Arial"/>
          <w:color w:val="000000" w:themeColor="text1"/>
          <w:sz w:val="18"/>
          <w:szCs w:val="18"/>
        </w:rPr>
        <w:t>d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oppler colorido que irá </w:t>
      </w:r>
      <w:r w:rsidR="003C1993" w:rsidRPr="0072222C">
        <w:rPr>
          <w:rFonts w:ascii="Arial" w:hAnsi="Arial" w:cs="Arial"/>
          <w:color w:val="000000" w:themeColor="text1"/>
          <w:sz w:val="18"/>
          <w:szCs w:val="18"/>
        </w:rPr>
        <w:t>transmitir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informações gerais sobre o fluxo de sangue em forma de cor, sendo que </w:t>
      </w:r>
      <w:r w:rsidR="00590CFA" w:rsidRPr="0072222C">
        <w:rPr>
          <w:rFonts w:ascii="Arial" w:hAnsi="Arial" w:cs="Arial"/>
          <w:color w:val="000000" w:themeColor="text1"/>
          <w:sz w:val="18"/>
          <w:szCs w:val="18"/>
        </w:rPr>
        <w:t xml:space="preserve">o movimento de sangue em direção a sonda é representado em vermelho e o movimento que se distancia da sonda em </w:t>
      </w:r>
      <w:r w:rsidR="001A6275" w:rsidRPr="0072222C">
        <w:rPr>
          <w:rFonts w:ascii="Arial" w:hAnsi="Arial" w:cs="Arial"/>
          <w:color w:val="000000" w:themeColor="text1"/>
          <w:sz w:val="18"/>
          <w:szCs w:val="18"/>
        </w:rPr>
        <w:t>azul.</w:t>
      </w:r>
      <w:r w:rsidR="0060424A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F43425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Posteriormente, </w:t>
      </w:r>
      <w:r w:rsidR="003C1993" w:rsidRPr="0072222C">
        <w:rPr>
          <w:rFonts w:ascii="Arial" w:hAnsi="Arial" w:cs="Arial"/>
          <w:color w:val="000000" w:themeColor="text1"/>
          <w:sz w:val="18"/>
          <w:szCs w:val="18"/>
        </w:rPr>
        <w:t xml:space="preserve">é avaliado a velocidade do fluxo de sangue dentro do vaso utilizando o </w:t>
      </w:r>
      <w:r w:rsidR="00BD45C6" w:rsidRPr="0072222C">
        <w:rPr>
          <w:rFonts w:ascii="Arial" w:hAnsi="Arial" w:cs="Arial"/>
          <w:color w:val="000000" w:themeColor="text1"/>
          <w:sz w:val="18"/>
          <w:szCs w:val="18"/>
        </w:rPr>
        <w:t xml:space="preserve">modo </w:t>
      </w:r>
      <w:r w:rsidR="003C1993" w:rsidRPr="0072222C">
        <w:rPr>
          <w:rFonts w:ascii="Arial" w:hAnsi="Arial" w:cs="Arial"/>
          <w:color w:val="000000" w:themeColor="text1"/>
          <w:sz w:val="18"/>
          <w:szCs w:val="18"/>
        </w:rPr>
        <w:t>espectral.</w:t>
      </w:r>
      <w:r w:rsidR="00865253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DB4E71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</w:p>
    <w:p w14:paraId="412213BE" w14:textId="72646012" w:rsidR="00D13189" w:rsidRPr="0072222C" w:rsidRDefault="00D13189" w:rsidP="00735D7E">
      <w:pPr>
        <w:spacing w:afterLines="40" w:after="96"/>
        <w:jc w:val="both"/>
        <w:rPr>
          <w:rFonts w:ascii="Arial" w:hAnsi="Arial" w:cs="Arial"/>
          <w:color w:val="000000" w:themeColor="text1"/>
          <w:sz w:val="18"/>
          <w:szCs w:val="18"/>
          <w:vertAlign w:val="superscript"/>
        </w:rPr>
      </w:pP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Dentre as estruturas vasculares avaliadas utiliza-se a artéria </w:t>
      </w:r>
      <w:proofErr w:type="spellStart"/>
      <w:r w:rsidRPr="0072222C">
        <w:rPr>
          <w:rFonts w:ascii="Arial" w:hAnsi="Arial" w:cs="Arial"/>
          <w:color w:val="000000" w:themeColor="text1"/>
          <w:sz w:val="18"/>
          <w:szCs w:val="18"/>
        </w:rPr>
        <w:t>supra-testicular</w:t>
      </w:r>
      <w:proofErr w:type="spellEnd"/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, a artéria capsular e a </w:t>
      </w:r>
      <w:proofErr w:type="spellStart"/>
      <w:r w:rsidRPr="0072222C">
        <w:rPr>
          <w:rFonts w:ascii="Arial" w:hAnsi="Arial" w:cs="Arial"/>
          <w:color w:val="000000" w:themeColor="text1"/>
          <w:sz w:val="18"/>
          <w:szCs w:val="18"/>
        </w:rPr>
        <w:t>intratesticular</w:t>
      </w:r>
      <w:proofErr w:type="spellEnd"/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para obter os parâmetros doppler.</w:t>
      </w:r>
      <w:r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Esses parâmetros são: velocidade sistólica de pico (PSV), velocidade diastólica final (VDF), velocidade máxima medida de tempo (TAMV)</w:t>
      </w:r>
      <w:r w:rsidR="00482EF6" w:rsidRPr="0072222C">
        <w:rPr>
          <w:rFonts w:ascii="Arial" w:hAnsi="Arial" w:cs="Arial"/>
          <w:color w:val="000000" w:themeColor="text1"/>
          <w:sz w:val="18"/>
          <w:szCs w:val="18"/>
        </w:rPr>
        <w:t>,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índice de resistividade (IR) e índice de </w:t>
      </w:r>
      <w:proofErr w:type="spellStart"/>
      <w:r w:rsidRPr="0072222C">
        <w:rPr>
          <w:rFonts w:ascii="Arial" w:hAnsi="Arial" w:cs="Arial"/>
          <w:color w:val="000000" w:themeColor="text1"/>
          <w:sz w:val="18"/>
          <w:szCs w:val="18"/>
        </w:rPr>
        <w:t>pulsatilidade</w:t>
      </w:r>
      <w:proofErr w:type="spellEnd"/>
      <w:r w:rsidRPr="0072222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>(IP).</w:t>
      </w:r>
      <w:r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Sendo que o IR demonstra a resistência do fluxo de sangue e o IP estima a </w:t>
      </w:r>
      <w:proofErr w:type="spellStart"/>
      <w:r w:rsidRPr="0072222C">
        <w:rPr>
          <w:rFonts w:ascii="Arial" w:hAnsi="Arial" w:cs="Arial"/>
          <w:color w:val="000000" w:themeColor="text1"/>
          <w:sz w:val="18"/>
          <w:szCs w:val="18"/>
        </w:rPr>
        <w:t>pulsatilidade</w:t>
      </w:r>
      <w:proofErr w:type="spellEnd"/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da onda, e estão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>relacionados ao PSV, EDV e a velocidade média, posto que IR = [(PSV – EDV) / PSV] e IP = [(PSV – EDV) / TAMV].</w:t>
      </w:r>
      <w:r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4,5</w:t>
      </w:r>
    </w:p>
    <w:p w14:paraId="117E437B" w14:textId="05CF1ABB" w:rsidR="00D13189" w:rsidRPr="0072222C" w:rsidRDefault="00D13189" w:rsidP="00735D7E">
      <w:pPr>
        <w:spacing w:afterLines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2222C">
        <w:rPr>
          <w:rFonts w:ascii="Arial" w:hAnsi="Arial" w:cs="Arial"/>
          <w:color w:val="000000" w:themeColor="text1"/>
          <w:sz w:val="18"/>
          <w:szCs w:val="18"/>
        </w:rPr>
        <w:t>De acordo com Ortega-</w:t>
      </w:r>
      <w:proofErr w:type="spellStart"/>
      <w:r w:rsidRPr="0072222C">
        <w:rPr>
          <w:rFonts w:ascii="Arial" w:hAnsi="Arial" w:cs="Arial"/>
          <w:color w:val="000000" w:themeColor="text1"/>
          <w:sz w:val="18"/>
          <w:szCs w:val="18"/>
        </w:rPr>
        <w:t>Ferrusola</w:t>
      </w:r>
      <w:proofErr w:type="spellEnd"/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(2014) o IP e IR não dependem do ângulo de </w:t>
      </w:r>
      <w:proofErr w:type="spellStart"/>
      <w:r w:rsidRPr="0072222C">
        <w:rPr>
          <w:rFonts w:ascii="Arial" w:hAnsi="Arial" w:cs="Arial"/>
          <w:color w:val="000000" w:themeColor="text1"/>
          <w:sz w:val="18"/>
          <w:szCs w:val="18"/>
        </w:rPr>
        <w:t>insonação</w:t>
      </w:r>
      <w:proofErr w:type="spellEnd"/>
      <w:r w:rsidR="00761B71" w:rsidRPr="0072222C">
        <w:rPr>
          <w:rFonts w:ascii="Arial" w:hAnsi="Arial" w:cs="Arial"/>
          <w:color w:val="000000" w:themeColor="text1"/>
          <w:sz w:val="18"/>
          <w:szCs w:val="18"/>
        </w:rPr>
        <w:t xml:space="preserve"> do ultrassom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podendo ser utilizados em vasos contorcidos, como a artéria supra testicular.</w:t>
      </w:r>
      <w:r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4  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>Esses</w:t>
      </w:r>
      <w:r w:rsidR="00761B71" w:rsidRPr="0072222C">
        <w:rPr>
          <w:rFonts w:ascii="Arial" w:hAnsi="Arial" w:cs="Arial"/>
          <w:color w:val="000000" w:themeColor="text1"/>
          <w:sz w:val="18"/>
          <w:szCs w:val="18"/>
        </w:rPr>
        <w:t xml:space="preserve"> dois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índices são os mais utilizados para analisar a perfusão sanguínea dos testículos.</w:t>
      </w:r>
      <w:r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Além disso, o IR vem sendo utilizado em estudos relacionados a andrologia animal e humana por ser mais perceptível e estável em comparação a outros parâmetro doppler.</w:t>
      </w:r>
      <w:r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Valores de referência para IR e IP da artéria testicular na porção do cordão espermático e da artéria marginal já foram descritos, tabela 1.</w:t>
      </w:r>
      <w:r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2C5681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</w:p>
    <w:p w14:paraId="1AA9D6DB" w14:textId="510D40AE" w:rsidR="007A6DBB" w:rsidRPr="0072222C" w:rsidRDefault="007A6DBB" w:rsidP="00735D7E">
      <w:pPr>
        <w:spacing w:afterLines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0A459D1" w14:textId="5C563C4B" w:rsidR="007A6DBB" w:rsidRPr="0072222C" w:rsidRDefault="007A6DBB" w:rsidP="00735D7E">
      <w:pPr>
        <w:pBdr>
          <w:left w:val="nil"/>
        </w:pBdr>
        <w:spacing w:afterLines="40" w:after="96"/>
        <w:ind w:firstLine="142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222C">
        <w:rPr>
          <w:rFonts w:ascii="Arial" w:eastAsia="Arial" w:hAnsi="Arial" w:cs="Arial"/>
          <w:b/>
          <w:color w:val="000000" w:themeColor="text1"/>
          <w:sz w:val="18"/>
          <w:szCs w:val="18"/>
        </w:rPr>
        <w:t>Tabela 1:</w:t>
      </w:r>
      <w:r w:rsidRPr="0072222C">
        <w:rPr>
          <w:rFonts w:ascii="Arial" w:eastAsia="Arial" w:hAnsi="Arial" w:cs="Arial"/>
          <w:color w:val="000000" w:themeColor="text1"/>
          <w:sz w:val="18"/>
          <w:szCs w:val="18"/>
        </w:rPr>
        <w:t xml:space="preserve"> Valores de referência para IR e IP da artéria testicular (porção do cordão espermático) e artéria marginal</w:t>
      </w:r>
    </w:p>
    <w:tbl>
      <w:tblPr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731"/>
        <w:gridCol w:w="1189"/>
        <w:gridCol w:w="731"/>
        <w:gridCol w:w="1189"/>
      </w:tblGrid>
      <w:tr w:rsidR="0072222C" w:rsidRPr="0072222C" w14:paraId="5BBF346F" w14:textId="77777777" w:rsidTr="00970E79">
        <w:trPr>
          <w:trHeight w:val="288"/>
        </w:trPr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165AA0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Mensurações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F92B4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Cordão </w:t>
            </w:r>
            <w:proofErr w:type="spellStart"/>
            <w:r w:rsidRPr="0072222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espermatico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BDBE2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72222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Arteria</w:t>
            </w:r>
            <w:proofErr w:type="spellEnd"/>
            <w:r w:rsidRPr="0072222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marginal</w:t>
            </w:r>
          </w:p>
        </w:tc>
      </w:tr>
      <w:tr w:rsidR="0072222C" w:rsidRPr="0072222C" w14:paraId="31545FA2" w14:textId="77777777" w:rsidTr="00970E79">
        <w:trPr>
          <w:trHeight w:val="288"/>
        </w:trPr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4B5D2A" w14:textId="77777777" w:rsidR="007A6DBB" w:rsidRPr="001D17F8" w:rsidRDefault="007A6DBB" w:rsidP="00735D7E">
            <w:pPr>
              <w:spacing w:afterLines="40" w:after="96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021A" w14:textId="77777777" w:rsidR="007A6DBB" w:rsidRPr="001D17F8" w:rsidRDefault="007A6DBB" w:rsidP="00735D7E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D17F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Média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7843A" w14:textId="77777777" w:rsidR="007A6DBB" w:rsidRPr="001D17F8" w:rsidRDefault="007A6DBB" w:rsidP="00735D7E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D17F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Variação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86450" w14:textId="77777777" w:rsidR="007A6DBB" w:rsidRPr="001D17F8" w:rsidRDefault="007A6DBB" w:rsidP="00735D7E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D17F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Média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D103A" w14:textId="77777777" w:rsidR="007A6DBB" w:rsidRPr="001D17F8" w:rsidRDefault="007A6DBB" w:rsidP="00735D7E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1D17F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Variação</w:t>
            </w:r>
          </w:p>
        </w:tc>
      </w:tr>
      <w:tr w:rsidR="0072222C" w:rsidRPr="0072222C" w14:paraId="381582BB" w14:textId="77777777" w:rsidTr="00970E79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862C" w14:textId="1AC923F3" w:rsidR="007A6DBB" w:rsidRPr="0072222C" w:rsidRDefault="00D13189" w:rsidP="00735D7E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IR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01ED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0,78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C6EC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0,56 - 0,99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462B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0,63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B1D1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0,39 - 0,85</w:t>
            </w:r>
          </w:p>
        </w:tc>
      </w:tr>
      <w:tr w:rsidR="0072222C" w:rsidRPr="0072222C" w14:paraId="65ED51D1" w14:textId="77777777" w:rsidTr="00D13189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517AD" w14:textId="4E161B6F" w:rsidR="007A6DBB" w:rsidRPr="0072222C" w:rsidRDefault="00D13189" w:rsidP="00735D7E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IP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A1638" w14:textId="02A12A3A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1,99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36266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0,96 - 3,96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2A6DD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1,15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854E4" w14:textId="77777777" w:rsidR="007A6DBB" w:rsidRPr="0072222C" w:rsidRDefault="007A6DBB" w:rsidP="00735D7E">
            <w:pPr>
              <w:spacing w:afterLines="40" w:after="96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0,55 - 2,29</w:t>
            </w:r>
          </w:p>
        </w:tc>
      </w:tr>
      <w:tr w:rsidR="0072222C" w:rsidRPr="0072222C" w14:paraId="7491DFE1" w14:textId="77777777" w:rsidTr="00AB6FE9">
        <w:trPr>
          <w:trHeight w:val="288"/>
        </w:trPr>
        <w:tc>
          <w:tcPr>
            <w:tcW w:w="51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BFCC" w14:textId="64F56600" w:rsidR="00D13189" w:rsidRPr="0072222C" w:rsidRDefault="00D13189" w:rsidP="00735D7E">
            <w:pPr>
              <w:spacing w:afterLines="40" w:after="96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IR = índice de resistividade; IP = índice de </w:t>
            </w:r>
            <w:proofErr w:type="spellStart"/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pulsatilidade</w:t>
            </w:r>
            <w:proofErr w:type="spellEnd"/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. Adaptado de Monteiro, 2017</w:t>
            </w:r>
            <w:r w:rsidR="003F73FF"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apud </w:t>
            </w:r>
            <w:proofErr w:type="spellStart"/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Pozor</w:t>
            </w:r>
            <w:proofErr w:type="spellEnd"/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e </w:t>
            </w:r>
            <w:proofErr w:type="spellStart"/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McDonnel</w:t>
            </w:r>
            <w:proofErr w:type="spellEnd"/>
            <w:r w:rsidR="003F73FF"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, 2004</w:t>
            </w:r>
            <w:r w:rsidRPr="0072222C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</w:tr>
    </w:tbl>
    <w:p w14:paraId="1B46B4CD" w14:textId="77777777" w:rsidR="007A6DBB" w:rsidRPr="0072222C" w:rsidRDefault="007A6DBB" w:rsidP="00735D7E">
      <w:pPr>
        <w:spacing w:afterLines="40" w:after="96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2AEC234" w14:textId="3B6860F6" w:rsidR="00B33F8E" w:rsidRPr="0072222C" w:rsidRDefault="007A6DBB" w:rsidP="00735D7E">
      <w:pPr>
        <w:spacing w:afterLines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2222C">
        <w:rPr>
          <w:rFonts w:ascii="Arial" w:hAnsi="Arial" w:cs="Arial"/>
          <w:color w:val="000000" w:themeColor="text1"/>
          <w:sz w:val="18"/>
          <w:szCs w:val="18"/>
        </w:rPr>
        <w:t>Sabe-se que a perfusão vascular do tecido é inversamente proporcional ao valor de IR e IP do vaso que irriga o tecido, ou seja, se houver redução na perfusão sanguínea, haverá aumento dos valores de IP e IR.</w:t>
      </w:r>
      <w:r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B33F8E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="00B33F8E" w:rsidRPr="0072222C">
        <w:rPr>
          <w:rFonts w:ascii="Arial" w:hAnsi="Arial" w:cs="Arial"/>
          <w:color w:val="000000" w:themeColor="text1"/>
          <w:sz w:val="18"/>
          <w:szCs w:val="18"/>
        </w:rPr>
        <w:t>Com isso, IP e IR dentro dos valores de refer</w:t>
      </w:r>
      <w:r w:rsidR="00AA1B5F" w:rsidRPr="0072222C">
        <w:rPr>
          <w:rFonts w:ascii="Arial" w:hAnsi="Arial" w:cs="Arial"/>
          <w:color w:val="000000" w:themeColor="text1"/>
          <w:sz w:val="18"/>
          <w:szCs w:val="18"/>
        </w:rPr>
        <w:t>ê</w:t>
      </w:r>
      <w:r w:rsidR="00B33F8E" w:rsidRPr="0072222C">
        <w:rPr>
          <w:rFonts w:ascii="Arial" w:hAnsi="Arial" w:cs="Arial"/>
          <w:color w:val="000000" w:themeColor="text1"/>
          <w:sz w:val="18"/>
          <w:szCs w:val="18"/>
        </w:rPr>
        <w:t xml:space="preserve">ncia </w:t>
      </w:r>
      <w:proofErr w:type="spellStart"/>
      <w:r w:rsidR="00B33F8E" w:rsidRPr="0072222C">
        <w:rPr>
          <w:rFonts w:ascii="Arial" w:hAnsi="Arial" w:cs="Arial"/>
          <w:color w:val="000000" w:themeColor="text1"/>
          <w:sz w:val="18"/>
          <w:szCs w:val="18"/>
        </w:rPr>
        <w:t>sujerem</w:t>
      </w:r>
      <w:proofErr w:type="spellEnd"/>
      <w:r w:rsidR="00B33F8E" w:rsidRPr="0072222C">
        <w:rPr>
          <w:rFonts w:ascii="Arial" w:hAnsi="Arial" w:cs="Arial"/>
          <w:color w:val="000000" w:themeColor="text1"/>
          <w:sz w:val="18"/>
          <w:szCs w:val="18"/>
        </w:rPr>
        <w:t xml:space="preserve"> o suprimento adequado de nutrientes e oxigênio para os </w:t>
      </w:r>
      <w:proofErr w:type="spellStart"/>
      <w:r w:rsidR="00B33F8E" w:rsidRPr="0072222C">
        <w:rPr>
          <w:rFonts w:ascii="Arial" w:hAnsi="Arial" w:cs="Arial"/>
          <w:color w:val="000000" w:themeColor="text1"/>
          <w:sz w:val="18"/>
          <w:szCs w:val="18"/>
        </w:rPr>
        <w:t>testiculos</w:t>
      </w:r>
      <w:proofErr w:type="spellEnd"/>
      <w:r w:rsidR="00B33F8E" w:rsidRPr="0072222C">
        <w:rPr>
          <w:rFonts w:ascii="Arial" w:hAnsi="Arial" w:cs="Arial"/>
          <w:color w:val="000000" w:themeColor="text1"/>
          <w:sz w:val="18"/>
          <w:szCs w:val="18"/>
        </w:rPr>
        <w:t xml:space="preserve">, pois há uma menor resistência </w:t>
      </w:r>
      <w:r w:rsidR="00AA1B5F" w:rsidRPr="0072222C">
        <w:rPr>
          <w:rFonts w:ascii="Arial" w:hAnsi="Arial" w:cs="Arial"/>
          <w:color w:val="000000" w:themeColor="text1"/>
          <w:sz w:val="18"/>
          <w:szCs w:val="18"/>
        </w:rPr>
        <w:t>a</w:t>
      </w:r>
      <w:r w:rsidR="00B33F8E" w:rsidRPr="0072222C">
        <w:rPr>
          <w:rFonts w:ascii="Arial" w:hAnsi="Arial" w:cs="Arial"/>
          <w:color w:val="000000" w:themeColor="text1"/>
          <w:sz w:val="18"/>
          <w:szCs w:val="18"/>
        </w:rPr>
        <w:t>o fluxo de sangue e maior perfusão sanguínea.</w:t>
      </w:r>
      <w:r w:rsidR="00B33F8E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</w:p>
    <w:p w14:paraId="77C70300" w14:textId="6221F4C7" w:rsidR="00401A3C" w:rsidRPr="0072222C" w:rsidRDefault="007A6DBB" w:rsidP="00735D7E">
      <w:pPr>
        <w:spacing w:afterLines="40"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2222C">
        <w:rPr>
          <w:rFonts w:ascii="Arial" w:hAnsi="Arial" w:cs="Arial"/>
          <w:color w:val="000000" w:themeColor="text1"/>
          <w:sz w:val="18"/>
          <w:szCs w:val="18"/>
        </w:rPr>
        <w:t>E</w:t>
      </w:r>
      <w:r w:rsidR="007E4D8D" w:rsidRPr="0072222C">
        <w:rPr>
          <w:rFonts w:ascii="Arial" w:hAnsi="Arial" w:cs="Arial"/>
          <w:color w:val="000000" w:themeColor="text1"/>
          <w:sz w:val="18"/>
          <w:szCs w:val="18"/>
        </w:rPr>
        <w:t>studos tem demonstrado que o</w:t>
      </w:r>
      <w:r w:rsidR="00136E4B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E4D8D" w:rsidRPr="0072222C">
        <w:rPr>
          <w:rFonts w:ascii="Arial" w:hAnsi="Arial" w:cs="Arial"/>
          <w:color w:val="000000" w:themeColor="text1"/>
          <w:sz w:val="18"/>
          <w:szCs w:val="18"/>
        </w:rPr>
        <w:t>IP e o IR podem ser utilizados no diagnóstico de distúrbios testiculares em garanhões</w:t>
      </w:r>
      <w:r w:rsidR="002F3CDE" w:rsidRPr="0072222C">
        <w:rPr>
          <w:rFonts w:ascii="Arial" w:hAnsi="Arial" w:cs="Arial"/>
          <w:color w:val="000000" w:themeColor="text1"/>
          <w:sz w:val="18"/>
          <w:szCs w:val="18"/>
        </w:rPr>
        <w:t>,</w:t>
      </w:r>
      <w:r w:rsidR="0083336D" w:rsidRPr="0072222C">
        <w:rPr>
          <w:rFonts w:ascii="Arial" w:hAnsi="Arial" w:cs="Arial"/>
          <w:color w:val="000000" w:themeColor="text1"/>
          <w:sz w:val="18"/>
          <w:szCs w:val="18"/>
        </w:rPr>
        <w:t xml:space="preserve"> foram observados valores elevados de IR na </w:t>
      </w:r>
      <w:proofErr w:type="spellStart"/>
      <w:r w:rsidR="0083336D" w:rsidRPr="0072222C">
        <w:rPr>
          <w:rFonts w:ascii="Arial" w:hAnsi="Arial" w:cs="Arial"/>
          <w:color w:val="000000" w:themeColor="text1"/>
          <w:sz w:val="18"/>
          <w:szCs w:val="18"/>
        </w:rPr>
        <w:t>arteria</w:t>
      </w:r>
      <w:proofErr w:type="spellEnd"/>
      <w:r w:rsidR="0083336D" w:rsidRPr="0072222C">
        <w:rPr>
          <w:rFonts w:ascii="Arial" w:hAnsi="Arial" w:cs="Arial"/>
          <w:color w:val="000000" w:themeColor="text1"/>
          <w:sz w:val="18"/>
          <w:szCs w:val="18"/>
        </w:rPr>
        <w:t xml:space="preserve"> marginal em garanhões com varicocele (IR&gt;0,71), orquite crônica (IR&gt;0,72) e hernia inguinal (IR=0,81)</w:t>
      </w:r>
      <w:r w:rsidR="0054002C" w:rsidRPr="0072222C">
        <w:rPr>
          <w:rFonts w:ascii="Arial" w:hAnsi="Arial" w:cs="Arial"/>
          <w:color w:val="000000" w:themeColor="text1"/>
          <w:sz w:val="18"/>
          <w:szCs w:val="18"/>
        </w:rPr>
        <w:t xml:space="preserve">, apesar estarem entre os valores de </w:t>
      </w:r>
      <w:proofErr w:type="spellStart"/>
      <w:r w:rsidR="0054002C" w:rsidRPr="0072222C">
        <w:rPr>
          <w:rFonts w:ascii="Arial" w:hAnsi="Arial" w:cs="Arial"/>
          <w:color w:val="000000" w:themeColor="text1"/>
          <w:sz w:val="18"/>
          <w:szCs w:val="18"/>
        </w:rPr>
        <w:t>referencia</w:t>
      </w:r>
      <w:proofErr w:type="spellEnd"/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>.</w:t>
      </w:r>
      <w:r w:rsidR="0060424A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83336D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,10</w:t>
      </w:r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C9C8F95" w14:textId="133FA68E" w:rsidR="00FD47E8" w:rsidRPr="0072222C" w:rsidRDefault="006E5B3B" w:rsidP="00735D7E">
      <w:pPr>
        <w:spacing w:afterLines="40" w:after="96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proofErr w:type="spellStart"/>
      <w:r w:rsidRPr="0072222C">
        <w:rPr>
          <w:rFonts w:ascii="Arial" w:hAnsi="Arial" w:cs="Arial"/>
          <w:color w:val="000000" w:themeColor="text1"/>
          <w:sz w:val="18"/>
          <w:szCs w:val="18"/>
        </w:rPr>
        <w:t>Pozor</w:t>
      </w:r>
      <w:proofErr w:type="spellEnd"/>
      <w:r w:rsidRPr="0072222C">
        <w:rPr>
          <w:rFonts w:ascii="Arial" w:hAnsi="Arial" w:cs="Arial"/>
          <w:color w:val="000000" w:themeColor="text1"/>
          <w:sz w:val="18"/>
          <w:szCs w:val="18"/>
        </w:rPr>
        <w:t xml:space="preserve"> (2014) a</w:t>
      </w:r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 xml:space="preserve">o comparar os valores de IR e IP da artéria testicular entre garanhões normais e garanhões </w:t>
      </w:r>
      <w:proofErr w:type="spellStart"/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>oligospérmicos</w:t>
      </w:r>
      <w:proofErr w:type="spellEnd"/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 xml:space="preserve"> relatou</w:t>
      </w:r>
      <w:r w:rsidR="003E5DEF" w:rsidRPr="0072222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>que animais sem alterações na função testicular possuíam</w:t>
      </w:r>
      <w:r w:rsidR="003E5DEF" w:rsidRPr="0072222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>baixos valores de IR</w:t>
      </w:r>
      <w:r w:rsidR="00AA1B5F" w:rsidRPr="0072222C">
        <w:rPr>
          <w:rFonts w:ascii="Arial" w:hAnsi="Arial" w:cs="Arial"/>
          <w:color w:val="000000" w:themeColor="text1"/>
          <w:sz w:val="18"/>
          <w:szCs w:val="18"/>
        </w:rPr>
        <w:t xml:space="preserve"> (0,52) </w:t>
      </w:r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>e IP</w:t>
      </w:r>
      <w:r w:rsidR="00AA1B5F" w:rsidRPr="0072222C">
        <w:rPr>
          <w:rFonts w:ascii="Arial" w:hAnsi="Arial" w:cs="Arial"/>
          <w:color w:val="000000" w:themeColor="text1"/>
          <w:sz w:val="18"/>
          <w:szCs w:val="18"/>
        </w:rPr>
        <w:t xml:space="preserve"> (1,3),</w:t>
      </w:r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 xml:space="preserve"> por terem fluxo sanguíneo não resistivo na artéria testicular, e os animais com disfunção testicular mostraram</w:t>
      </w:r>
      <w:r w:rsidR="003E5DEF" w:rsidRPr="0072222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 xml:space="preserve">altos valores dos índices </w:t>
      </w:r>
      <w:r w:rsidR="004E3A80" w:rsidRPr="0072222C">
        <w:rPr>
          <w:rFonts w:ascii="Arial" w:hAnsi="Arial" w:cs="Arial"/>
          <w:color w:val="000000" w:themeColor="text1"/>
          <w:sz w:val="18"/>
          <w:szCs w:val="18"/>
        </w:rPr>
        <w:t>d</w:t>
      </w:r>
      <w:r w:rsidR="003E5DEF" w:rsidRPr="0072222C">
        <w:rPr>
          <w:rFonts w:ascii="Arial" w:hAnsi="Arial" w:cs="Arial"/>
          <w:color w:val="000000" w:themeColor="text1"/>
          <w:sz w:val="18"/>
          <w:szCs w:val="18"/>
        </w:rPr>
        <w:t>oppler por terem fluxo sanguíneo resistivo</w:t>
      </w:r>
      <w:r w:rsidR="00AA1B5F" w:rsidRPr="0072222C">
        <w:rPr>
          <w:rFonts w:ascii="Arial" w:hAnsi="Arial" w:cs="Arial"/>
          <w:color w:val="000000" w:themeColor="text1"/>
          <w:sz w:val="18"/>
          <w:szCs w:val="18"/>
        </w:rPr>
        <w:t xml:space="preserve">, IR </w:t>
      </w:r>
      <w:r w:rsidR="001B0843" w:rsidRPr="0072222C">
        <w:rPr>
          <w:rFonts w:ascii="Arial" w:hAnsi="Arial" w:cs="Arial"/>
          <w:color w:val="000000" w:themeColor="text1"/>
          <w:sz w:val="18"/>
          <w:szCs w:val="18"/>
        </w:rPr>
        <w:t>(</w:t>
      </w:r>
      <w:r w:rsidR="00AA1B5F" w:rsidRPr="0072222C">
        <w:rPr>
          <w:rFonts w:ascii="Arial" w:hAnsi="Arial" w:cs="Arial"/>
          <w:color w:val="000000" w:themeColor="text1"/>
          <w:sz w:val="18"/>
          <w:szCs w:val="18"/>
        </w:rPr>
        <w:t>0,70</w:t>
      </w:r>
      <w:r w:rsidR="001B0843" w:rsidRPr="0072222C">
        <w:rPr>
          <w:rFonts w:ascii="Arial" w:hAnsi="Arial" w:cs="Arial"/>
          <w:color w:val="000000" w:themeColor="text1"/>
          <w:sz w:val="18"/>
          <w:szCs w:val="18"/>
        </w:rPr>
        <w:t>)</w:t>
      </w:r>
      <w:r w:rsidR="00AA1B5F" w:rsidRPr="0072222C">
        <w:rPr>
          <w:rFonts w:ascii="Arial" w:hAnsi="Arial" w:cs="Arial"/>
          <w:color w:val="000000" w:themeColor="text1"/>
          <w:sz w:val="18"/>
          <w:szCs w:val="18"/>
        </w:rPr>
        <w:t xml:space="preserve"> e IP (2,15)</w:t>
      </w:r>
      <w:r w:rsidR="00761B71" w:rsidRPr="0072222C">
        <w:rPr>
          <w:rFonts w:ascii="Arial" w:hAnsi="Arial" w:cs="Arial"/>
          <w:color w:val="000000" w:themeColor="text1"/>
          <w:sz w:val="18"/>
          <w:szCs w:val="18"/>
        </w:rPr>
        <w:t>.</w:t>
      </w:r>
      <w:r w:rsidR="0060424A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3E5DEF" w:rsidRPr="0072222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F09AF" w:rsidRPr="0072222C">
        <w:rPr>
          <w:rFonts w:ascii="Arial" w:hAnsi="Arial" w:cs="Arial"/>
          <w:color w:val="000000" w:themeColor="text1"/>
          <w:sz w:val="18"/>
          <w:szCs w:val="18"/>
        </w:rPr>
        <w:t>O</w:t>
      </w:r>
      <w:r w:rsidR="001B0843" w:rsidRPr="0072222C">
        <w:rPr>
          <w:rFonts w:ascii="Arial" w:hAnsi="Arial" w:cs="Arial"/>
          <w:color w:val="000000" w:themeColor="text1"/>
          <w:sz w:val="18"/>
          <w:szCs w:val="18"/>
        </w:rPr>
        <w:t>bservou-se</w:t>
      </w:r>
      <w:r w:rsidR="00FF09AF" w:rsidRPr="0072222C">
        <w:rPr>
          <w:rFonts w:ascii="Arial" w:hAnsi="Arial" w:cs="Arial"/>
          <w:color w:val="000000" w:themeColor="text1"/>
          <w:sz w:val="18"/>
          <w:szCs w:val="18"/>
        </w:rPr>
        <w:t xml:space="preserve"> também</w:t>
      </w:r>
      <w:r w:rsidR="001B0843" w:rsidRPr="0072222C">
        <w:rPr>
          <w:rFonts w:ascii="Arial" w:hAnsi="Arial" w:cs="Arial"/>
          <w:color w:val="000000" w:themeColor="text1"/>
          <w:sz w:val="18"/>
          <w:szCs w:val="18"/>
        </w:rPr>
        <w:t xml:space="preserve"> que garanhões com </w:t>
      </w:r>
      <w:r w:rsidR="00FF09AF" w:rsidRPr="0072222C">
        <w:rPr>
          <w:rFonts w:ascii="Arial" w:hAnsi="Arial" w:cs="Arial"/>
          <w:color w:val="000000" w:themeColor="text1"/>
          <w:sz w:val="18"/>
          <w:szCs w:val="18"/>
        </w:rPr>
        <w:t>IP e IR elevados</w:t>
      </w:r>
      <w:r w:rsidR="001B0843" w:rsidRPr="0072222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F09AF" w:rsidRPr="0072222C">
        <w:rPr>
          <w:rFonts w:ascii="Arial" w:hAnsi="Arial" w:cs="Arial"/>
          <w:color w:val="000000" w:themeColor="text1"/>
          <w:sz w:val="18"/>
          <w:szCs w:val="18"/>
        </w:rPr>
        <w:t>tiverem redução no volume testicular e na quantidade de espermatozoides, além de aumento na concentração do hormônio folículo estimulante (FSH).</w:t>
      </w:r>
      <w:r w:rsidR="00FF09AF" w:rsidRPr="0072222C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6 </w:t>
      </w:r>
      <w:r w:rsidR="00FF09AF" w:rsidRPr="0072222C">
        <w:rPr>
          <w:rFonts w:ascii="Arial" w:hAnsi="Arial" w:cs="Arial"/>
          <w:color w:val="000000" w:themeColor="text1"/>
          <w:sz w:val="18"/>
          <w:szCs w:val="18"/>
        </w:rPr>
        <w:t xml:space="preserve">No entanto, </w:t>
      </w:r>
      <w:proofErr w:type="spellStart"/>
      <w:r w:rsidR="00FF09AF" w:rsidRPr="0072222C">
        <w:rPr>
          <w:rFonts w:ascii="Arial" w:hAnsi="Arial" w:cs="Arial"/>
          <w:color w:val="000000" w:themeColor="text1"/>
          <w:sz w:val="18"/>
          <w:szCs w:val="18"/>
        </w:rPr>
        <w:t>niveis</w:t>
      </w:r>
      <w:proofErr w:type="spellEnd"/>
      <w:r w:rsidR="00FF09AF" w:rsidRPr="0072222C">
        <w:rPr>
          <w:rFonts w:ascii="Arial" w:hAnsi="Arial" w:cs="Arial"/>
          <w:color w:val="000000" w:themeColor="text1"/>
          <w:sz w:val="18"/>
          <w:szCs w:val="18"/>
        </w:rPr>
        <w:t xml:space="preserve"> elevados de FSH já são esperados em animais inférteis e subferteis</w:t>
      </w:r>
      <w:r w:rsidR="003D21EF" w:rsidRPr="0072222C">
        <w:rPr>
          <w:rFonts w:ascii="Arial" w:hAnsi="Arial" w:cs="Arial"/>
          <w:color w:val="000000" w:themeColor="text1"/>
          <w:sz w:val="18"/>
          <w:szCs w:val="18"/>
        </w:rPr>
        <w:t>.</w:t>
      </w:r>
      <w:r w:rsidR="009A5C4C" w:rsidRPr="009A5C4C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</w:p>
    <w:p w14:paraId="53994FDD" w14:textId="77777777" w:rsidR="0092106D" w:rsidRPr="0072222C" w:rsidRDefault="0092106D" w:rsidP="00383867">
      <w:pPr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13D3FFEF" w14:textId="77777777" w:rsidR="0092106D" w:rsidRPr="0072222C" w:rsidRDefault="0092106D" w:rsidP="0092106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222C">
        <w:rPr>
          <w:rFonts w:ascii="Arial" w:eastAsia="Arial" w:hAnsi="Arial" w:cs="Arial"/>
          <w:b/>
          <w:color w:val="000000" w:themeColor="text1"/>
          <w:sz w:val="18"/>
          <w:szCs w:val="18"/>
        </w:rPr>
        <w:t>CONSIDERAÇÕES FINAIS</w:t>
      </w:r>
    </w:p>
    <w:p w14:paraId="470E3BE8" w14:textId="26ED2852" w:rsidR="0092106D" w:rsidRDefault="0092106D" w:rsidP="00735D7E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222C">
        <w:rPr>
          <w:rFonts w:ascii="Arial" w:eastAsia="Arial" w:hAnsi="Arial" w:cs="Arial"/>
          <w:color w:val="000000" w:themeColor="text1"/>
          <w:sz w:val="18"/>
          <w:szCs w:val="18"/>
        </w:rPr>
        <w:t>A diferença existente entre valores dos índices Doppler de garanhões sadios e garanhões com disfunção testicular expõem que o IR e IP podem ser utilizados como bons indicadores de disfunção testicular</w:t>
      </w:r>
      <w:r w:rsidR="0054002C" w:rsidRPr="0072222C">
        <w:rPr>
          <w:rFonts w:ascii="Arial" w:eastAsia="Arial" w:hAnsi="Arial" w:cs="Arial"/>
          <w:color w:val="000000" w:themeColor="text1"/>
          <w:sz w:val="18"/>
          <w:szCs w:val="18"/>
        </w:rPr>
        <w:t>, embora ainda não tenha dados de referências especificas para raça, idade e patologia.</w:t>
      </w:r>
      <w:r w:rsidRPr="0072222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7E85791B" w14:textId="77777777" w:rsidR="00757517" w:rsidRDefault="00757517" w:rsidP="0072222C">
      <w:pPr>
        <w:spacing w:after="4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081D0315" w14:textId="66CB8DF2" w:rsidR="0092106D" w:rsidRPr="0072222C" w:rsidRDefault="0092106D">
      <w:pPr>
        <w:spacing w:after="40"/>
        <w:jc w:val="center"/>
        <w:rPr>
          <w:rFonts w:ascii="Arial" w:eastAsia="Arial" w:hAnsi="Arial" w:cs="Arial"/>
          <w:b/>
          <w:color w:val="000000" w:themeColor="text1"/>
          <w:sz w:val="14"/>
          <w:szCs w:val="14"/>
        </w:rPr>
      </w:pPr>
      <w:r w:rsidRPr="0072222C">
        <w:rPr>
          <w:rFonts w:ascii="Arial" w:eastAsia="Arial" w:hAnsi="Arial" w:cs="Arial"/>
          <w:b/>
          <w:color w:val="000000" w:themeColor="text1"/>
          <w:sz w:val="14"/>
          <w:szCs w:val="14"/>
        </w:rPr>
        <w:t>APOIO:</w:t>
      </w:r>
    </w:p>
    <w:p w14:paraId="3C53E52C" w14:textId="2CFC5166" w:rsidR="00383867" w:rsidRPr="0072222C" w:rsidRDefault="0072222C" w:rsidP="0092106D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2222C">
        <w:rPr>
          <w:rFonts w:ascii="Arial" w:eastAsia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1B88E404" wp14:editId="611DD580">
            <wp:simplePos x="0" y="0"/>
            <wp:positionH relativeFrom="column">
              <wp:posOffset>1267460</wp:posOffset>
            </wp:positionH>
            <wp:positionV relativeFrom="paragraph">
              <wp:posOffset>25400</wp:posOffset>
            </wp:positionV>
            <wp:extent cx="774700" cy="366395"/>
            <wp:effectExtent l="0" t="0" r="635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E35A1" w14:textId="0915940D" w:rsidR="00383867" w:rsidRPr="0072222C" w:rsidRDefault="00383867" w:rsidP="00383867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F06E09A" w14:textId="761D9EA6" w:rsidR="005E12CF" w:rsidRPr="0072222C" w:rsidRDefault="005E12CF" w:rsidP="00757517">
      <w:pPr>
        <w:pStyle w:val="Textodecomentrio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sectPr w:rsidR="005E12CF" w:rsidRPr="0072222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8F99" w14:textId="77777777" w:rsidR="00617EE6" w:rsidRDefault="00617EE6">
      <w:r>
        <w:separator/>
      </w:r>
    </w:p>
  </w:endnote>
  <w:endnote w:type="continuationSeparator" w:id="0">
    <w:p w14:paraId="2E0E2810" w14:textId="77777777" w:rsidR="00617EE6" w:rsidRDefault="006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1666" w14:textId="77777777" w:rsidR="00617EE6" w:rsidRDefault="00617EE6">
      <w:r>
        <w:separator/>
      </w:r>
    </w:p>
  </w:footnote>
  <w:footnote w:type="continuationSeparator" w:id="0">
    <w:p w14:paraId="56EE5F34" w14:textId="77777777" w:rsidR="00617EE6" w:rsidRDefault="006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7975" w14:textId="77777777" w:rsidR="00D55915" w:rsidRPr="00B67F57" w:rsidRDefault="009E5B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 Rounded" w:hAnsi="Arial" w:cs="Arial"/>
        <w:b/>
        <w:color w:val="002060"/>
        <w:sz w:val="28"/>
        <w:szCs w:val="28"/>
      </w:rPr>
    </w:pPr>
    <w:r w:rsidRPr="00B67F57">
      <w:rPr>
        <w:rFonts w:ascii="Arial" w:eastAsia="Arial Rounded" w:hAnsi="Arial" w:cs="Arial"/>
        <w:b/>
        <w:color w:val="002060"/>
        <w:sz w:val="28"/>
        <w:szCs w:val="28"/>
      </w:rPr>
      <w:t>V</w:t>
    </w:r>
    <w:r w:rsidR="00B67F57" w:rsidRPr="00B67F57">
      <w:rPr>
        <w:rFonts w:ascii="Arial" w:eastAsia="Arial Rounded" w:hAnsi="Arial" w:cs="Arial"/>
        <w:b/>
        <w:color w:val="002060"/>
        <w:sz w:val="28"/>
        <w:szCs w:val="28"/>
      </w:rPr>
      <w:t>I</w:t>
    </w:r>
    <w:r w:rsidRPr="00B67F57">
      <w:rPr>
        <w:rFonts w:ascii="Arial" w:eastAsia="Arial Rounded" w:hAnsi="Arial" w:cs="Arial"/>
        <w:b/>
        <w:color w:val="002060"/>
        <w:sz w:val="28"/>
        <w:szCs w:val="28"/>
      </w:rPr>
      <w:t xml:space="preserve">II Colóquio Técnico Científico de Saúde Única, </w:t>
    </w:r>
    <w:r w:rsidRPr="00B67F57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hidden="0" allowOverlap="1" wp14:anchorId="31B70E68" wp14:editId="56B077C2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6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4A7A1C" w14:textId="77777777" w:rsidR="00D55915" w:rsidRPr="00B67F57" w:rsidRDefault="009E5B4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 Rounded" w:hAnsi="Arial" w:cs="Arial"/>
        <w:b/>
        <w:color w:val="002060"/>
        <w:sz w:val="16"/>
        <w:szCs w:val="16"/>
      </w:rPr>
    </w:pPr>
    <w:r w:rsidRPr="00B67F57">
      <w:rPr>
        <w:rFonts w:ascii="Arial" w:eastAsia="Arial Rounded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4C8E"/>
    <w:multiLevelType w:val="hybridMultilevel"/>
    <w:tmpl w:val="33D4D4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1EA9"/>
    <w:multiLevelType w:val="hybridMultilevel"/>
    <w:tmpl w:val="18CCD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15"/>
    <w:rsid w:val="00033CAB"/>
    <w:rsid w:val="00053529"/>
    <w:rsid w:val="00072E8D"/>
    <w:rsid w:val="000730CF"/>
    <w:rsid w:val="000D5D4C"/>
    <w:rsid w:val="000D7872"/>
    <w:rsid w:val="000F3484"/>
    <w:rsid w:val="001164D3"/>
    <w:rsid w:val="00136E4B"/>
    <w:rsid w:val="00143266"/>
    <w:rsid w:val="001929AB"/>
    <w:rsid w:val="001A01CB"/>
    <w:rsid w:val="001A6275"/>
    <w:rsid w:val="001A7978"/>
    <w:rsid w:val="001B0843"/>
    <w:rsid w:val="001B24A5"/>
    <w:rsid w:val="001B544A"/>
    <w:rsid w:val="001B5992"/>
    <w:rsid w:val="001B70A5"/>
    <w:rsid w:val="001D17F8"/>
    <w:rsid w:val="002044A8"/>
    <w:rsid w:val="00277BD0"/>
    <w:rsid w:val="002860E3"/>
    <w:rsid w:val="002940EB"/>
    <w:rsid w:val="00297367"/>
    <w:rsid w:val="002B0E6B"/>
    <w:rsid w:val="002B28B7"/>
    <w:rsid w:val="002C5681"/>
    <w:rsid w:val="002D1312"/>
    <w:rsid w:val="002D5FCD"/>
    <w:rsid w:val="002E261D"/>
    <w:rsid w:val="002E508F"/>
    <w:rsid w:val="002E6FBE"/>
    <w:rsid w:val="002F3CDE"/>
    <w:rsid w:val="002F60B2"/>
    <w:rsid w:val="00305AD0"/>
    <w:rsid w:val="00330151"/>
    <w:rsid w:val="00375D3C"/>
    <w:rsid w:val="00383867"/>
    <w:rsid w:val="003A0179"/>
    <w:rsid w:val="003A400F"/>
    <w:rsid w:val="003C1993"/>
    <w:rsid w:val="003C77FB"/>
    <w:rsid w:val="003D21EF"/>
    <w:rsid w:val="003E54AB"/>
    <w:rsid w:val="003E5DEF"/>
    <w:rsid w:val="003F73FF"/>
    <w:rsid w:val="00401A3C"/>
    <w:rsid w:val="00425113"/>
    <w:rsid w:val="004322EB"/>
    <w:rsid w:val="004441AE"/>
    <w:rsid w:val="004702E2"/>
    <w:rsid w:val="00482EF6"/>
    <w:rsid w:val="00497FBB"/>
    <w:rsid w:val="004B78E2"/>
    <w:rsid w:val="004C02DF"/>
    <w:rsid w:val="004D3C7F"/>
    <w:rsid w:val="004D402C"/>
    <w:rsid w:val="004E3A80"/>
    <w:rsid w:val="00501B5F"/>
    <w:rsid w:val="00537DB8"/>
    <w:rsid w:val="0054002C"/>
    <w:rsid w:val="00541FAD"/>
    <w:rsid w:val="0055140B"/>
    <w:rsid w:val="00573079"/>
    <w:rsid w:val="00590CFA"/>
    <w:rsid w:val="005C2035"/>
    <w:rsid w:val="005C527D"/>
    <w:rsid w:val="005E12CF"/>
    <w:rsid w:val="0060424A"/>
    <w:rsid w:val="00617EE6"/>
    <w:rsid w:val="00631BA5"/>
    <w:rsid w:val="006432A5"/>
    <w:rsid w:val="006564B5"/>
    <w:rsid w:val="0067594A"/>
    <w:rsid w:val="006864C7"/>
    <w:rsid w:val="006C03B8"/>
    <w:rsid w:val="006C3719"/>
    <w:rsid w:val="006D741D"/>
    <w:rsid w:val="006E0F12"/>
    <w:rsid w:val="006E35F0"/>
    <w:rsid w:val="006E5B3B"/>
    <w:rsid w:val="00703D43"/>
    <w:rsid w:val="0072222C"/>
    <w:rsid w:val="00734B8D"/>
    <w:rsid w:val="00735D7E"/>
    <w:rsid w:val="00737998"/>
    <w:rsid w:val="00740FB8"/>
    <w:rsid w:val="00757517"/>
    <w:rsid w:val="00761B71"/>
    <w:rsid w:val="00790601"/>
    <w:rsid w:val="00796FB2"/>
    <w:rsid w:val="007A0BC7"/>
    <w:rsid w:val="007A6DBB"/>
    <w:rsid w:val="007C435F"/>
    <w:rsid w:val="007C566E"/>
    <w:rsid w:val="007D6A15"/>
    <w:rsid w:val="007E4D8D"/>
    <w:rsid w:val="007F1923"/>
    <w:rsid w:val="00800B93"/>
    <w:rsid w:val="0083336D"/>
    <w:rsid w:val="008611F3"/>
    <w:rsid w:val="00865253"/>
    <w:rsid w:val="008D69CA"/>
    <w:rsid w:val="008E6F8D"/>
    <w:rsid w:val="008E7010"/>
    <w:rsid w:val="00920EC7"/>
    <w:rsid w:val="0092106D"/>
    <w:rsid w:val="00956719"/>
    <w:rsid w:val="0096331D"/>
    <w:rsid w:val="00963632"/>
    <w:rsid w:val="009729D7"/>
    <w:rsid w:val="00993917"/>
    <w:rsid w:val="009A3FD1"/>
    <w:rsid w:val="009A4F90"/>
    <w:rsid w:val="009A5C4C"/>
    <w:rsid w:val="009B5892"/>
    <w:rsid w:val="009E06AA"/>
    <w:rsid w:val="009E5A5F"/>
    <w:rsid w:val="009E5B41"/>
    <w:rsid w:val="009E7E48"/>
    <w:rsid w:val="00A105D8"/>
    <w:rsid w:val="00A74649"/>
    <w:rsid w:val="00A8438C"/>
    <w:rsid w:val="00A94E68"/>
    <w:rsid w:val="00AA1B5F"/>
    <w:rsid w:val="00AD0476"/>
    <w:rsid w:val="00AE0BC6"/>
    <w:rsid w:val="00AE3118"/>
    <w:rsid w:val="00AE3D97"/>
    <w:rsid w:val="00AF23A8"/>
    <w:rsid w:val="00B02910"/>
    <w:rsid w:val="00B03066"/>
    <w:rsid w:val="00B33F8E"/>
    <w:rsid w:val="00B64BE1"/>
    <w:rsid w:val="00B67795"/>
    <w:rsid w:val="00B67F57"/>
    <w:rsid w:val="00B7420E"/>
    <w:rsid w:val="00BA7FF7"/>
    <w:rsid w:val="00BD45C6"/>
    <w:rsid w:val="00BE4D9D"/>
    <w:rsid w:val="00BF3397"/>
    <w:rsid w:val="00C116D6"/>
    <w:rsid w:val="00C3670B"/>
    <w:rsid w:val="00C3743B"/>
    <w:rsid w:val="00C77B5E"/>
    <w:rsid w:val="00CB1307"/>
    <w:rsid w:val="00CB37CB"/>
    <w:rsid w:val="00CC2D60"/>
    <w:rsid w:val="00CF0A04"/>
    <w:rsid w:val="00CF228D"/>
    <w:rsid w:val="00CF4B92"/>
    <w:rsid w:val="00D02D2A"/>
    <w:rsid w:val="00D1121B"/>
    <w:rsid w:val="00D13189"/>
    <w:rsid w:val="00D2227F"/>
    <w:rsid w:val="00D55915"/>
    <w:rsid w:val="00D72AEE"/>
    <w:rsid w:val="00D76008"/>
    <w:rsid w:val="00D86956"/>
    <w:rsid w:val="00DB4E71"/>
    <w:rsid w:val="00DE767A"/>
    <w:rsid w:val="00E00483"/>
    <w:rsid w:val="00E02D09"/>
    <w:rsid w:val="00E1627D"/>
    <w:rsid w:val="00EC2D4B"/>
    <w:rsid w:val="00EC65B8"/>
    <w:rsid w:val="00F04F07"/>
    <w:rsid w:val="00F05E88"/>
    <w:rsid w:val="00F26B38"/>
    <w:rsid w:val="00F32877"/>
    <w:rsid w:val="00F33EEC"/>
    <w:rsid w:val="00F40EF3"/>
    <w:rsid w:val="00F43425"/>
    <w:rsid w:val="00F651C3"/>
    <w:rsid w:val="00F8464B"/>
    <w:rsid w:val="00FA49DF"/>
    <w:rsid w:val="00FD47E8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53F1"/>
  <w15:docId w15:val="{A97495F8-249F-4880-A2F0-B8981D7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3066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3066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customStyle="1" w:styleId="jlqj4b">
    <w:name w:val="jlqj4b"/>
    <w:basedOn w:val="Fontepargpadro"/>
    <w:rsid w:val="00DE767A"/>
  </w:style>
  <w:style w:type="character" w:customStyle="1" w:styleId="viiyi">
    <w:name w:val="viiyi"/>
    <w:basedOn w:val="Fontepargpadro"/>
    <w:rsid w:val="00DE767A"/>
  </w:style>
  <w:style w:type="character" w:styleId="nfase">
    <w:name w:val="Emphasis"/>
    <w:basedOn w:val="Fontepargpadro"/>
    <w:uiPriority w:val="20"/>
    <w:qFormat/>
    <w:rsid w:val="00425113"/>
    <w:rPr>
      <w:i/>
      <w:iCs/>
    </w:rPr>
  </w:style>
  <w:style w:type="character" w:styleId="Hyperlink">
    <w:name w:val="Hyperlink"/>
    <w:basedOn w:val="Fontepargpadro"/>
    <w:uiPriority w:val="99"/>
    <w:unhideWhenUsed/>
    <w:rsid w:val="00CB37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37C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A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3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05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AMUW2mUk2PIFQdSHU6qeUcQf8PyZiAyp1+N1QLSsqtKFjr3nq+XPsZWijns2Dm3VzFfDGTl4tHsan+1ODmLkZa0jnzIHU1CL8U/gVDRmsZCjpvUTheyFOFS1Lf703dexV7NWG125PWtc</go:docsCustomData>
</go:gDocsCustomXmlDataStorage>
</file>

<file path=customXml/itemProps1.xml><?xml version="1.0" encoding="utf-8"?>
<ds:datastoreItem xmlns:ds="http://schemas.openxmlformats.org/officeDocument/2006/customXml" ds:itemID="{E13F93E7-C82F-4672-A1FD-EF4FECE25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</Pages>
  <Words>1057</Words>
  <Characters>5711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Álex Junior</cp:lastModifiedBy>
  <cp:revision>18</cp:revision>
  <dcterms:created xsi:type="dcterms:W3CDTF">2021-09-27T20:41:00Z</dcterms:created>
  <dcterms:modified xsi:type="dcterms:W3CDTF">2021-10-11T00:34:00Z</dcterms:modified>
</cp:coreProperties>
</file>