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84" w:after="0" w:line="276"/>
        <w:ind w:right="0" w:left="4340" w:hanging="4187"/>
        <w:jc w:val="center"/>
        <w:rPr>
          <w:rFonts w:ascii="Arial" w:hAnsi="Arial" w:cs="Arial" w:eastAsia="Arial"/>
          <w:b/>
          <w:color w:val="auto"/>
          <w:spacing w:val="0"/>
          <w:position w:val="0"/>
          <w:sz w:val="24"/>
          <w:shd w:fill="auto" w:val="clear"/>
        </w:rPr>
      </w:pPr>
    </w:p>
    <w:p>
      <w:pPr>
        <w:spacing w:before="84" w:after="0" w:line="276"/>
        <w:ind w:right="0" w:left="4340" w:hanging="4187"/>
        <w:jc w:val="center"/>
        <w:rPr>
          <w:rFonts w:ascii="Arial" w:hAnsi="Arial" w:cs="Arial" w:eastAsia="Arial"/>
          <w:b/>
          <w:color w:val="auto"/>
          <w:spacing w:val="0"/>
          <w:position w:val="0"/>
          <w:sz w:val="24"/>
          <w:shd w:fill="auto" w:val="clear"/>
        </w:rPr>
      </w:pPr>
    </w:p>
    <w:p>
      <w:pPr>
        <w:spacing w:before="84" w:after="0" w:line="276"/>
        <w:ind w:right="0" w:left="4340" w:hanging="4187"/>
        <w:jc w:val="center"/>
        <w:rPr>
          <w:rFonts w:ascii="Arial" w:hAnsi="Arial" w:cs="Arial" w:eastAsia="Arial"/>
          <w:b/>
          <w:color w:val="auto"/>
          <w:spacing w:val="0"/>
          <w:position w:val="0"/>
          <w:sz w:val="24"/>
          <w:shd w:fill="auto" w:val="clear"/>
        </w:rPr>
      </w:pPr>
    </w:p>
    <w:p>
      <w:pPr>
        <w:spacing w:before="84" w:after="0" w:line="276"/>
        <w:ind w:right="0" w:left="4340" w:hanging="4187"/>
        <w:jc w:val="left"/>
        <w:rPr>
          <w:rFonts w:ascii="Arial" w:hAnsi="Arial" w:cs="Arial" w:eastAsia="Arial"/>
          <w:b/>
          <w:color w:val="auto"/>
          <w:spacing w:val="0"/>
          <w:position w:val="0"/>
          <w:sz w:val="24"/>
          <w:shd w:fill="auto" w:val="clear"/>
        </w:rPr>
      </w:pPr>
      <w:r>
        <w:object w:dxaOrig="2733" w:dyaOrig="2894">
          <v:rect xmlns:o="urn:schemas-microsoft-com:office:office" xmlns:v="urn:schemas-microsoft-com:vml" id="rectole0000000000" style="width:136.650000pt;height:144.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84" w:after="0" w:line="276"/>
        <w:ind w:right="0" w:left="4340" w:hanging="4187"/>
        <w:jc w:val="center"/>
        <w:rPr>
          <w:rFonts w:ascii="Arial" w:hAnsi="Arial" w:cs="Arial" w:eastAsia="Arial"/>
          <w:b/>
          <w:color w:val="auto"/>
          <w:spacing w:val="0"/>
          <w:position w:val="0"/>
          <w:sz w:val="24"/>
          <w:shd w:fill="auto" w:val="clear"/>
        </w:rPr>
      </w:pPr>
    </w:p>
    <w:p>
      <w:pPr>
        <w:spacing w:before="84" w:after="0" w:line="240"/>
        <w:ind w:right="0" w:left="4340" w:hanging="4187"/>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TRATAMENTO DA ATEROSCLEROSE: </w:t>
        <w:br/>
      </w:r>
    </w:p>
    <w:p>
      <w:pPr>
        <w:spacing w:before="84" w:after="0" w:line="240"/>
        <w:ind w:right="0" w:left="4340" w:hanging="4187"/>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ABORDAGENS FARMACOLÓGICAS</w:t>
      </w:r>
      <w:r>
        <w:rPr>
          <w:rFonts w:ascii="Arial" w:hAnsi="Arial" w:cs="Arial" w:eastAsia="Arial"/>
          <w:b/>
          <w:color w:val="auto"/>
          <w:spacing w:val="0"/>
          <w:position w:val="0"/>
          <w:sz w:val="24"/>
          <w:shd w:fill="auto" w:val="clear"/>
        </w:rPr>
        <w:br/>
      </w:r>
    </w:p>
    <w:p>
      <w:pPr>
        <w:spacing w:before="84" w:after="0" w:line="240"/>
        <w:ind w:right="0" w:left="4340" w:hanging="4187"/>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E INTERVENCIONISTAS </w:t>
      </w:r>
    </w:p>
    <w:p>
      <w:pPr>
        <w:spacing w:before="84" w:after="0" w:line="276"/>
        <w:ind w:right="0" w:left="4340" w:hanging="4187"/>
        <w:jc w:val="center"/>
        <w:rPr>
          <w:rFonts w:ascii="Arial" w:hAnsi="Arial" w:cs="Arial" w:eastAsia="Arial"/>
          <w:b/>
          <w:color w:val="auto"/>
          <w:spacing w:val="0"/>
          <w:position w:val="0"/>
          <w:sz w:val="28"/>
          <w:shd w:fill="auto" w:val="clear"/>
        </w:rPr>
      </w:pPr>
    </w:p>
    <w:p>
      <w:pPr>
        <w:spacing w:before="84" w:after="0" w:line="276"/>
        <w:ind w:right="0" w:left="4340" w:hanging="4187"/>
        <w:jc w:val="center"/>
        <w:rPr>
          <w:rFonts w:ascii="Arial" w:hAnsi="Arial" w:cs="Arial" w:eastAsia="Arial"/>
          <w:b/>
          <w:color w:val="auto"/>
          <w:spacing w:val="0"/>
          <w:position w:val="0"/>
          <w:sz w:val="28"/>
          <w:shd w:fill="auto" w:val="clear"/>
        </w:rPr>
      </w:pPr>
    </w:p>
    <w:p>
      <w:pPr>
        <w:spacing w:before="84" w:after="0" w:line="276"/>
        <w:ind w:right="0" w:left="4340" w:hanging="4187"/>
        <w:jc w:val="left"/>
        <w:rPr>
          <w:rFonts w:ascii="Arial" w:hAnsi="Arial" w:cs="Arial" w:eastAsia="Arial"/>
          <w:color w:val="auto"/>
          <w:spacing w:val="0"/>
          <w:position w:val="0"/>
          <w:sz w:val="22"/>
          <w:shd w:fill="auto" w:val="clear"/>
        </w:rPr>
      </w:pPr>
    </w:p>
    <w:p>
      <w:pPr>
        <w:spacing w:before="84" w:after="0" w:line="276"/>
        <w:ind w:right="0" w:left="4340" w:hanging="4187"/>
        <w:jc w:val="left"/>
        <w:rPr>
          <w:rFonts w:ascii="Arial" w:hAnsi="Arial" w:cs="Arial" w:eastAsia="Arial"/>
          <w:color w:val="auto"/>
          <w:spacing w:val="0"/>
          <w:position w:val="0"/>
          <w:sz w:val="22"/>
          <w:shd w:fill="auto" w:val="clear"/>
        </w:rPr>
      </w:pP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Carlos Cesar Barbosa </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carlos.barbosa@prof.fae.br</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Centro  Universitário das Faculdades Associadas -FAE</w:t>
        <w:br/>
        <w:br/>
        <w:t xml:space="preserve">Viviane  Chicourel Hipólito Rodrigues</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Orcid : 0009-0002-9697-927</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viviane_chicourel@hotmail.com</w:t>
        <w:br/>
        <w:t xml:space="preserve">Unidompedro</w:t>
        <w:br/>
        <w:br/>
        <w:t xml:space="preserve">Sirleila Dantas Canário</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Orcid :0009-0008-6604-9583</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Sirleila@hotmail.com</w:t>
        <w:br/>
        <w:t xml:space="preserve">Unidompedro</w:t>
        <w:br/>
        <w:br/>
        <w:t xml:space="preserve">Rafael Xavier França </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Orci: 0009-0002-2687-5377</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Rafaelxavierfranca@outlook.com</w:t>
        <w:br/>
        <w:t xml:space="preserve">Unidompedro</w:t>
        <w:br/>
        <w:br/>
        <w:t xml:space="preserve">Loyane Gomes Alves Stenzel</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ORCID:0009-0008-8136-5867</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loyanestenzel@gmail.com</w:t>
        <w:br/>
        <w:t xml:space="preserve">Unidompedro</w:t>
        <w:br/>
        <w:br/>
        <w:t xml:space="preserve">Raquel Chagas Oliveira</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ORCID: 0000-0001-8309-6455</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raquel_2202@hotmail.com</w:t>
        <w:br/>
        <w:t xml:space="preserve">Unidompedro</w:t>
        <w:br/>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Dramilly RUSCiolelli fourny andrade</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dramillymedica@gmail.com</w:t>
        <w:br/>
        <w:t xml:space="preserve">Unidompedro</w:t>
        <w:br/>
        <w:br/>
        <w:t xml:space="preserve">Milla Cristina Moura Batista</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ORCID: 0009-0009-6101-4397</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millacristinamourabatista@hotmail.com</w:t>
        <w:br/>
        <w:t xml:space="preserve">Unidompedro</w:t>
        <w:br/>
        <w:br/>
        <w:t xml:space="preserve"> Ivana Moreira Pontes Porciúncula </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E-mail: ivanampontes@gmail.com</w:t>
      </w:r>
    </w:p>
    <w:p>
      <w:pPr>
        <w:spacing w:before="84" w:after="0" w:line="276"/>
        <w:ind w:right="0" w:left="4340" w:hanging="4187"/>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Orcid: 0009-0000-4277-0060</w:t>
        <w:br/>
        <w:t xml:space="preserve">Unidompedro</w:t>
        <w:br/>
        <w:br/>
        <w:t xml:space="preserve"> Victor Barbosa Silva</w:t>
      </w:r>
    </w:p>
    <w:p>
      <w:pPr>
        <w:spacing w:before="84" w:after="0" w:line="276"/>
        <w:ind w:right="0" w:left="4340" w:hanging="4187"/>
        <w:jc w:val="right"/>
        <w:rPr>
          <w:rFonts w:ascii="Arial" w:hAnsi="Arial" w:cs="Arial" w:eastAsia="Arial"/>
          <w:b/>
          <w:color w:val="auto"/>
          <w:spacing w:val="0"/>
          <w:position w:val="0"/>
          <w:sz w:val="28"/>
          <w:shd w:fill="auto" w:val="clear"/>
        </w:rPr>
      </w:pPr>
      <w:r>
        <w:rPr>
          <w:rFonts w:ascii="Arial" w:hAnsi="Arial" w:cs="Arial" w:eastAsia="Arial"/>
          <w:color w:val="auto"/>
          <w:spacing w:val="0"/>
          <w:position w:val="0"/>
          <w:sz w:val="22"/>
          <w:shd w:fill="auto" w:val="clear"/>
        </w:rPr>
        <w:t xml:space="preserve">victorbmarista@hotmail.com</w:t>
        <w:br/>
        <w:t xml:space="preserve">Unidompedro</w:t>
        <w:br/>
        <w:br/>
        <w:br/>
      </w:r>
    </w:p>
    <w:p>
      <w:pPr>
        <w:spacing w:before="129" w:after="0" w:line="240"/>
        <w:ind w:right="1" w:left="2" w:firstLine="0"/>
        <w:jc w:val="left"/>
        <w:rPr>
          <w:rFonts w:ascii="Arial" w:hAnsi="Arial" w:cs="Arial" w:eastAsia="Arial"/>
          <w:b/>
          <w:color w:val="auto"/>
          <w:spacing w:val="0"/>
          <w:position w:val="0"/>
          <w:sz w:val="24"/>
          <w:shd w:fill="auto" w:val="clear"/>
        </w:rPr>
      </w:pPr>
    </w:p>
    <w:p>
      <w:pPr>
        <w:spacing w:before="129" w:after="0" w:line="240"/>
        <w:ind w:right="1" w:left="2" w:firstLine="0"/>
        <w:jc w:val="center"/>
        <w:rPr>
          <w:rFonts w:ascii="Arial" w:hAnsi="Arial" w:cs="Arial" w:eastAsia="Arial"/>
          <w:b/>
          <w:color w:val="auto"/>
          <w:spacing w:val="0"/>
          <w:position w:val="0"/>
          <w:sz w:val="24"/>
          <w:shd w:fill="auto" w:val="clear"/>
        </w:rPr>
      </w:pPr>
    </w:p>
    <w:p>
      <w:pPr>
        <w:spacing w:before="129" w:after="0" w:line="240"/>
        <w:ind w:right="1" w:left="2" w:firstLine="0"/>
        <w:jc w:val="center"/>
        <w:rPr>
          <w:rFonts w:ascii="Arial" w:hAnsi="Arial" w:cs="Arial" w:eastAsia="Arial"/>
          <w:b/>
          <w:color w:val="auto"/>
          <w:spacing w:val="0"/>
          <w:position w:val="0"/>
          <w:sz w:val="24"/>
          <w:shd w:fill="auto" w:val="clear"/>
        </w:rPr>
      </w:pPr>
    </w:p>
    <w:p>
      <w:pPr>
        <w:spacing w:before="129" w:after="0" w:line="240"/>
        <w:ind w:right="1" w:left="2" w:firstLine="0"/>
        <w:jc w:val="center"/>
        <w:rPr>
          <w:rFonts w:ascii="Arial" w:hAnsi="Arial" w:cs="Arial" w:eastAsia="Arial"/>
          <w:b/>
          <w:color w:val="auto"/>
          <w:spacing w:val="0"/>
          <w:position w:val="0"/>
          <w:sz w:val="20"/>
          <w:shd w:fill="auto" w:val="clear"/>
        </w:rPr>
      </w:pPr>
      <w:r>
        <w:rPr>
          <w:rFonts w:ascii="Arial" w:hAnsi="Arial" w:cs="Arial" w:eastAsia="Arial"/>
          <w:b/>
          <w:color w:val="auto"/>
          <w:spacing w:val="-2"/>
          <w:position w:val="0"/>
          <w:sz w:val="20"/>
          <w:shd w:fill="auto" w:val="clear"/>
        </w:rPr>
        <w:t xml:space="preserve">RESUMO</w:t>
      </w:r>
    </w:p>
    <w:p>
      <w:pPr>
        <w:spacing w:before="78" w:after="0" w:line="240"/>
        <w:ind w:right="111" w:left="113" w:firstLine="0"/>
        <w:jc w:val="both"/>
        <w:rPr>
          <w:rFonts w:ascii="Arial MT" w:hAnsi="Arial MT" w:cs="Arial MT" w:eastAsia="Arial MT"/>
          <w:color w:val="auto"/>
          <w:spacing w:val="0"/>
          <w:position w:val="0"/>
          <w:sz w:val="20"/>
          <w:shd w:fill="auto" w:val="clear"/>
        </w:rPr>
      </w:pPr>
      <w:r>
        <w:rPr>
          <w:rFonts w:ascii="Arial" w:hAnsi="Arial" w:cs="Arial" w:eastAsia="Arial"/>
          <w:b/>
          <w:color w:val="auto"/>
          <w:spacing w:val="0"/>
          <w:position w:val="0"/>
          <w:sz w:val="20"/>
          <w:shd w:fill="auto" w:val="clear"/>
        </w:rPr>
        <w:t xml:space="preserve">Objetivo: </w:t>
      </w:r>
      <w:r>
        <w:rPr>
          <w:rFonts w:ascii="Arial MT" w:hAnsi="Arial MT" w:cs="Arial MT" w:eastAsia="Arial MT"/>
          <w:color w:val="auto"/>
          <w:spacing w:val="0"/>
          <w:position w:val="0"/>
          <w:sz w:val="20"/>
          <w:shd w:fill="auto" w:val="clear"/>
        </w:rPr>
        <w:t xml:space="preserve">Arteriosclerose, emerge como um gigante silencioso que assombra a saúde cardiovascular, caracterizada pelo estreitamento e endurecimento das artérias devido ao acúmulo de placas de ateroma. Nesta jornada médica, desvendaremos os mistérios da aterosclerose, explorando suas causas, os perigos que representa, as diversas abordagens terapêuticas, desde medicamentos até procedimentos intervencionistas, e o papel crucial da mudança no estilo de vida na prevenção e no controle da doença.A aterosclerose se desenvolve ao longo de anos, quando placas de ateroma, compostas por gordura, colesterol, células inflamatórias e outros materiais, se acumulam nas paredes das artérias. Esse processo pode levar ao estreitamento significativo do lúmen arterial, dificultando o fluxo sanguíneo e aumentando o risco de diversas complicações cardiovasculares graves.Abordagens Terapêuticas: Restaurando o Fluxo Sanguíneo e Protegendo a Saúde Cardiovascular:O tratamento da aterosclerose visa modificar os fatores de risco, reduzir o acúmulo de placas de ateroma e prevenir as complicações graves. As principais abordagens terapêuticas incluem:</w:t>
      </w:r>
      <w:r>
        <w:rPr>
          <w:rFonts w:ascii="Arial MT" w:hAnsi="Arial MT" w:cs="Arial MT" w:eastAsia="Arial MT"/>
          <w:b/>
          <w:color w:val="auto"/>
          <w:spacing w:val="0"/>
          <w:position w:val="0"/>
          <w:sz w:val="20"/>
          <w:shd w:fill="auto" w:val="clear"/>
        </w:rPr>
        <w:t xml:space="preserve">Mudança no Estilo de Vida, Dieta saudável.</w:t>
      </w:r>
    </w:p>
    <w:p>
      <w:pPr>
        <w:spacing w:before="82" w:after="0" w:line="240"/>
        <w:ind w:right="0" w:left="113" w:firstLine="0"/>
        <w:jc w:val="both"/>
        <w:rPr>
          <w:rFonts w:ascii="Arial MT" w:hAnsi="Arial MT" w:cs="Arial MT" w:eastAsia="Arial MT"/>
          <w:color w:val="auto"/>
          <w:spacing w:val="0"/>
          <w:position w:val="0"/>
          <w:sz w:val="20"/>
          <w:shd w:fill="auto" w:val="clear"/>
        </w:rPr>
      </w:pPr>
      <w:r>
        <w:rPr>
          <w:rFonts w:ascii="Arial" w:hAnsi="Arial" w:cs="Arial" w:eastAsia="Arial"/>
          <w:b/>
          <w:color w:val="auto"/>
          <w:spacing w:val="0"/>
          <w:position w:val="0"/>
          <w:sz w:val="20"/>
          <w:shd w:fill="auto" w:val="clear"/>
        </w:rPr>
        <w:t xml:space="preserve">Palavras-chave:</w:t>
      </w:r>
      <w:r>
        <w:rPr>
          <w:rFonts w:ascii="Arial" w:hAnsi="Arial" w:cs="Arial" w:eastAsia="Arial"/>
          <w:b/>
          <w:color w:val="auto"/>
          <w:spacing w:val="-11"/>
          <w:position w:val="0"/>
          <w:sz w:val="20"/>
          <w:shd w:fill="auto" w:val="clear"/>
        </w:rPr>
        <w:t xml:space="preserve"> </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miocárdica,</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Aterosclerose,</w:t>
      </w:r>
      <w:r>
        <w:rPr>
          <w:rFonts w:ascii="Arial MT" w:hAnsi="Arial MT" w:cs="Arial MT" w:eastAsia="Arial MT"/>
          <w:color w:val="auto"/>
          <w:spacing w:val="-11"/>
          <w:position w:val="0"/>
          <w:sz w:val="20"/>
          <w:shd w:fill="auto" w:val="clear"/>
        </w:rPr>
        <w:t xml:space="preserve">Farmacologia</w:t>
      </w:r>
      <w:r>
        <w:rPr>
          <w:rFonts w:ascii="Arial MT" w:hAnsi="Arial MT" w:cs="Arial MT" w:eastAsia="Arial MT"/>
          <w:color w:val="auto"/>
          <w:spacing w:val="0"/>
          <w:position w:val="0"/>
          <w:sz w:val="20"/>
          <w:shd w:fill="auto" w:val="clear"/>
        </w:rPr>
        <w:t xml:space="preserve">,</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2"/>
          <w:position w:val="0"/>
          <w:sz w:val="20"/>
          <w:shd w:fill="auto" w:val="clear"/>
        </w:rPr>
        <w:t xml:space="preserve">Coronária.</w:t>
      </w:r>
    </w:p>
    <w:p>
      <w:pPr>
        <w:spacing w:before="4" w:after="0" w:line="240"/>
        <w:ind w:right="0" w:left="0" w:firstLine="0"/>
        <w:jc w:val="left"/>
        <w:rPr>
          <w:rFonts w:ascii="Arial MT" w:hAnsi="Arial MT" w:cs="Arial MT" w:eastAsia="Arial MT"/>
          <w:color w:val="auto"/>
          <w:spacing w:val="0"/>
          <w:position w:val="0"/>
          <w:sz w:val="9"/>
          <w:shd w:fill="auto" w:val="clear"/>
        </w:rPr>
      </w:pPr>
    </w:p>
    <w:p>
      <w:pPr>
        <w:spacing w:before="3" w:after="0" w:line="240"/>
        <w:ind w:right="0" w:left="0" w:firstLine="0"/>
        <w:jc w:val="left"/>
        <w:rPr>
          <w:rFonts w:ascii="Arial MT" w:hAnsi="Arial MT" w:cs="Arial MT" w:eastAsia="Arial MT"/>
          <w:color w:val="auto"/>
          <w:spacing w:val="0"/>
          <w:position w:val="0"/>
          <w:sz w:val="13"/>
          <w:shd w:fill="auto" w:val="clear"/>
        </w:rPr>
      </w:pPr>
    </w:p>
    <w:p>
      <w:pPr>
        <w:spacing w:before="0" w:after="0" w:line="240"/>
        <w:ind w:right="0" w:left="0" w:firstLine="0"/>
        <w:jc w:val="left"/>
        <w:rPr>
          <w:rFonts w:ascii="Arial MT" w:hAnsi="Arial MT" w:cs="Arial MT" w:eastAsia="Arial MT"/>
          <w:color w:val="auto"/>
          <w:spacing w:val="0"/>
          <w:position w:val="0"/>
          <w:sz w:val="22"/>
          <w:shd w:fill="auto" w:val="clear"/>
        </w:rPr>
      </w:pPr>
    </w:p>
    <w:p>
      <w:pPr>
        <w:spacing w:before="5" w:after="0" w:line="240"/>
        <w:ind w:right="0" w:left="0" w:firstLine="0"/>
        <w:jc w:val="left"/>
        <w:rPr>
          <w:rFonts w:ascii="Arial MT" w:hAnsi="Arial MT" w:cs="Arial MT" w:eastAsia="Arial MT"/>
          <w:color w:val="auto"/>
          <w:spacing w:val="0"/>
          <w:position w:val="0"/>
          <w:sz w:val="9"/>
          <w:shd w:fill="auto" w:val="clear"/>
        </w:rPr>
      </w:pPr>
    </w:p>
    <w:p>
      <w:pPr>
        <w:spacing w:before="160" w:after="0" w:line="240"/>
        <w:ind w:right="0" w:left="0" w:firstLine="0"/>
        <w:jc w:val="left"/>
        <w:rPr>
          <w:rFonts w:ascii="Arial MT" w:hAnsi="Arial MT" w:cs="Arial MT" w:eastAsia="Arial MT"/>
          <w:color w:val="auto"/>
          <w:spacing w:val="0"/>
          <w:position w:val="0"/>
          <w:sz w:val="20"/>
          <w:shd w:fill="auto" w:val="clear"/>
        </w:rPr>
      </w:pPr>
    </w:p>
    <w:p>
      <w:pPr>
        <w:spacing w:before="1" w:after="0" w:line="240"/>
        <w:ind w:right="0" w:left="113" w:firstLine="0"/>
        <w:jc w:val="left"/>
        <w:rPr>
          <w:rFonts w:ascii="Arial" w:hAnsi="Arial" w:cs="Arial" w:eastAsia="Arial"/>
          <w:b/>
          <w:color w:val="auto"/>
          <w:spacing w:val="0"/>
          <w:position w:val="0"/>
          <w:sz w:val="20"/>
          <w:shd w:fill="auto" w:val="clear"/>
        </w:rPr>
      </w:pPr>
      <w:r>
        <w:rPr>
          <w:rFonts w:ascii="Arial" w:hAnsi="Arial" w:cs="Arial" w:eastAsia="Arial"/>
          <w:b/>
          <w:color w:val="auto"/>
          <w:spacing w:val="-2"/>
          <w:position w:val="0"/>
          <w:sz w:val="20"/>
          <w:shd w:fill="auto" w:val="clear"/>
        </w:rPr>
        <w:t xml:space="preserve">INTRODUÇÃO</w:t>
      </w:r>
    </w:p>
    <w:p>
      <w:pPr>
        <w:spacing w:before="122" w:after="0" w:line="278"/>
        <w:ind w:right="111"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As coronárias e seus ramos principais, que são responsáveis pela irrigação do coração, geralmente estão situadas em um percurso subepicárdico. No entanto, uma anomalia congênita pode ocorrer, na qual parte de uma ou mais artérias coronárias são cobertas por uma faixa de tecido cardíaco: a chamada ponte miocárdica (PM). Também conhecida como artéria intramural, artéria mural ou artéria coronária intramural, a PM foi identificada pela primeira vez em 1737 por Reyman em uma autópsia e, mais tarde, foi visualizada pela primeira vez em vida em 1960 por Porstmann e Iwig. As pontes miocárdicas são mais frequentemente encontradas na região intermediária da artéria descendente anterior esquerda, embora possam afetar também outras artérias, como a circunflexa esquerda e a coronária direita. (LIMA VJ, et al., 2002; THEJ MJ, et al., 2012; YUAN SM, 2016).</w:t>
      </w:r>
    </w:p>
    <w:p>
      <w:pPr>
        <w:spacing w:before="118" w:after="0" w:line="278"/>
        <w:ind w:right="113"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Fisiologicamente,</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os</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vasos</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acometidos</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pela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ponte</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miocárdica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sofrem</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uma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estenose</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durante</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sístole,</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que ocasiona um aumento do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fluxo retrógrado de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sangue nessa fase do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ciclo cardíaco. Mesmo que a PM cause, 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princípio, 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compressão</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do</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vaso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durante 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sístole, as duas fases cardíacas são</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afetadas. Ademais,</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há</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um posterior aumento precoce na velocidade do fluxo do sangue na diástole, e um consequente retardo no relaxamento diastólico no segmento envolvido pela ponte (BARROS MV, et al., 2013; HOSTIUC S, et al., 2017). Embora a artéria coronária intramural seja considerada benigna por muitos autores, estudos a associam</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várias</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condições</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clínicas,</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correlacionadas</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um</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provável</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significado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hemodinâmico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da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PM,</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como síndromes coronarianas agudas, espasmo coronário, arritmias, bloqueio da condução atrioventricular induzida pelo exercício, atordoamento cardíaco,</w:t>
      </w:r>
      <w:r>
        <w:rPr>
          <w:rFonts w:ascii="Arial MT" w:hAnsi="Arial MT" w:cs="Arial MT" w:eastAsia="Arial MT"/>
          <w:color w:val="auto"/>
          <w:spacing w:val="40"/>
          <w:position w:val="0"/>
          <w:sz w:val="20"/>
          <w:shd w:fill="auto" w:val="clear"/>
        </w:rPr>
        <w:t xml:space="preserve"> </w:t>
      </w:r>
      <w:r>
        <w:rPr>
          <w:rFonts w:ascii="Arial MT" w:hAnsi="Arial MT" w:cs="Arial MT" w:eastAsia="Arial MT"/>
          <w:color w:val="auto"/>
          <w:spacing w:val="0"/>
          <w:position w:val="0"/>
          <w:sz w:val="20"/>
          <w:shd w:fill="auto" w:val="clear"/>
        </w:rPr>
        <w:t xml:space="preserve">morte súbita e, sobretudo, isquemia do miocárdio e aterosclerose (BARROS MV, et al., 2013; THEJ MJ, et al., 2012).</w:t>
      </w:r>
    </w:p>
    <w:p>
      <w:pPr>
        <w:spacing w:before="114" w:after="0" w:line="278"/>
        <w:ind w:right="115"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Atualmente, os principais métodos para o diagnóstico da PM </w:t>
      </w:r>
      <w:r>
        <w:rPr>
          <w:rFonts w:ascii="Arial" w:hAnsi="Arial" w:cs="Arial" w:eastAsia="Arial"/>
          <w:i/>
          <w:color w:val="auto"/>
          <w:spacing w:val="0"/>
          <w:position w:val="0"/>
          <w:sz w:val="20"/>
          <w:shd w:fill="auto" w:val="clear"/>
        </w:rPr>
        <w:t xml:space="preserve">in vivo </w:t>
      </w:r>
      <w:r>
        <w:rPr>
          <w:rFonts w:ascii="Arial MT" w:hAnsi="Arial MT" w:cs="Arial MT" w:eastAsia="Arial MT"/>
          <w:color w:val="auto"/>
          <w:spacing w:val="0"/>
          <w:position w:val="0"/>
          <w:sz w:val="20"/>
          <w:shd w:fill="auto" w:val="clear"/>
        </w:rPr>
        <w:t xml:space="preserve">são a angiografia coronária convencional</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tomografia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computadorizada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multislice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das</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coronárias,</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enquanto</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técnica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para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detecção em</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cadáveres</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é</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autópsia</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(BARROS</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MV,</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et</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al.,</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2013).</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Somado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isso,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o</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seu</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impacto</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funcional</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é</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geralmente avaliado com ultrassom Doppler intracoronário, ultrassom intravascular e dispositivos de pressão intracoronariana (HOSTIUC S, 2011).</w:t>
      </w:r>
    </w:p>
    <w:p>
      <w:pPr>
        <w:spacing w:before="120" w:after="0" w:line="278"/>
        <w:ind w:right="111"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A real prevalência da PM ainda não está esclarecida, com perceptível discrepância nos dados documentados,</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sendo</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que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na</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angiografia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taxa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acometimento</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varia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0,5</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12%,</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enquanto na</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autópsia de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5,4</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a 85,7%. Além disso,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diferença de prevalência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entre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os gêneros não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é estatisticamente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significativa (ACUNÃ LE,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et</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al.,</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2009).</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O subdiagnóstico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da PM ocorre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em virtude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a variedade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dos métodos utilizados possuir</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acurácia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diferente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devido</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à</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maioria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dos</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pacientes</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ser</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assintomática,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o</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que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pode</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ser</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explicado</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pela angiogênese de ramos coronarianos na região proximal à PM, favorecendo a retomada da irrigação mesmo </w:t>
      </w:r>
      <w:r>
        <w:rPr>
          <w:rFonts w:ascii="Arial MT" w:hAnsi="Arial MT" w:cs="Arial MT" w:eastAsia="Arial MT"/>
          <w:color w:val="auto"/>
          <w:spacing w:val="-2"/>
          <w:position w:val="0"/>
          <w:sz w:val="20"/>
          <w:shd w:fill="auto" w:val="clear"/>
        </w:rPr>
        <w:t xml:space="preserve">com essa</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2"/>
          <w:position w:val="0"/>
          <w:sz w:val="20"/>
          <w:shd w:fill="auto" w:val="clear"/>
        </w:rPr>
        <w:t xml:space="preserve">variação</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2"/>
          <w:position w:val="0"/>
          <w:sz w:val="20"/>
          <w:shd w:fill="auto" w:val="clear"/>
        </w:rPr>
        <w:t xml:space="preserve">anatômica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2"/>
          <w:position w:val="0"/>
          <w:sz w:val="20"/>
          <w:shd w:fill="auto" w:val="clear"/>
        </w:rPr>
        <w:t xml:space="preserve">(ACUNÃ</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2"/>
          <w:position w:val="0"/>
          <w:sz w:val="20"/>
          <w:shd w:fill="auto" w:val="clear"/>
        </w:rPr>
        <w:t xml:space="preserve">LE,</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2"/>
          <w:position w:val="0"/>
          <w:sz w:val="20"/>
          <w:shd w:fill="auto" w:val="clear"/>
        </w:rPr>
        <w:t xml:space="preserve">et</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2"/>
          <w:position w:val="0"/>
          <w:sz w:val="20"/>
          <w:shd w:fill="auto" w:val="clear"/>
        </w:rPr>
        <w:t xml:space="preserve">al.,</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2"/>
          <w:position w:val="0"/>
          <w:sz w:val="20"/>
          <w:shd w:fill="auto" w:val="clear"/>
        </w:rPr>
        <w:t xml:space="preserve">2009;</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2"/>
          <w:position w:val="0"/>
          <w:sz w:val="20"/>
          <w:shd w:fill="auto" w:val="clear"/>
        </w:rPr>
        <w:t xml:space="preserve">BARROS</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2"/>
          <w:position w:val="0"/>
          <w:sz w:val="20"/>
          <w:shd w:fill="auto" w:val="clear"/>
        </w:rPr>
        <w:t xml:space="preserve">MV,</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2"/>
          <w:position w:val="0"/>
          <w:sz w:val="20"/>
          <w:shd w:fill="auto" w:val="clear"/>
        </w:rPr>
        <w:t xml:space="preserve">et</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2"/>
          <w:position w:val="0"/>
          <w:sz w:val="20"/>
          <w:shd w:fill="auto" w:val="clear"/>
        </w:rPr>
        <w:t xml:space="preserve">al.,</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2"/>
          <w:position w:val="0"/>
          <w:sz w:val="20"/>
          <w:shd w:fill="auto" w:val="clear"/>
        </w:rPr>
        <w:t xml:space="preserve">2013;</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2"/>
          <w:position w:val="0"/>
          <w:sz w:val="20"/>
          <w:shd w:fill="auto" w:val="clear"/>
        </w:rPr>
        <w:t xml:space="preserve">PEREIRA</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2"/>
          <w:position w:val="0"/>
          <w:sz w:val="20"/>
          <w:shd w:fill="auto" w:val="clear"/>
        </w:rPr>
        <w:t xml:space="preserve">AB,</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2"/>
          <w:position w:val="0"/>
          <w:sz w:val="20"/>
          <w:shd w:fill="auto" w:val="clear"/>
        </w:rPr>
        <w:t xml:space="preserve">et</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2"/>
          <w:position w:val="0"/>
          <w:sz w:val="20"/>
          <w:shd w:fill="auto" w:val="clear"/>
        </w:rPr>
        <w:t xml:space="preserve">al.,</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2"/>
          <w:position w:val="0"/>
          <w:sz w:val="20"/>
          <w:shd w:fill="auto" w:val="clear"/>
        </w:rPr>
        <w:t xml:space="preserve">2010).</w:t>
      </w:r>
    </w:p>
    <w:p>
      <w:pPr>
        <w:spacing w:before="1" w:after="0" w:line="240"/>
        <w:ind w:right="0" w:left="113" w:firstLine="0"/>
        <w:jc w:val="left"/>
        <w:rPr>
          <w:rFonts w:ascii="Arial MT" w:hAnsi="Arial MT" w:cs="Arial MT" w:eastAsia="Arial MT"/>
          <w:color w:val="auto"/>
          <w:spacing w:val="0"/>
          <w:position w:val="0"/>
          <w:sz w:val="20"/>
          <w:shd w:fill="auto" w:val="clear"/>
        </w:rPr>
      </w:pPr>
    </w:p>
    <w:p>
      <w:pPr>
        <w:spacing w:before="1" w:after="0" w:line="240"/>
        <w:ind w:right="0" w:left="113" w:firstLine="0"/>
        <w:jc w:val="left"/>
        <w:rPr>
          <w:rFonts w:ascii="Arial" w:hAnsi="Arial" w:cs="Arial" w:eastAsia="Arial"/>
          <w:b/>
          <w:color w:val="auto"/>
          <w:spacing w:val="0"/>
          <w:position w:val="0"/>
          <w:sz w:val="20"/>
          <w:shd w:fill="auto" w:val="clear"/>
        </w:rPr>
      </w:pPr>
      <w:r>
        <w:rPr>
          <w:rFonts w:ascii="Arial" w:hAnsi="Arial" w:cs="Arial" w:eastAsia="Arial"/>
          <w:b/>
          <w:color w:val="auto"/>
          <w:spacing w:val="-12"/>
          <w:position w:val="0"/>
          <w:sz w:val="20"/>
          <w:shd w:fill="auto" w:val="clear"/>
        </w:rPr>
        <w:t xml:space="preserve">REVISÃO</w:t>
      </w:r>
      <w:r>
        <w:rPr>
          <w:rFonts w:ascii="Arial" w:hAnsi="Arial" w:cs="Arial" w:eastAsia="Arial"/>
          <w:b/>
          <w:color w:val="auto"/>
          <w:spacing w:val="-9"/>
          <w:position w:val="0"/>
          <w:sz w:val="20"/>
          <w:shd w:fill="auto" w:val="clear"/>
        </w:rPr>
        <w:t xml:space="preserve"> </w:t>
      </w:r>
      <w:r>
        <w:rPr>
          <w:rFonts w:ascii="Arial" w:hAnsi="Arial" w:cs="Arial" w:eastAsia="Arial"/>
          <w:b/>
          <w:color w:val="auto"/>
          <w:spacing w:val="-2"/>
          <w:position w:val="0"/>
          <w:sz w:val="20"/>
          <w:shd w:fill="auto" w:val="clear"/>
        </w:rPr>
        <w:t xml:space="preserve">BIBLIOGRÁFICA</w:t>
      </w:r>
    </w:p>
    <w:p>
      <w:pPr>
        <w:spacing w:before="154" w:after="0" w:line="240"/>
        <w:ind w:right="0" w:left="113"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Descrições</w:t>
      </w:r>
      <w:r>
        <w:rPr>
          <w:rFonts w:ascii="Arial" w:hAnsi="Arial" w:cs="Arial" w:eastAsia="Arial"/>
          <w:b/>
          <w:color w:val="auto"/>
          <w:spacing w:val="-10"/>
          <w:position w:val="0"/>
          <w:sz w:val="20"/>
          <w:shd w:fill="auto" w:val="clear"/>
        </w:rPr>
        <w:t xml:space="preserve"> </w:t>
      </w:r>
      <w:r>
        <w:rPr>
          <w:rFonts w:ascii="Arial" w:hAnsi="Arial" w:cs="Arial" w:eastAsia="Arial"/>
          <w:b/>
          <w:color w:val="auto"/>
          <w:spacing w:val="-2"/>
          <w:position w:val="0"/>
          <w:sz w:val="20"/>
          <w:shd w:fill="auto" w:val="clear"/>
        </w:rPr>
        <w:t xml:space="preserve">morfológicas</w:t>
      </w:r>
    </w:p>
    <w:p>
      <w:pPr>
        <w:spacing w:before="156" w:after="0" w:line="273"/>
        <w:ind w:right="113"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A descrição morfológica das pontes miocárdicas é apresentada de forma heterogênea na literatura científica. Isso ocorre devido aos limites técnicos dos métodos utilizados para estudá-las. Mesmo com essa discordância, existem estudos que obtiveram dados importantes para a compreensão dessa anomalia (HOSTIUC S, et al., 2018).</w:t>
      </w:r>
    </w:p>
    <w:p>
      <w:pPr>
        <w:spacing w:before="0" w:after="0" w:line="273"/>
        <w:ind w:right="0" w:left="0" w:firstLine="0"/>
        <w:jc w:val="left"/>
        <w:rPr>
          <w:rFonts w:ascii="Arial MT" w:hAnsi="Arial MT" w:cs="Arial MT" w:eastAsia="Arial MT"/>
          <w:color w:val="auto"/>
          <w:spacing w:val="0"/>
          <w:position w:val="0"/>
          <w:sz w:val="22"/>
          <w:shd w:fill="auto" w:val="clear"/>
        </w:rPr>
      </w:pPr>
    </w:p>
    <w:p>
      <w:pPr>
        <w:spacing w:before="85" w:after="0" w:line="276"/>
        <w:ind w:right="114"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É apontado que a ponte miocárdica acomete majoritariamente a artéria coronária descendente anterior esquerda (DAE), porém é encontrada também em outras artérias coronárias. Isso pode ser evidenciado por meio</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dos</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dados,</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em que: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nos</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exames,</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incluindo</w:t>
      </w:r>
      <w:r>
        <w:rPr>
          <w:rFonts w:ascii="Arial MT" w:hAnsi="Arial MT" w:cs="Arial MT" w:eastAsia="Arial MT"/>
          <w:color w:val="auto"/>
          <w:spacing w:val="-1"/>
          <w:position w:val="0"/>
          <w:sz w:val="20"/>
          <w:shd w:fill="auto" w:val="clear"/>
        </w:rPr>
        <w:t xml:space="preserve"> </w:t>
      </w:r>
      <w:r>
        <w:rPr>
          <w:rFonts w:ascii="Arial" w:hAnsi="Arial" w:cs="Arial" w:eastAsia="Arial"/>
          <w:i/>
          <w:color w:val="auto"/>
          <w:spacing w:val="0"/>
          <w:position w:val="0"/>
          <w:sz w:val="20"/>
          <w:shd w:fill="auto" w:val="clear"/>
        </w:rPr>
        <w:t xml:space="preserve">in</w:t>
      </w:r>
      <w:r>
        <w:rPr>
          <w:rFonts w:ascii="Arial" w:hAnsi="Arial" w:cs="Arial" w:eastAsia="Arial"/>
          <w:i/>
          <w:color w:val="auto"/>
          <w:spacing w:val="-4"/>
          <w:position w:val="0"/>
          <w:sz w:val="20"/>
          <w:shd w:fill="auto" w:val="clear"/>
        </w:rPr>
        <w:t xml:space="preserve"> </w:t>
      </w:r>
      <w:r>
        <w:rPr>
          <w:rFonts w:ascii="Arial" w:hAnsi="Arial" w:cs="Arial" w:eastAsia="Arial"/>
          <w:i/>
          <w:color w:val="auto"/>
          <w:spacing w:val="0"/>
          <w:position w:val="0"/>
          <w:sz w:val="20"/>
          <w:shd w:fill="auto" w:val="clear"/>
        </w:rPr>
        <w:t xml:space="preserve">vivo</w:t>
      </w:r>
      <w:r>
        <w:rPr>
          <w:rFonts w:ascii="Arial" w:hAnsi="Arial" w:cs="Arial" w:eastAsia="Arial"/>
          <w:i/>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autópsia,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DAE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tem uma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prevalência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0,82</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na autópsia exclusivamente, de 0,63. Além disso, os segmentos da DAE possuem diferentes índices de acometimento, sendo que o segmento médio é o mais afetado, com predomínio de 0,72, seguido pelo seguimento</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distal</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(0,23)</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o</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segmento</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proximal</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(0,04).</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Assim</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como</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DAE,</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há</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uma</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variação</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estatística</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entre a totalidade dos exames e a autópsia isolada, respectivamente, nas outras artérias coronárias afetadas: artéria intermediária (0,01 e 0,01), artéria circunflexa (0,03 e 0,07), artérias marginais (0,04 e 0,05), artérias diagonais (0,05 e 0,08) e artéria coronária direita incluindo a artéria interventricular posterior</w:t>
      </w:r>
      <w:r>
        <w:rPr>
          <w:rFonts w:ascii="Arial MT" w:hAnsi="Arial MT" w:cs="Arial MT" w:eastAsia="Arial MT"/>
          <w:color w:val="auto"/>
          <w:spacing w:val="40"/>
          <w:position w:val="0"/>
          <w:sz w:val="20"/>
          <w:shd w:fill="auto" w:val="clear"/>
        </w:rPr>
        <w:t xml:space="preserve"> </w:t>
      </w:r>
      <w:r>
        <w:rPr>
          <w:rFonts w:ascii="Arial MT" w:hAnsi="Arial MT" w:cs="Arial MT" w:eastAsia="Arial MT"/>
          <w:color w:val="auto"/>
          <w:spacing w:val="0"/>
          <w:position w:val="0"/>
          <w:sz w:val="20"/>
          <w:shd w:fill="auto" w:val="clear"/>
        </w:rPr>
        <w:t xml:space="preserve">(0,04 e 0,16) (HOSTIUC S, et al., 2018).</w:t>
      </w:r>
    </w:p>
    <w:p>
      <w:pPr>
        <w:spacing w:before="117" w:after="0" w:line="240"/>
        <w:ind w:right="0" w:left="113"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Manifestações</w:t>
      </w:r>
      <w:r>
        <w:rPr>
          <w:rFonts w:ascii="Arial" w:hAnsi="Arial" w:cs="Arial" w:eastAsia="Arial"/>
          <w:b/>
          <w:color w:val="auto"/>
          <w:spacing w:val="-12"/>
          <w:position w:val="0"/>
          <w:sz w:val="20"/>
          <w:shd w:fill="auto" w:val="clear"/>
        </w:rPr>
        <w:t xml:space="preserve"> </w:t>
      </w:r>
      <w:r>
        <w:rPr>
          <w:rFonts w:ascii="Arial" w:hAnsi="Arial" w:cs="Arial" w:eastAsia="Arial"/>
          <w:b/>
          <w:color w:val="auto"/>
          <w:spacing w:val="-2"/>
          <w:position w:val="0"/>
          <w:sz w:val="20"/>
          <w:shd w:fill="auto" w:val="clear"/>
        </w:rPr>
        <w:t xml:space="preserve">clínicas</w:t>
      </w:r>
    </w:p>
    <w:p>
      <w:pPr>
        <w:spacing w:before="20" w:after="0" w:line="276"/>
        <w:ind w:right="110"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A importância clínica das pontes miocárdicas varia amplamente, e apenas uma pequena parte dos pacientes apresenta sintomas, podendo ter isquemia no coração, ataques cardíacos, contrações anormais nas artérias coronárias, arritmias desencadeadas pelo exercício (como aceleração dos batimentos cardíacos na parte superior ou inferior do coração, ou bloqueio na condução dos impulsos elétricos), enfraquecimento temporário do músculo cardíaco, disfunção temporária no bombeamento do coração, desmaios ou mesmo morte inesperada.</w:t>
      </w:r>
      <w:r>
        <w:rPr>
          <w:rFonts w:ascii="Arial MT" w:hAnsi="Arial MT" w:cs="Arial MT" w:eastAsia="Arial MT"/>
          <w:color w:val="auto"/>
          <w:spacing w:val="-2"/>
          <w:position w:val="0"/>
          <w:sz w:val="20"/>
          <w:shd w:fill="auto" w:val="clear"/>
        </w:rPr>
        <w:t xml:space="preserve">(LIMA </w:t>
      </w:r>
      <w:r>
        <w:rPr>
          <w:rFonts w:ascii="Arial MT" w:hAnsi="Arial MT" w:cs="Arial MT" w:eastAsia="Arial MT"/>
          <w:color w:val="auto"/>
          <w:spacing w:val="0"/>
          <w:position w:val="0"/>
          <w:sz w:val="20"/>
          <w:shd w:fill="auto" w:val="clear"/>
        </w:rPr>
        <w:t xml:space="preserve">VJ, et al., 2002; HOSTIUC S, 2011; PEREIRA AB, et al., 2010; YUAN SM, 2016).</w:t>
      </w:r>
    </w:p>
    <w:p>
      <w:pPr>
        <w:spacing w:before="115" w:after="0" w:line="276"/>
        <w:ind w:right="113"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alta incidência de</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ramos</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pré-ponte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(RPP) no</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segmento</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acometido</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pela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PM</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pode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agir</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como</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mecanismo compensatório,</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conhecido</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por</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angiogênese,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devido</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à</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irrigação</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da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região</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adjacente.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Essa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hipótese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explicaria 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ausência</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sintomatologia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em</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alguns</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pacientes</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(ACUNÃ</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LE,</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et</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al.,</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2009).</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Ainda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que</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malformação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esteja presente desde o nascimento, os sintomas em geral surgem a partir da terceira década de vida, com média de 45,9 anos. A expressão tardia dos sintomas pode ser justificada por meio de três fatores: o aumento da tensão sistólica da parede miocárdica em consequência do crescimento do coração; o aumento da pressão diastólica final do ventrículo esquerdo; e as relações dos sintomas com a hipertensão arterial e a eventual diminuição do fluxo coronário por eventos ateroscleróticos que ocorrem mais tardiamente</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(PEREIRA AB, et al., 2010).</w:t>
      </w:r>
    </w:p>
    <w:p>
      <w:pPr>
        <w:spacing w:before="115" w:after="0" w:line="280"/>
        <w:ind w:right="112"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Na área médica, a possibilidade de ponte miocárdica costuma ser identificada em especial em indivíduos com baixa probabilidade de ter doença coronariana aguda (DAC) e que apresentam sintomas de angina estável ou instável. Estudos mostram que não existe relação entre os sintomas e o grau de estreitamento dos vasos sanguíneos no coração. No entanto, a espessura, a localização, a quantidade e o tamanho das pontes miocárdicas estão diretamente associados à manifestação dos sintomas.(PEREIRA AB, et al., 2010).</w:t>
      </w:r>
    </w:p>
    <w:p>
      <w:pPr>
        <w:spacing w:before="117" w:after="0" w:line="240"/>
        <w:ind w:right="0" w:left="113" w:firstLine="0"/>
        <w:jc w:val="left"/>
        <w:rPr>
          <w:rFonts w:ascii="Arial" w:hAnsi="Arial" w:cs="Arial" w:eastAsia="Arial"/>
          <w:b/>
          <w:color w:val="auto"/>
          <w:spacing w:val="0"/>
          <w:position w:val="0"/>
          <w:sz w:val="20"/>
          <w:shd w:fill="auto" w:val="clear"/>
        </w:rPr>
      </w:pPr>
      <w:r>
        <w:rPr>
          <w:rFonts w:ascii="Arial" w:hAnsi="Arial" w:cs="Arial" w:eastAsia="Arial"/>
          <w:b/>
          <w:color w:val="auto"/>
          <w:spacing w:val="-2"/>
          <w:position w:val="0"/>
          <w:sz w:val="20"/>
          <w:shd w:fill="auto" w:val="clear"/>
        </w:rPr>
        <w:t xml:space="preserve">Aterosclerose</w:t>
      </w:r>
    </w:p>
    <w:p>
      <w:pPr>
        <w:spacing w:before="20" w:after="0" w:line="280"/>
        <w:ind w:right="116"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Durante a elaboração do presente trabalho, foram observadas divergências de análise a respeito da associação entre a ponte miocárdica e a aterosclerose. Existem estudos que apontam que essa correlação não é tão significativa quando comparada com os fatores de risco cardiovasculares tradicionais, não sendo detectadas diferenças expressivas relacionadas ao acometimento da aterosclerose entre pacientes portadores de PM e sem a anomalia (SUN JL, et al., 2013). Por outro lado, hipóteses defendem que os segmentos coronarianos afetados pela ponte miocárdica expõem maior tendência para formação de placas ateroscleróticas em relação aos vasos epicárdicos</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(BARROS C, et al., 2013).</w:t>
      </w:r>
    </w:p>
    <w:p>
      <w:pPr>
        <w:spacing w:before="0" w:after="0" w:line="280"/>
        <w:ind w:right="0" w:left="0" w:firstLine="0"/>
        <w:jc w:val="left"/>
        <w:rPr>
          <w:rFonts w:ascii="Arial MT" w:hAnsi="Arial MT" w:cs="Arial MT" w:eastAsia="Arial MT"/>
          <w:color w:val="auto"/>
          <w:spacing w:val="0"/>
          <w:position w:val="0"/>
          <w:sz w:val="22"/>
          <w:shd w:fill="auto" w:val="clear"/>
        </w:rPr>
      </w:pPr>
    </w:p>
    <w:p>
      <w:pPr>
        <w:spacing w:before="42" w:after="0" w:line="280"/>
        <w:ind w:right="115"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Na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literatura,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foi</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encontrada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uma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significância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entre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pacientes</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com ponte</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miocárdica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os</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níveis</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elevados de MHR visto que a disfunção endotelial, o processo inflamatório e a expressão elevada de agentes vasoativos</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foram</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mecanismos</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ateroscleróticos</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causados</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pela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PM.</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Por</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essa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ótica,</w:t>
      </w:r>
      <w:r>
        <w:rPr>
          <w:rFonts w:ascii="Arial MT" w:hAnsi="Arial MT" w:cs="Arial MT" w:eastAsia="Arial MT"/>
          <w:color w:val="auto"/>
          <w:spacing w:val="-13"/>
          <w:position w:val="0"/>
          <w:sz w:val="20"/>
          <w:shd w:fill="auto" w:val="clear"/>
        </w:rPr>
        <w:t xml:space="preserve"> </w:t>
      </w:r>
      <w:r>
        <w:rPr>
          <w:rFonts w:ascii="Arial MT" w:hAnsi="Arial MT" w:cs="Arial MT" w:eastAsia="Arial MT"/>
          <w:color w:val="auto"/>
          <w:spacing w:val="0"/>
          <w:position w:val="0"/>
          <w:sz w:val="20"/>
          <w:shd w:fill="auto" w:val="clear"/>
        </w:rPr>
        <w:t xml:space="preserve">após</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o</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início</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da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inflamação, os monócitos agravaram essas vias inflamatórias, dando progressão à aterosclerose. O HDL, que seria responsável</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pela</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diminuição</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desses</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mecanismos</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inflamatórios,</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encontrou-se</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em</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níveis</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baixos</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nos</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pacientes com PM, ao passo que os monócitos estavam elevados refletindo em uma alta taxa de MHR, o que foi associado</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como</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marcador</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prognóstico</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doenças</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cardiovasculares.</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Em</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suma,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foi</w:t>
      </w:r>
      <w:r>
        <w:rPr>
          <w:rFonts w:ascii="Arial MT" w:hAnsi="Arial MT" w:cs="Arial MT" w:eastAsia="Arial MT"/>
          <w:color w:val="auto"/>
          <w:spacing w:val="-13"/>
          <w:position w:val="0"/>
          <w:sz w:val="20"/>
          <w:shd w:fill="auto" w:val="clear"/>
        </w:rPr>
        <w:t xml:space="preserve"> </w:t>
      </w:r>
      <w:r>
        <w:rPr>
          <w:rFonts w:ascii="Arial MT" w:hAnsi="Arial MT" w:cs="Arial MT" w:eastAsia="Arial MT"/>
          <w:color w:val="auto"/>
          <w:spacing w:val="0"/>
          <w:position w:val="0"/>
          <w:sz w:val="20"/>
          <w:shd w:fill="auto" w:val="clear"/>
        </w:rPr>
        <w:t xml:space="preserve">evidenciado</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que</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elevada MHR poderia demonstrar tanto a arteriosclerose sistêmica quanto a arteriosclerose local, concluindo que modificações locais no segmento proximal da PM poderiam começar mais cedo do que as alterações sistêmicas (ENHOS A, et al., 2019).</w:t>
      </w:r>
    </w:p>
    <w:p>
      <w:pPr>
        <w:spacing w:before="36" w:after="0" w:line="240"/>
        <w:ind w:right="0" w:left="113"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Isquemia</w:t>
      </w:r>
      <w:r>
        <w:rPr>
          <w:rFonts w:ascii="Arial" w:hAnsi="Arial" w:cs="Arial" w:eastAsia="Arial"/>
          <w:b/>
          <w:color w:val="auto"/>
          <w:spacing w:val="-8"/>
          <w:position w:val="0"/>
          <w:sz w:val="20"/>
          <w:shd w:fill="auto" w:val="clear"/>
        </w:rPr>
        <w:t xml:space="preserve"> </w:t>
      </w:r>
      <w:r>
        <w:rPr>
          <w:rFonts w:ascii="Arial" w:hAnsi="Arial" w:cs="Arial" w:eastAsia="Arial"/>
          <w:b/>
          <w:color w:val="auto"/>
          <w:spacing w:val="-2"/>
          <w:position w:val="0"/>
          <w:sz w:val="20"/>
          <w:shd w:fill="auto" w:val="clear"/>
        </w:rPr>
        <w:t xml:space="preserve">miocárdica</w:t>
      </w:r>
    </w:p>
    <w:p>
      <w:pPr>
        <w:spacing w:before="15" w:after="0" w:line="276"/>
        <w:ind w:right="113"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A isquemia miocárdica (IM) é definida como a falta de suprimento sanguíneo, o qual é responsável pela nutrição e oxigenação do tecido cardíaco, em comparação com a demanda do local</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(YU M, et al., 2015). Nesse aspecto, estudos que apontam hipóteses de proporcionalidade direta entre ponte miocárdica e IM foram encontrados nas bibliografias de referência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(HOSTIUC S, et al., 2017). O exame que é utilizado para avaliar essa patologia em PM é a cintilografia do miocárdio</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(LIM JW, et al., 2017).</w:t>
      </w:r>
    </w:p>
    <w:p>
      <w:pPr>
        <w:spacing w:before="87" w:after="0" w:line="280"/>
        <w:ind w:right="119"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O segundo é a aterosclerose proximal ao segmento em ponte, causada por alterações de células endoteliais</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nessa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região</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consequente</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junção</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placa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aterosclerótica,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que</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aumenta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estenose</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coronariana (BARROS</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C, et al., 2013). Com essa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diminuição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de lúmen,</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há</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redução do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suprimento sanguíneo, levando à isquemia (BARROS C, et al., 2013). Constata-se que o vasoespasmo em segmento aterosclerado pode, também, levar à isquemia coronariana</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(HONG H, et al., 2014).</w:t>
      </w:r>
    </w:p>
    <w:p>
      <w:pPr>
        <w:spacing w:before="42" w:after="0" w:line="280"/>
        <w:ind w:right="117"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Algumas situações podem potencializar a prevalência da isquemia em pacientes com ponte miocárdica, como a ativação simpática e a localização da PM. O estresse e os exercícios físicos promovem ativação simpática e, com isso, elevam a frequência cardíaca e a força de contração, responsáveis pelo aumento da probabilidade de IM em indivíduos com PM. Além disso, caso a PM esteja localizada na extremidade mais proximal do vaso, há uma maior chance de acometimento por IM, visto que essa região é mais passível de ser acometida por aterosclerose (DE GIORGIO F, et al., 2014).</w:t>
      </w:r>
    </w:p>
    <w:p>
      <w:pPr>
        <w:spacing w:before="37" w:after="0" w:line="240"/>
        <w:ind w:right="0" w:left="113" w:firstLine="0"/>
        <w:jc w:val="left"/>
        <w:rPr>
          <w:rFonts w:ascii="Arial" w:hAnsi="Arial" w:cs="Arial" w:eastAsia="Arial"/>
          <w:b/>
          <w:color w:val="auto"/>
          <w:spacing w:val="0"/>
          <w:position w:val="0"/>
          <w:sz w:val="20"/>
          <w:shd w:fill="auto" w:val="clear"/>
        </w:rPr>
      </w:pPr>
      <w:r>
        <w:rPr>
          <w:rFonts w:ascii="Arial" w:hAnsi="Arial" w:cs="Arial" w:eastAsia="Arial"/>
          <w:b/>
          <w:color w:val="auto"/>
          <w:spacing w:val="-2"/>
          <w:position w:val="0"/>
          <w:sz w:val="20"/>
          <w:shd w:fill="auto" w:val="clear"/>
        </w:rPr>
        <w:t xml:space="preserve">Diagnóstico</w:t>
      </w:r>
    </w:p>
    <w:p>
      <w:pPr>
        <w:spacing w:before="42" w:after="0" w:line="280"/>
        <w:ind w:right="113"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O diagnóstico para PM possui um valor essencial nos seus significados anatômico e clínico, pois a partir dele é possível a sua identificação, como também de outras possíveis patologias, como aterosclerose e isquemia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do</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miocárdio.</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recomendação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para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realização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exames</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diagnósticos</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para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essa</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anomalia</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deve ser</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considerada</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partir</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da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terceira</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década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vida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do</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paciente</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que</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apresenta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sintomas</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dor</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anginosa,</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mas sem condições de risco para outras patologias do coração</w:t>
      </w:r>
      <w:r>
        <w:rPr>
          <w:rFonts w:ascii="Arial MT" w:hAnsi="Arial MT" w:cs="Arial MT" w:eastAsia="Arial MT"/>
          <w:color w:val="auto"/>
          <w:spacing w:val="-13"/>
          <w:position w:val="0"/>
          <w:sz w:val="20"/>
          <w:shd w:fill="auto" w:val="clear"/>
        </w:rPr>
        <w:t xml:space="preserve"> </w:t>
      </w:r>
      <w:r>
        <w:rPr>
          <w:rFonts w:ascii="Arial MT" w:hAnsi="Arial MT" w:cs="Arial MT" w:eastAsia="Arial MT"/>
          <w:color w:val="auto"/>
          <w:spacing w:val="0"/>
          <w:position w:val="0"/>
          <w:sz w:val="20"/>
          <w:shd w:fill="auto" w:val="clear"/>
        </w:rPr>
        <w:t xml:space="preserve">(PEREIRA AB, et al., 2010). Ademais, o princípio de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análise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no qual</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esses exames estão</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pautados é a avaliação</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da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compressão</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que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artéria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coronária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sofre pela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PM</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durante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sístole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sua</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liberação</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completa</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ou</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parcial</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durante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diástole</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(ROVAI</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et</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al.,</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2015).</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Por ser</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uma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patologia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majoritariamente</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assintomática,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ela</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é</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subdiagnosticada</w:t>
      </w:r>
      <w:r>
        <w:rPr>
          <w:rFonts w:ascii="Arial MT" w:hAnsi="Arial MT" w:cs="Arial MT" w:eastAsia="Arial MT"/>
          <w:color w:val="auto"/>
          <w:spacing w:val="-7"/>
          <w:position w:val="0"/>
          <w:sz w:val="20"/>
          <w:shd w:fill="auto" w:val="clear"/>
        </w:rPr>
        <w:t xml:space="preserve"> </w:t>
      </w:r>
      <w:r>
        <w:rPr>
          <w:rFonts w:ascii="Arial" w:hAnsi="Arial" w:cs="Arial" w:eastAsia="Arial"/>
          <w:i/>
          <w:color w:val="auto"/>
          <w:spacing w:val="0"/>
          <w:position w:val="0"/>
          <w:sz w:val="20"/>
          <w:shd w:fill="auto" w:val="clear"/>
        </w:rPr>
        <w:t xml:space="preserve">in</w:t>
      </w:r>
      <w:r>
        <w:rPr>
          <w:rFonts w:ascii="Arial" w:hAnsi="Arial" w:cs="Arial" w:eastAsia="Arial"/>
          <w:i/>
          <w:color w:val="auto"/>
          <w:spacing w:val="-9"/>
          <w:position w:val="0"/>
          <w:sz w:val="20"/>
          <w:shd w:fill="auto" w:val="clear"/>
        </w:rPr>
        <w:t xml:space="preserve"> </w:t>
      </w:r>
      <w:r>
        <w:rPr>
          <w:rFonts w:ascii="Arial" w:hAnsi="Arial" w:cs="Arial" w:eastAsia="Arial"/>
          <w:i/>
          <w:color w:val="auto"/>
          <w:spacing w:val="0"/>
          <w:position w:val="0"/>
          <w:sz w:val="20"/>
          <w:shd w:fill="auto" w:val="clear"/>
        </w:rPr>
        <w:t xml:space="preserve">vivo</w:t>
      </w:r>
      <w:r>
        <w:rPr>
          <w:rFonts w:ascii="Arial" w:hAnsi="Arial" w:cs="Arial" w:eastAsia="Arial"/>
          <w:i/>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(PEREIRA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AB,</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et</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al.,</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2010). Para a investigação da PM, podem ser destacados os exames: angiografia coronária convencional e tomografia computadorizada multislice das coronárias (BARROS MV, et al., 2013).</w:t>
      </w:r>
    </w:p>
    <w:p>
      <w:pPr>
        <w:spacing w:before="113" w:after="0" w:line="278"/>
        <w:ind w:right="112"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Para avaliar o nível de compressão da artéria coronária, é observado o “efeito ordenha”. Esse fenômeno é descrito como imagem ausente ou pouco desenvolvida na fase sistólica, devido à estenose do lúmen, e imagem</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luminal</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desenvolvida,</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clara</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evidente,</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durante</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fase</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diastólica.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Diante</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disso,</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estudos</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padronizaram o</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nível</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estenose</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durante</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sístole</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da</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seguinte</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forma:</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grau</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I</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50%</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(leve);</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grau</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II</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50-70%</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(médio);</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grau</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5"/>
          <w:position w:val="0"/>
          <w:sz w:val="20"/>
          <w:shd w:fill="auto" w:val="clear"/>
        </w:rPr>
        <w:t xml:space="preserve">III</w:t>
      </w:r>
    </w:p>
    <w:p>
      <w:pPr>
        <w:spacing w:before="0" w:after="0" w:line="240"/>
        <w:ind w:right="0" w:left="113" w:firstLine="0"/>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70%</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(grave)</w:t>
      </w:r>
      <w:r>
        <w:rPr>
          <w:rFonts w:ascii="Arial MT" w:hAnsi="Arial MT" w:cs="Arial MT" w:eastAsia="Arial MT"/>
          <w:color w:val="auto"/>
          <w:spacing w:val="-19"/>
          <w:position w:val="0"/>
          <w:sz w:val="20"/>
          <w:shd w:fill="auto" w:val="clear"/>
        </w:rPr>
        <w:t xml:space="preserve"> </w:t>
      </w:r>
      <w:r>
        <w:rPr>
          <w:rFonts w:ascii="Arial MT" w:hAnsi="Arial MT" w:cs="Arial MT" w:eastAsia="Arial MT"/>
          <w:color w:val="auto"/>
          <w:spacing w:val="0"/>
          <w:position w:val="0"/>
          <w:sz w:val="20"/>
          <w:shd w:fill="auto" w:val="clear"/>
        </w:rPr>
        <w:t xml:space="preserve">(SUN</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JL,</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et</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al.,</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2013).</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Esse</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parâmetro</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se</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torna</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significativo</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quando</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ocorre</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uma</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diminuição</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5"/>
          <w:position w:val="0"/>
          <w:sz w:val="20"/>
          <w:shd w:fill="auto" w:val="clear"/>
        </w:rPr>
        <w:t xml:space="preserve">de</w:t>
      </w:r>
    </w:p>
    <w:p>
      <w:pPr>
        <w:spacing w:before="37" w:after="0" w:line="278"/>
        <w:ind w:right="114" w:left="113" w:firstLine="0"/>
        <w:jc w:val="both"/>
        <w:rPr>
          <w:rFonts w:ascii="Arial MT" w:hAnsi="Arial MT" w:cs="Arial MT" w:eastAsia="Arial MT"/>
          <w:color w:val="auto"/>
          <w:spacing w:val="0"/>
          <w:position w:val="0"/>
          <w:sz w:val="20"/>
          <w:shd w:fill="auto" w:val="clear"/>
        </w:rPr>
      </w:pPr>
      <w:r>
        <w:rPr>
          <w:rFonts w:ascii="Cambria Math" w:hAnsi="Cambria Math" w:cs="Cambria Math" w:eastAsia="Cambria Math"/>
          <w:color w:val="auto"/>
          <w:spacing w:val="0"/>
          <w:position w:val="0"/>
          <w:sz w:val="20"/>
          <w:shd w:fill="auto" w:val="clear"/>
        </w:rPr>
        <w:t xml:space="preserve">≥</w:t>
      </w:r>
      <w:r>
        <w:rPr>
          <w:rFonts w:ascii="Arial MT" w:hAnsi="Arial MT" w:cs="Arial MT" w:eastAsia="Arial MT"/>
          <w:color w:val="auto"/>
          <w:spacing w:val="0"/>
          <w:position w:val="0"/>
          <w:sz w:val="20"/>
          <w:shd w:fill="auto" w:val="clear"/>
        </w:rPr>
        <w:t xml:space="preserve">70% no diâmetro luminal da artéria durante a sístole e a persistência dessa redução de </w:t>
      </w:r>
      <w:r>
        <w:rPr>
          <w:rFonts w:ascii="Cambria Math" w:hAnsi="Cambria Math" w:cs="Cambria Math" w:eastAsia="Cambria Math"/>
          <w:color w:val="auto"/>
          <w:spacing w:val="0"/>
          <w:position w:val="0"/>
          <w:sz w:val="20"/>
          <w:shd w:fill="auto" w:val="clear"/>
        </w:rPr>
        <w:t xml:space="preserve">≥</w:t>
      </w:r>
      <w:r>
        <w:rPr>
          <w:rFonts w:ascii="Arial MT" w:hAnsi="Arial MT" w:cs="Arial MT" w:eastAsia="Arial MT"/>
          <w:color w:val="auto"/>
          <w:spacing w:val="0"/>
          <w:position w:val="0"/>
          <w:sz w:val="20"/>
          <w:shd w:fill="auto" w:val="clear"/>
        </w:rPr>
        <w:t xml:space="preserve">35% durante a diástole (YUAN SM, 2016).</w:t>
      </w:r>
    </w:p>
    <w:p>
      <w:pPr>
        <w:spacing w:before="118" w:after="0" w:line="278"/>
        <w:ind w:right="113"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Juntamente com a avaliação anatômica proporcionada pela CAG, são usados também outros métodos, como o ultrassom intracoronário (USIC), o ultrassom Doppler intracoronariano e os dispositivos de pressão intracoronariana, que avaliam a dinamicidade e a correlação com outras condições clínicas, a exemplo da formação</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placa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aterosclerótica.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Em</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USIC,</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PM</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foi</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definida</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como</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uma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faixa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ecolucente</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(halo)</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circundando parcialmente a artéria. A avaliação anatômica do USIC inclui o comprimento do segmento, a espessura do halo, localização e presença de ramificações que surgem no segmento em PM</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(YAMADA R, et al., 2016).</w:t>
      </w:r>
    </w:p>
    <w:p>
      <w:pPr>
        <w:spacing w:before="0" w:after="0" w:line="278"/>
        <w:ind w:right="0" w:left="0" w:firstLine="0"/>
        <w:jc w:val="left"/>
        <w:rPr>
          <w:rFonts w:ascii="Arial MT" w:hAnsi="Arial MT" w:cs="Arial MT" w:eastAsia="Arial MT"/>
          <w:color w:val="auto"/>
          <w:spacing w:val="0"/>
          <w:position w:val="0"/>
          <w:sz w:val="22"/>
          <w:shd w:fill="auto" w:val="clear"/>
        </w:rPr>
      </w:pPr>
    </w:p>
    <w:p>
      <w:pPr>
        <w:spacing w:before="118" w:after="0" w:line="278"/>
        <w:ind w:right="110"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A relação da Angio TC com outros exames, como o ecocardiograma e a ressonância magnética é fundamental, tendo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em vista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que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são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complementares para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um diagnóstico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diferencial de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patologias</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(ATTILI A, et al., 2013). O ecocardiograma obtém informações mais precisas de pacientes com PM, sendo possível medir</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o</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grau</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da</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lesão</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com</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medições</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longitudinais,</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circunferenciais</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radiais</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(YUAN</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SM,</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2016).</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ressonância magnética, por sua vez, tem um papel essencial no diagnóstico infanto-juvenil, reconhecendo e avaliando a função cardíaca por meio da análise do curso das artérias</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em um cenário que o ecocardiograma não é tão preciso</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(ATTILI A, et al., 2013; HOSTIUC S, 2011).</w:t>
      </w:r>
    </w:p>
    <w:p>
      <w:pPr>
        <w:spacing w:before="118" w:after="0" w:line="278"/>
        <w:ind w:right="113"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A maior prevalência de ponte miocárdica foi relatada em autópsia, seguida pela Angio TC e pela CAG, com</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valores</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significativamente</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discrepantes</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(HOSTIUC</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S,</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et</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al.,</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2018).</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Essa</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divergência</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pode</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ser</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justificada pela ausência de sintomatologia </w:t>
      </w:r>
      <w:r>
        <w:rPr>
          <w:rFonts w:ascii="Arial" w:hAnsi="Arial" w:cs="Arial" w:eastAsia="Arial"/>
          <w:i/>
          <w:color w:val="auto"/>
          <w:spacing w:val="0"/>
          <w:position w:val="0"/>
          <w:sz w:val="20"/>
          <w:shd w:fill="auto" w:val="clear"/>
        </w:rPr>
        <w:t xml:space="preserve">in vivo </w:t>
      </w:r>
      <w:r>
        <w:rPr>
          <w:rFonts w:ascii="Arial MT" w:hAnsi="Arial MT" w:cs="Arial MT" w:eastAsia="Arial MT"/>
          <w:color w:val="auto"/>
          <w:spacing w:val="0"/>
          <w:position w:val="0"/>
          <w:sz w:val="20"/>
          <w:shd w:fill="auto" w:val="clear"/>
        </w:rPr>
        <w:t xml:space="preserve">e pela angiotomografia não demandar compressão sistólica, o que aprimora a visualização anatômica dessa condição. Outro fator de suma importância é que a CAG não tem acurácia para identificar as PMs finas e superficiais, pois não produzem o “efeito ordenha”</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(HOSTIUC S, et al., 2018; LI Y, et al., 2017; PEREIRA AB, et al., 2010; YUAN SM, 2016).</w:t>
      </w:r>
    </w:p>
    <w:p>
      <w:pPr>
        <w:spacing w:before="118" w:after="0" w:line="240"/>
        <w:ind w:right="0" w:left="113" w:firstLine="0"/>
        <w:jc w:val="left"/>
        <w:rPr>
          <w:rFonts w:ascii="Arial" w:hAnsi="Arial" w:cs="Arial" w:eastAsia="Arial"/>
          <w:b/>
          <w:color w:val="auto"/>
          <w:spacing w:val="0"/>
          <w:position w:val="0"/>
          <w:sz w:val="20"/>
          <w:shd w:fill="auto" w:val="clear"/>
        </w:rPr>
      </w:pPr>
      <w:r>
        <w:rPr>
          <w:rFonts w:ascii="Arial" w:hAnsi="Arial" w:cs="Arial" w:eastAsia="Arial"/>
          <w:b/>
          <w:color w:val="auto"/>
          <w:spacing w:val="-2"/>
          <w:position w:val="0"/>
          <w:sz w:val="20"/>
          <w:shd w:fill="auto" w:val="clear"/>
        </w:rPr>
        <w:t xml:space="preserve">Tratamento</w:t>
      </w:r>
    </w:p>
    <w:p>
      <w:pPr>
        <w:spacing w:before="20" w:after="0" w:line="278"/>
        <w:ind w:right="112"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O</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tratamento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para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ponte</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miocárdica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é</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feito</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acordo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com</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o</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quadro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clínico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cada</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paciente,</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podendo</w:t>
      </w:r>
      <w:r>
        <w:rPr>
          <w:rFonts w:ascii="Arial MT" w:hAnsi="Arial MT" w:cs="Arial MT" w:eastAsia="Arial MT"/>
          <w:color w:val="auto"/>
          <w:spacing w:val="-9"/>
          <w:position w:val="0"/>
          <w:sz w:val="20"/>
          <w:shd w:fill="auto" w:val="clear"/>
        </w:rPr>
        <w:t xml:space="preserve"> </w:t>
      </w:r>
      <w:r>
        <w:rPr>
          <w:rFonts w:ascii="Arial MT" w:hAnsi="Arial MT" w:cs="Arial MT" w:eastAsia="Arial MT"/>
          <w:color w:val="auto"/>
          <w:spacing w:val="0"/>
          <w:position w:val="0"/>
          <w:sz w:val="20"/>
          <w:shd w:fill="auto" w:val="clear"/>
        </w:rPr>
        <w:t xml:space="preserve">ser intervenção medicamentosa, cirúrgica e/ou percutânea via stent (ESTEVES V, et al., 2010). Essas terapêuticas, apesar de terem abordagens distintas, objetivam melhorar o fluxo sanguíneo coronariano em pacientes com artéria coronária intramural (BARROS MV, et al., 2013).</w:t>
      </w:r>
    </w:p>
    <w:p>
      <w:pPr>
        <w:spacing w:before="119" w:after="0" w:line="273"/>
        <w:ind w:right="112"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Como tratamento inicial, é recomendada a terapia medicamentosa, que é composta por agentes ionotrópicos</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cronotópicos</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negativos</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como</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os</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betabloqueadores</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os</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antagonistas</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dos</w:t>
      </w:r>
      <w:r>
        <w:rPr>
          <w:rFonts w:ascii="Arial MT" w:hAnsi="Arial MT" w:cs="Arial MT" w:eastAsia="Arial MT"/>
          <w:color w:val="auto"/>
          <w:spacing w:val="-3"/>
          <w:position w:val="0"/>
          <w:sz w:val="20"/>
          <w:shd w:fill="auto" w:val="clear"/>
        </w:rPr>
        <w:t xml:space="preserve"> </w:t>
      </w:r>
      <w:r>
        <w:rPr>
          <w:rFonts w:ascii="Arial MT" w:hAnsi="Arial MT" w:cs="Arial MT" w:eastAsia="Arial MT"/>
          <w:color w:val="auto"/>
          <w:spacing w:val="0"/>
          <w:position w:val="0"/>
          <w:sz w:val="20"/>
          <w:shd w:fill="auto" w:val="clear"/>
        </w:rPr>
        <w:t xml:space="preserve">canais</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cálcio </w:t>
      </w:r>
      <w:r>
        <w:rPr>
          <w:rFonts w:ascii="Arial MT" w:hAnsi="Arial MT" w:cs="Arial MT" w:eastAsia="Arial MT"/>
          <w:color w:val="auto"/>
          <w:spacing w:val="0"/>
          <w:position w:val="0"/>
          <w:sz w:val="20"/>
          <w:shd w:fill="auto" w:val="clear"/>
        </w:rPr>
        <w:t xml:space="preserve">–</w:t>
      </w:r>
      <w:r>
        <w:rPr>
          <w:rFonts w:ascii="Arial MT" w:hAnsi="Arial MT" w:cs="Arial MT" w:eastAsia="Arial MT"/>
          <w:color w:val="auto"/>
          <w:spacing w:val="0"/>
          <w:position w:val="0"/>
          <w:sz w:val="20"/>
          <w:shd w:fill="auto" w:val="clear"/>
        </w:rPr>
        <w:t xml:space="preserve"> e os agentes antiplaquetários. Os bloqueadores de receptores adrenérgicos, também denominados betabloqueadores,</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geram</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redução</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da</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contratilidade</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da</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frequência</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cardíaca,</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e</w:t>
      </w:r>
      <w:r>
        <w:rPr>
          <w:rFonts w:ascii="Arial MT" w:hAnsi="Arial MT" w:cs="Arial MT" w:eastAsia="Arial MT"/>
          <w:color w:val="auto"/>
          <w:spacing w:val="-4"/>
          <w:position w:val="0"/>
          <w:sz w:val="20"/>
          <w:shd w:fill="auto" w:val="clear"/>
        </w:rPr>
        <w:t xml:space="preserve"> </w:t>
      </w:r>
      <w:r>
        <w:rPr>
          <w:rFonts w:ascii="Arial MT" w:hAnsi="Arial MT" w:cs="Arial MT" w:eastAsia="Arial MT"/>
          <w:color w:val="auto"/>
          <w:spacing w:val="0"/>
          <w:position w:val="0"/>
          <w:sz w:val="20"/>
          <w:shd w:fill="auto" w:val="clear"/>
        </w:rPr>
        <w:t xml:space="preserve">aumento</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do</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tempo</w:t>
      </w:r>
      <w:r>
        <w:rPr>
          <w:rFonts w:ascii="Arial MT" w:hAnsi="Arial MT" w:cs="Arial MT" w:eastAsia="Arial MT"/>
          <w:color w:val="auto"/>
          <w:spacing w:val="-7"/>
          <w:position w:val="0"/>
          <w:sz w:val="20"/>
          <w:shd w:fill="auto" w:val="clear"/>
        </w:rPr>
        <w:t xml:space="preserve"> </w:t>
      </w:r>
      <w:r>
        <w:rPr>
          <w:rFonts w:ascii="Arial MT" w:hAnsi="Arial MT" w:cs="Arial MT" w:eastAsia="Arial MT"/>
          <w:color w:val="auto"/>
          <w:spacing w:val="0"/>
          <w:position w:val="0"/>
          <w:sz w:val="20"/>
          <w:shd w:fill="auto" w:val="clear"/>
        </w:rPr>
        <w:t xml:space="preserve">diastólico e</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compressão</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sistólica do</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vaso,</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agindo</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na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melhoria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da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angina</w:t>
      </w:r>
      <w:r>
        <w:rPr>
          <w:rFonts w:ascii="Arial MT" w:hAnsi="Arial MT" w:cs="Arial MT" w:eastAsia="Arial MT"/>
          <w:color w:val="auto"/>
          <w:spacing w:val="-2"/>
          <w:position w:val="0"/>
          <w:sz w:val="20"/>
          <w:shd w:fill="auto" w:val="clear"/>
        </w:rPr>
        <w:t xml:space="preserve"> </w:t>
      </w:r>
      <w:r>
        <w:rPr>
          <w:rFonts w:ascii="Arial MT" w:hAnsi="Arial MT" w:cs="Arial MT" w:eastAsia="Arial MT"/>
          <w:color w:val="auto"/>
          <w:spacing w:val="0"/>
          <w:position w:val="0"/>
          <w:sz w:val="20"/>
          <w:shd w:fill="auto" w:val="clear"/>
        </w:rPr>
        <w:t xml:space="preserve">e dos sinais de isquemia.</w:t>
      </w:r>
      <w:r>
        <w:rPr>
          <w:rFonts w:ascii="Arial MT" w:hAnsi="Arial MT" w:cs="Arial MT" w:eastAsia="Arial MT"/>
          <w:color w:val="auto"/>
          <w:spacing w:val="-1"/>
          <w:position w:val="0"/>
          <w:sz w:val="20"/>
          <w:shd w:fill="auto" w:val="clear"/>
        </w:rPr>
        <w:t xml:space="preserve"> </w:t>
      </w:r>
      <w:r>
        <w:rPr>
          <w:rFonts w:ascii="Arial MT" w:hAnsi="Arial MT" w:cs="Arial MT" w:eastAsia="Arial MT"/>
          <w:color w:val="auto"/>
          <w:spacing w:val="0"/>
          <w:position w:val="0"/>
          <w:sz w:val="20"/>
          <w:shd w:fill="auto" w:val="clear"/>
        </w:rPr>
        <w:t xml:space="preserve">Os antagonistas de cálcio, por sua vez, aparecem como alternativa quando há contraindicação dos betabloqueadores, e são o tratamento de primeira linha no caso de vasoespasmo coronariano. Nas condições em que há risco de aterosclerose, a terapia antiplaquetária é indicada (PEREIRA AB, et al., 2010; YUAN SM, 2016).</w:t>
      </w:r>
    </w:p>
    <w:p>
      <w:pPr>
        <w:spacing w:before="174" w:after="0" w:line="240"/>
        <w:ind w:right="0" w:left="0" w:firstLine="0"/>
        <w:jc w:val="left"/>
        <w:rPr>
          <w:rFonts w:ascii="Arial MT" w:hAnsi="Arial MT" w:cs="Arial MT" w:eastAsia="Arial MT"/>
          <w:color w:val="auto"/>
          <w:spacing w:val="0"/>
          <w:position w:val="0"/>
          <w:sz w:val="20"/>
          <w:shd w:fill="auto" w:val="clear"/>
        </w:rPr>
      </w:pPr>
    </w:p>
    <w:p>
      <w:pPr>
        <w:spacing w:before="0" w:after="0" w:line="240"/>
        <w:ind w:right="0" w:left="113" w:firstLine="0"/>
        <w:jc w:val="both"/>
        <w:rPr>
          <w:rFonts w:ascii="Arial" w:hAnsi="Arial" w:cs="Arial" w:eastAsia="Arial"/>
          <w:b/>
          <w:color w:val="auto"/>
          <w:spacing w:val="0"/>
          <w:position w:val="0"/>
          <w:sz w:val="20"/>
          <w:shd w:fill="auto" w:val="clear"/>
        </w:rPr>
      </w:pPr>
      <w:r>
        <w:rPr>
          <w:rFonts w:ascii="Arial" w:hAnsi="Arial" w:cs="Arial" w:eastAsia="Arial"/>
          <w:b/>
          <w:color w:val="auto"/>
          <w:spacing w:val="-2"/>
          <w:position w:val="0"/>
          <w:sz w:val="20"/>
          <w:shd w:fill="auto" w:val="clear"/>
        </w:rPr>
        <w:t xml:space="preserve">CONSIDERAÇÕES</w:t>
      </w:r>
      <w:r>
        <w:rPr>
          <w:rFonts w:ascii="Arial" w:hAnsi="Arial" w:cs="Arial" w:eastAsia="Arial"/>
          <w:b/>
          <w:color w:val="auto"/>
          <w:spacing w:val="9"/>
          <w:position w:val="0"/>
          <w:sz w:val="20"/>
          <w:shd w:fill="auto" w:val="clear"/>
        </w:rPr>
        <w:t xml:space="preserve"> </w:t>
      </w:r>
      <w:r>
        <w:rPr>
          <w:rFonts w:ascii="Arial" w:hAnsi="Arial" w:cs="Arial" w:eastAsia="Arial"/>
          <w:b/>
          <w:color w:val="auto"/>
          <w:spacing w:val="-2"/>
          <w:position w:val="0"/>
          <w:sz w:val="20"/>
          <w:shd w:fill="auto" w:val="clear"/>
        </w:rPr>
        <w:t xml:space="preserve">FINAIS</w:t>
      </w:r>
    </w:p>
    <w:p>
      <w:pPr>
        <w:spacing w:before="156" w:after="0" w:line="273"/>
        <w:ind w:right="118" w:left="113" w:firstLine="283"/>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20"/>
          <w:shd w:fill="auto" w:val="clear"/>
        </w:rPr>
        <w:t xml:space="preserve">Embora</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seja</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um</w:t>
      </w:r>
      <w:r>
        <w:rPr>
          <w:rFonts w:ascii="Arial MT" w:hAnsi="Arial MT" w:cs="Arial MT" w:eastAsia="Arial MT"/>
          <w:color w:val="auto"/>
          <w:spacing w:val="-5"/>
          <w:position w:val="0"/>
          <w:sz w:val="20"/>
          <w:shd w:fill="auto" w:val="clear"/>
        </w:rPr>
        <w:t xml:space="preserve"> </w:t>
      </w:r>
      <w:r>
        <w:rPr>
          <w:rFonts w:ascii="Arial MT" w:hAnsi="Arial MT" w:cs="Arial MT" w:eastAsia="Arial MT"/>
          <w:color w:val="auto"/>
          <w:spacing w:val="0"/>
          <w:position w:val="0"/>
          <w:sz w:val="20"/>
          <w:shd w:fill="auto" w:val="clear"/>
        </w:rPr>
        <w:t xml:space="preserve">achado</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anatômico</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que</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normalmente</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não</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gere</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sintomas,</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ponte</w:t>
      </w:r>
      <w:r>
        <w:rPr>
          <w:rFonts w:ascii="Arial MT" w:hAnsi="Arial MT" w:cs="Arial MT" w:eastAsia="Arial MT"/>
          <w:color w:val="auto"/>
          <w:spacing w:val="-6"/>
          <w:position w:val="0"/>
          <w:sz w:val="20"/>
          <w:shd w:fill="auto" w:val="clear"/>
        </w:rPr>
        <w:t xml:space="preserve"> </w:t>
      </w:r>
      <w:r>
        <w:rPr>
          <w:rFonts w:ascii="Arial MT" w:hAnsi="Arial MT" w:cs="Arial MT" w:eastAsia="Arial MT"/>
          <w:color w:val="auto"/>
          <w:spacing w:val="0"/>
          <w:position w:val="0"/>
          <w:sz w:val="20"/>
          <w:shd w:fill="auto" w:val="clear"/>
        </w:rPr>
        <w:t xml:space="preserve">miocárdica</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pode</w:t>
      </w:r>
      <w:r>
        <w:rPr>
          <w:rFonts w:ascii="Arial MT" w:hAnsi="Arial MT" w:cs="Arial MT" w:eastAsia="Arial MT"/>
          <w:color w:val="auto"/>
          <w:spacing w:val="-8"/>
          <w:position w:val="0"/>
          <w:sz w:val="20"/>
          <w:shd w:fill="auto" w:val="clear"/>
        </w:rPr>
        <w:t xml:space="preserve"> </w:t>
      </w:r>
      <w:r>
        <w:rPr>
          <w:rFonts w:ascii="Arial MT" w:hAnsi="Arial MT" w:cs="Arial MT" w:eastAsia="Arial MT"/>
          <w:color w:val="auto"/>
          <w:spacing w:val="0"/>
          <w:position w:val="0"/>
          <w:sz w:val="20"/>
          <w:shd w:fill="auto" w:val="clear"/>
        </w:rPr>
        <w:t xml:space="preserve">causar implicações, como: angina, aterosclerose, isquemia do miocárdio, entre outras. A PM permanece, portanto, um assunto controverso, mas é de suma importância para a cardiologia clínica e intervencionista. Nessa perspectiva,</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insuficiência</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dados</w:t>
      </w:r>
      <w:r>
        <w:rPr>
          <w:rFonts w:ascii="Arial MT" w:hAnsi="Arial MT" w:cs="Arial MT" w:eastAsia="Arial MT"/>
          <w:color w:val="auto"/>
          <w:spacing w:val="-10"/>
          <w:position w:val="0"/>
          <w:sz w:val="20"/>
          <w:shd w:fill="auto" w:val="clear"/>
        </w:rPr>
        <w:t xml:space="preserve"> </w:t>
      </w:r>
      <w:r>
        <w:rPr>
          <w:rFonts w:ascii="Arial MT" w:hAnsi="Arial MT" w:cs="Arial MT" w:eastAsia="Arial MT"/>
          <w:color w:val="auto"/>
          <w:spacing w:val="0"/>
          <w:position w:val="0"/>
          <w:sz w:val="20"/>
          <w:shd w:fill="auto" w:val="clear"/>
        </w:rPr>
        <w:t xml:space="preserve">impossibilita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2"/>
          <w:position w:val="0"/>
          <w:sz w:val="20"/>
          <w:shd w:fill="auto" w:val="clear"/>
        </w:rPr>
        <w:t xml:space="preserve"> </w:t>
      </w:r>
      <w:r>
        <w:rPr>
          <w:rFonts w:ascii="Arial MT" w:hAnsi="Arial MT" w:cs="Arial MT" w:eastAsia="Arial MT"/>
          <w:color w:val="auto"/>
          <w:spacing w:val="0"/>
          <w:position w:val="0"/>
          <w:sz w:val="20"/>
          <w:shd w:fill="auto" w:val="clear"/>
        </w:rPr>
        <w:t xml:space="preserve">tomada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de</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conclusões</w:t>
      </w:r>
      <w:r>
        <w:rPr>
          <w:rFonts w:ascii="Arial MT" w:hAnsi="Arial MT" w:cs="Arial MT" w:eastAsia="Arial MT"/>
          <w:color w:val="auto"/>
          <w:spacing w:val="-13"/>
          <w:position w:val="0"/>
          <w:sz w:val="20"/>
          <w:shd w:fill="auto" w:val="clear"/>
        </w:rPr>
        <w:t xml:space="preserve"> </w:t>
      </w:r>
      <w:r>
        <w:rPr>
          <w:rFonts w:ascii="Arial MT" w:hAnsi="Arial MT" w:cs="Arial MT" w:eastAsia="Arial MT"/>
          <w:color w:val="auto"/>
          <w:spacing w:val="0"/>
          <w:position w:val="0"/>
          <w:sz w:val="20"/>
          <w:shd w:fill="auto" w:val="clear"/>
        </w:rPr>
        <w:t xml:space="preserve">definitivas</w:t>
      </w:r>
      <w:r>
        <w:rPr>
          <w:rFonts w:ascii="Arial MT" w:hAnsi="Arial MT" w:cs="Arial MT" w:eastAsia="Arial MT"/>
          <w:color w:val="auto"/>
          <w:spacing w:val="-13"/>
          <w:position w:val="0"/>
          <w:sz w:val="20"/>
          <w:shd w:fill="auto" w:val="clear"/>
        </w:rPr>
        <w:t xml:space="preserve"> </w:t>
      </w:r>
      <w:r>
        <w:rPr>
          <w:rFonts w:ascii="Arial MT" w:hAnsi="Arial MT" w:cs="Arial MT" w:eastAsia="Arial MT"/>
          <w:color w:val="auto"/>
          <w:spacing w:val="0"/>
          <w:position w:val="0"/>
          <w:sz w:val="20"/>
          <w:shd w:fill="auto" w:val="clear"/>
        </w:rPr>
        <w:t xml:space="preserve">sobre</w:t>
      </w:r>
      <w:r>
        <w:rPr>
          <w:rFonts w:ascii="Arial MT" w:hAnsi="Arial MT" w:cs="Arial MT" w:eastAsia="Arial MT"/>
          <w:color w:val="auto"/>
          <w:spacing w:val="-11"/>
          <w:position w:val="0"/>
          <w:sz w:val="20"/>
          <w:shd w:fill="auto" w:val="clear"/>
        </w:rPr>
        <w:t xml:space="preserve"> </w:t>
      </w:r>
      <w:r>
        <w:rPr>
          <w:rFonts w:ascii="Arial MT" w:hAnsi="Arial MT" w:cs="Arial MT" w:eastAsia="Arial MT"/>
          <w:color w:val="auto"/>
          <w:spacing w:val="0"/>
          <w:position w:val="0"/>
          <w:sz w:val="20"/>
          <w:shd w:fill="auto" w:val="clear"/>
        </w:rPr>
        <w:t xml:space="preserve">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temática,</w:t>
      </w:r>
      <w:r>
        <w:rPr>
          <w:rFonts w:ascii="Arial MT" w:hAnsi="Arial MT" w:cs="Arial MT" w:eastAsia="Arial MT"/>
          <w:color w:val="auto"/>
          <w:spacing w:val="-14"/>
          <w:position w:val="0"/>
          <w:sz w:val="20"/>
          <w:shd w:fill="auto" w:val="clear"/>
        </w:rPr>
        <w:t xml:space="preserve"> </w:t>
      </w:r>
      <w:r>
        <w:rPr>
          <w:rFonts w:ascii="Arial MT" w:hAnsi="Arial MT" w:cs="Arial MT" w:eastAsia="Arial MT"/>
          <w:color w:val="auto"/>
          <w:spacing w:val="0"/>
          <w:position w:val="0"/>
          <w:sz w:val="20"/>
          <w:shd w:fill="auto" w:val="clear"/>
        </w:rPr>
        <w:t xml:space="preserve">sendo necessários estudos para a construção de uma propedêutica mais sistematizada em relação a ponte </w:t>
      </w:r>
      <w:r>
        <w:rPr>
          <w:rFonts w:ascii="Arial MT" w:hAnsi="Arial MT" w:cs="Arial MT" w:eastAsia="Arial MT"/>
          <w:color w:val="auto"/>
          <w:spacing w:val="-2"/>
          <w:position w:val="0"/>
          <w:sz w:val="20"/>
          <w:shd w:fill="auto" w:val="clear"/>
        </w:rPr>
        <w:t xml:space="preserve">miocárdica.</w:t>
      </w:r>
    </w:p>
    <w:p>
      <w:pPr>
        <w:spacing w:before="163" w:after="0" w:line="240"/>
        <w:ind w:right="0" w:left="0" w:firstLine="0"/>
        <w:jc w:val="left"/>
        <w:rPr>
          <w:rFonts w:ascii="Arial MT" w:hAnsi="Arial MT" w:cs="Arial MT" w:eastAsia="Arial MT"/>
          <w:color w:val="auto"/>
          <w:spacing w:val="0"/>
          <w:position w:val="0"/>
          <w:sz w:val="20"/>
          <w:shd w:fill="auto" w:val="clear"/>
        </w:rPr>
      </w:pPr>
    </w:p>
    <w:p>
      <w:pPr>
        <w:spacing w:before="0" w:after="0" w:line="240"/>
        <w:ind w:right="0" w:left="113" w:firstLine="0"/>
        <w:jc w:val="left"/>
        <w:rPr>
          <w:rFonts w:ascii="Arial" w:hAnsi="Arial" w:cs="Arial" w:eastAsia="Arial"/>
          <w:b/>
          <w:color w:val="auto"/>
          <w:spacing w:val="0"/>
          <w:position w:val="0"/>
          <w:sz w:val="20"/>
          <w:shd w:fill="auto" w:val="clear"/>
        </w:rPr>
      </w:pPr>
      <w:r>
        <w:rPr>
          <w:rFonts w:ascii="Arial" w:hAnsi="Arial" w:cs="Arial" w:eastAsia="Arial"/>
          <w:b/>
          <w:color w:val="auto"/>
          <w:spacing w:val="-2"/>
          <w:position w:val="0"/>
          <w:sz w:val="20"/>
          <w:shd w:fill="auto" w:val="clear"/>
        </w:rPr>
        <w:t xml:space="preserve">REFERÊNCIAS</w:t>
      </w:r>
    </w:p>
    <w:p>
      <w:pPr>
        <w:numPr>
          <w:ilvl w:val="0"/>
          <w:numId w:val="56"/>
        </w:numPr>
        <w:tabs>
          <w:tab w:val="left" w:pos="394" w:leader="none"/>
          <w:tab w:val="left" w:pos="396" w:leader="none"/>
        </w:tabs>
        <w:spacing w:before="144" w:after="0" w:line="276"/>
        <w:ind w:right="120" w:left="396" w:hanging="284"/>
        <w:jc w:val="both"/>
        <w:rPr>
          <w:rFonts w:ascii="Calibri" w:hAnsi="Calibri" w:cs="Calibri" w:eastAsia="Calibri"/>
          <w:color w:val="auto"/>
          <w:spacing w:val="0"/>
          <w:position w:val="0"/>
          <w:sz w:val="18"/>
          <w:shd w:fill="auto" w:val="clear"/>
        </w:rPr>
      </w:pPr>
      <w:r>
        <w:rPr>
          <w:rFonts w:ascii="Arial MT" w:hAnsi="Arial MT" w:cs="Arial MT" w:eastAsia="Arial MT"/>
          <w:color w:val="auto"/>
          <w:spacing w:val="0"/>
          <w:position w:val="0"/>
          <w:sz w:val="18"/>
          <w:shd w:fill="auto" w:val="clear"/>
        </w:rPr>
        <w:t xml:space="preserve">ACUNÃ L, et al. Descrição morfológica e implicações clínicas de pontes miocárdicas: um estudo anatômico em colombianos. Arquivos Brasileiros de Cardiologia, 2009; 92(4): 256</w:t>
      </w:r>
      <w:r>
        <w:rPr>
          <w:rFonts w:ascii="Calibri" w:hAnsi="Calibri" w:cs="Calibri" w:eastAsia="Calibri"/>
          <w:color w:val="auto"/>
          <w:spacing w:val="0"/>
          <w:position w:val="0"/>
          <w:sz w:val="18"/>
          <w:shd w:fill="auto" w:val="clear"/>
        </w:rPr>
        <w:t xml:space="preserve">–262.</w:t>
      </w:r>
    </w:p>
    <w:p>
      <w:pPr>
        <w:numPr>
          <w:ilvl w:val="0"/>
          <w:numId w:val="56"/>
        </w:numPr>
        <w:tabs>
          <w:tab w:val="left" w:pos="394" w:leader="none"/>
          <w:tab w:val="left" w:pos="396" w:leader="none"/>
        </w:tabs>
        <w:spacing w:before="0" w:after="0" w:line="273"/>
        <w:ind w:right="108" w:left="396" w:hanging="284"/>
        <w:jc w:val="both"/>
        <w:rPr>
          <w:rFonts w:ascii="Arial MT" w:hAnsi="Arial MT" w:cs="Arial MT" w:eastAsia="Arial MT"/>
          <w:color w:val="auto"/>
          <w:spacing w:val="0"/>
          <w:position w:val="0"/>
          <w:sz w:val="20"/>
          <w:shd w:fill="auto" w:val="clear"/>
        </w:rPr>
      </w:pPr>
      <w:r>
        <w:rPr>
          <w:rFonts w:ascii="Arial MT" w:hAnsi="Arial MT" w:cs="Arial MT" w:eastAsia="Arial MT"/>
          <w:color w:val="auto"/>
          <w:spacing w:val="0"/>
          <w:position w:val="0"/>
          <w:sz w:val="18"/>
          <w:shd w:fill="auto" w:val="clear"/>
        </w:rPr>
        <w:t xml:space="preserve">ATTILI A, et al. Echocardiography and angiotomography of coronary images of variations in coronary anatomy and coronary</w:t>
      </w:r>
      <w:r>
        <w:rPr>
          <w:rFonts w:ascii="Arial MT" w:hAnsi="Arial MT" w:cs="Arial MT" w:eastAsia="Arial MT"/>
          <w:color w:val="auto"/>
          <w:spacing w:val="-2"/>
          <w:position w:val="0"/>
          <w:sz w:val="18"/>
          <w:shd w:fill="auto" w:val="clear"/>
        </w:rPr>
        <w:t xml:space="preserve"> </w:t>
      </w:r>
      <w:r>
        <w:rPr>
          <w:rFonts w:ascii="Arial MT" w:hAnsi="Arial MT" w:cs="Arial MT" w:eastAsia="Arial MT"/>
          <w:color w:val="auto"/>
          <w:spacing w:val="0"/>
          <w:position w:val="0"/>
          <w:sz w:val="18"/>
          <w:shd w:fill="auto" w:val="clear"/>
        </w:rPr>
        <w:t xml:space="preserve">abnormalities in athletic children: detection of coronary abnormalities that create a risk of sudden death</w:t>
      </w:r>
      <w:r>
        <w:rPr>
          <w:rFonts w:ascii="Arial MT" w:hAnsi="Arial MT" w:cs="Arial MT" w:eastAsia="Arial MT"/>
          <w:color w:val="auto"/>
          <w:spacing w:val="-13"/>
          <w:position w:val="0"/>
          <w:sz w:val="18"/>
          <w:shd w:fill="auto" w:val="clear"/>
        </w:rPr>
        <w:t xml:space="preserve"> </w:t>
      </w:r>
      <w:r>
        <w:rPr>
          <w:rFonts w:ascii="Arial MT" w:hAnsi="Arial MT" w:cs="Arial MT" w:eastAsia="Arial MT"/>
          <w:color w:val="auto"/>
          <w:spacing w:val="0"/>
          <w:position w:val="0"/>
          <w:sz w:val="18"/>
          <w:shd w:fill="auto" w:val="clear"/>
        </w:rPr>
        <w:t xml:space="preserve">. Echocardiography, 2013; 30(2): 225</w:t>
      </w:r>
      <w:r>
        <w:rPr>
          <w:rFonts w:ascii="Arial MT" w:hAnsi="Arial MT" w:cs="Arial MT" w:eastAsia="Arial MT"/>
          <w:color w:val="auto"/>
          <w:spacing w:val="0"/>
          <w:position w:val="0"/>
          <w:sz w:val="18"/>
          <w:shd w:fill="auto" w:val="clear"/>
        </w:rPr>
        <w:t xml:space="preserve">–</w:t>
      </w:r>
      <w:r>
        <w:rPr>
          <w:rFonts w:ascii="Arial MT" w:hAnsi="Arial MT" w:cs="Arial MT" w:eastAsia="Arial MT"/>
          <w:color w:val="auto"/>
          <w:spacing w:val="0"/>
          <w:position w:val="0"/>
          <w:sz w:val="18"/>
          <w:shd w:fill="auto" w:val="clear"/>
        </w:rPr>
        <w:t xml:space="preserve">233.</w:t>
      </w:r>
    </w:p>
    <w:p>
      <w:pPr>
        <w:numPr>
          <w:ilvl w:val="0"/>
          <w:numId w:val="56"/>
        </w:numPr>
        <w:tabs>
          <w:tab w:val="left" w:pos="395" w:leader="none"/>
        </w:tabs>
        <w:spacing w:before="0" w:after="0" w:line="240"/>
        <w:ind w:right="0" w:left="395" w:hanging="282"/>
        <w:jc w:val="both"/>
        <w:rPr>
          <w:rFonts w:ascii="Arial MT" w:hAnsi="Arial MT" w:cs="Arial MT" w:eastAsia="Arial MT"/>
          <w:color w:val="auto"/>
          <w:spacing w:val="0"/>
          <w:position w:val="0"/>
          <w:sz w:val="18"/>
          <w:shd w:fill="auto" w:val="clear"/>
        </w:rPr>
      </w:pPr>
      <w:r>
        <w:rPr>
          <w:rFonts w:ascii="Arial MT" w:hAnsi="Arial MT" w:cs="Arial MT" w:eastAsia="Arial MT"/>
          <w:color w:val="auto"/>
          <w:spacing w:val="0"/>
          <w:position w:val="0"/>
          <w:sz w:val="18"/>
          <w:shd w:fill="auto" w:val="clear"/>
        </w:rPr>
        <w:t xml:space="preserve">BACHUR</w:t>
      </w:r>
      <w:r>
        <w:rPr>
          <w:rFonts w:ascii="Arial MT" w:hAnsi="Arial MT" w:cs="Arial MT" w:eastAsia="Arial MT"/>
          <w:color w:val="auto"/>
          <w:spacing w:val="-6"/>
          <w:position w:val="0"/>
          <w:sz w:val="18"/>
          <w:shd w:fill="auto" w:val="clear"/>
        </w:rPr>
        <w:t xml:space="preserve"> </w:t>
      </w:r>
      <w:r>
        <w:rPr>
          <w:rFonts w:ascii="Arial MT" w:hAnsi="Arial MT" w:cs="Arial MT" w:eastAsia="Arial MT"/>
          <w:color w:val="auto"/>
          <w:spacing w:val="0"/>
          <w:position w:val="0"/>
          <w:sz w:val="18"/>
          <w:shd w:fill="auto" w:val="clear"/>
        </w:rPr>
        <w:t xml:space="preserve">LF,</w:t>
      </w:r>
      <w:r>
        <w:rPr>
          <w:rFonts w:ascii="Arial MT" w:hAnsi="Arial MT" w:cs="Arial MT" w:eastAsia="Arial MT"/>
          <w:color w:val="auto"/>
          <w:spacing w:val="-5"/>
          <w:position w:val="0"/>
          <w:sz w:val="18"/>
          <w:shd w:fill="auto" w:val="clear"/>
        </w:rPr>
        <w:t xml:space="preserve"> </w:t>
      </w:r>
      <w:r>
        <w:rPr>
          <w:rFonts w:ascii="Arial MT" w:hAnsi="Arial MT" w:cs="Arial MT" w:eastAsia="Arial MT"/>
          <w:color w:val="auto"/>
          <w:spacing w:val="0"/>
          <w:position w:val="0"/>
          <w:sz w:val="18"/>
          <w:shd w:fill="auto" w:val="clear"/>
        </w:rPr>
        <w:t xml:space="preserve">et</w:t>
      </w:r>
      <w:r>
        <w:rPr>
          <w:rFonts w:ascii="Arial MT" w:hAnsi="Arial MT" w:cs="Arial MT" w:eastAsia="Arial MT"/>
          <w:color w:val="auto"/>
          <w:spacing w:val="-5"/>
          <w:position w:val="0"/>
          <w:sz w:val="18"/>
          <w:shd w:fill="auto" w:val="clear"/>
        </w:rPr>
        <w:t xml:space="preserve"> </w:t>
      </w:r>
      <w:r>
        <w:rPr>
          <w:rFonts w:ascii="Arial MT" w:hAnsi="Arial MT" w:cs="Arial MT" w:eastAsia="Arial MT"/>
          <w:color w:val="auto"/>
          <w:spacing w:val="0"/>
          <w:position w:val="0"/>
          <w:sz w:val="18"/>
          <w:shd w:fill="auto" w:val="clear"/>
        </w:rPr>
        <w:t xml:space="preserve">al.</w:t>
      </w:r>
      <w:r>
        <w:rPr>
          <w:rFonts w:ascii="Arial MT" w:hAnsi="Arial MT" w:cs="Arial MT" w:eastAsia="Arial MT"/>
          <w:color w:val="auto"/>
          <w:spacing w:val="-5"/>
          <w:position w:val="0"/>
          <w:sz w:val="18"/>
          <w:shd w:fill="auto" w:val="clear"/>
        </w:rPr>
        <w:t xml:space="preserve"> </w:t>
      </w:r>
      <w:r>
        <w:rPr>
          <w:rFonts w:ascii="Arial MT" w:hAnsi="Arial MT" w:cs="Arial MT" w:eastAsia="Arial MT"/>
          <w:color w:val="auto"/>
          <w:spacing w:val="0"/>
          <w:position w:val="0"/>
          <w:sz w:val="18"/>
          <w:shd w:fill="auto" w:val="clear"/>
        </w:rPr>
        <w:t xml:space="preserve">Correlação</w:t>
      </w:r>
      <w:r>
        <w:rPr>
          <w:rFonts w:ascii="Arial MT" w:hAnsi="Arial MT" w:cs="Arial MT" w:eastAsia="Arial MT"/>
          <w:color w:val="auto"/>
          <w:spacing w:val="-7"/>
          <w:position w:val="0"/>
          <w:sz w:val="18"/>
          <w:shd w:fill="auto" w:val="clear"/>
        </w:rPr>
        <w:t xml:space="preserve"> </w:t>
      </w:r>
      <w:r>
        <w:rPr>
          <w:rFonts w:ascii="Arial MT" w:hAnsi="Arial MT" w:cs="Arial MT" w:eastAsia="Arial MT"/>
          <w:color w:val="auto"/>
          <w:spacing w:val="0"/>
          <w:position w:val="0"/>
          <w:sz w:val="18"/>
          <w:shd w:fill="auto" w:val="clear"/>
        </w:rPr>
        <w:t xml:space="preserve">Anatomoclínica,</w:t>
      </w:r>
      <w:r>
        <w:rPr>
          <w:rFonts w:ascii="Arial MT" w:hAnsi="Arial MT" w:cs="Arial MT" w:eastAsia="Arial MT"/>
          <w:color w:val="auto"/>
          <w:spacing w:val="-5"/>
          <w:position w:val="0"/>
          <w:sz w:val="18"/>
          <w:shd w:fill="auto" w:val="clear"/>
        </w:rPr>
        <w:t xml:space="preserve"> </w:t>
      </w:r>
      <w:r>
        <w:rPr>
          <w:rFonts w:ascii="Arial MT" w:hAnsi="Arial MT" w:cs="Arial MT" w:eastAsia="Arial MT"/>
          <w:color w:val="auto"/>
          <w:spacing w:val="0"/>
          <w:position w:val="0"/>
          <w:sz w:val="18"/>
          <w:shd w:fill="auto" w:val="clear"/>
        </w:rPr>
        <w:t xml:space="preserve">2003;</w:t>
      </w:r>
      <w:r>
        <w:rPr>
          <w:rFonts w:ascii="Arial MT" w:hAnsi="Arial MT" w:cs="Arial MT" w:eastAsia="Arial MT"/>
          <w:color w:val="auto"/>
          <w:spacing w:val="-5"/>
          <w:position w:val="0"/>
          <w:sz w:val="18"/>
          <w:shd w:fill="auto" w:val="clear"/>
        </w:rPr>
        <w:t xml:space="preserve"> </w:t>
      </w:r>
      <w:r>
        <w:rPr>
          <w:rFonts w:ascii="Arial MT" w:hAnsi="Arial MT" w:cs="Arial MT" w:eastAsia="Arial MT"/>
          <w:color w:val="auto"/>
          <w:spacing w:val="-2"/>
          <w:position w:val="0"/>
          <w:sz w:val="18"/>
          <w:shd w:fill="auto" w:val="clear"/>
        </w:rPr>
        <w:t xml:space="preserve">81(6).</w:t>
      </w:r>
    </w:p>
    <w:p>
      <w:pPr>
        <w:numPr>
          <w:ilvl w:val="0"/>
          <w:numId w:val="56"/>
        </w:numPr>
        <w:tabs>
          <w:tab w:val="left" w:pos="394" w:leader="none"/>
          <w:tab w:val="left" w:pos="396" w:leader="none"/>
        </w:tabs>
        <w:spacing w:before="30" w:after="0" w:line="276"/>
        <w:ind w:right="110" w:left="396" w:hanging="284"/>
        <w:jc w:val="both"/>
        <w:rPr>
          <w:rFonts w:ascii="Calibri" w:hAnsi="Calibri" w:cs="Calibri" w:eastAsia="Calibri"/>
          <w:color w:val="auto"/>
          <w:spacing w:val="0"/>
          <w:position w:val="0"/>
          <w:sz w:val="18"/>
          <w:shd w:fill="auto" w:val="clear"/>
        </w:rPr>
      </w:pPr>
      <w:r>
        <w:rPr>
          <w:rFonts w:ascii="Arial MT" w:hAnsi="Arial MT" w:cs="Arial MT" w:eastAsia="Arial MT"/>
          <w:color w:val="auto"/>
          <w:spacing w:val="0"/>
          <w:position w:val="0"/>
          <w:sz w:val="18"/>
          <w:shd w:fill="auto" w:val="clear"/>
        </w:rPr>
        <w:t xml:space="preserve">BARROS MV, et al. Avaliação da ponte miocárdica pela angiotomografia das coronárias. Rev. bras. ecocardiogr. imagem cardiovasc, 2013; 26(1): 8</w:t>
      </w:r>
      <w:r>
        <w:rPr>
          <w:rFonts w:ascii="Calibri" w:hAnsi="Calibri" w:cs="Calibri" w:eastAsia="Calibri"/>
          <w:color w:val="auto"/>
          <w:spacing w:val="0"/>
          <w:position w:val="0"/>
          <w:sz w:val="18"/>
          <w:shd w:fill="auto" w:val="clear"/>
        </w:rPr>
        <w:t xml:space="preserve">–15.</w:t>
      </w:r>
    </w:p>
    <w:p>
      <w:pPr>
        <w:numPr>
          <w:ilvl w:val="0"/>
          <w:numId w:val="56"/>
        </w:numPr>
        <w:tabs>
          <w:tab w:val="left" w:pos="394" w:leader="none"/>
          <w:tab w:val="left" w:pos="396" w:leader="none"/>
        </w:tabs>
        <w:spacing w:before="0" w:after="0" w:line="276"/>
        <w:ind w:right="118" w:left="396" w:hanging="284"/>
        <w:jc w:val="both"/>
        <w:rPr>
          <w:rFonts w:ascii="Calibri" w:hAnsi="Calibri" w:cs="Calibri" w:eastAsia="Calibri"/>
          <w:color w:val="auto"/>
          <w:spacing w:val="0"/>
          <w:position w:val="0"/>
          <w:sz w:val="18"/>
          <w:shd w:fill="auto" w:val="clear"/>
        </w:rPr>
      </w:pPr>
      <w:r>
        <w:rPr>
          <w:rFonts w:ascii="Arial MT" w:hAnsi="Arial MT" w:cs="Arial MT" w:eastAsia="Arial MT"/>
          <w:color w:val="auto"/>
          <w:spacing w:val="0"/>
          <w:position w:val="0"/>
          <w:sz w:val="18"/>
          <w:shd w:fill="auto" w:val="clear"/>
        </w:rPr>
        <w:t xml:space="preserve">BASSO C, et al. Myocardial bridging, a frequent component of the hypertrophic cardiomyopathy phenotype, lacks systematic association with sudden cardiac death. Eur Heart J, 2009; 30: 1627</w:t>
      </w:r>
      <w:r>
        <w:rPr>
          <w:rFonts w:ascii="Calibri" w:hAnsi="Calibri" w:cs="Calibri" w:eastAsia="Calibri"/>
          <w:color w:val="auto"/>
          <w:spacing w:val="0"/>
          <w:position w:val="0"/>
          <w:sz w:val="18"/>
          <w:shd w:fill="auto" w:val="clear"/>
        </w:rPr>
        <w:t xml:space="preserve">–1634.</w:t>
      </w:r>
    </w:p>
    <w:p>
      <w:pPr>
        <w:numPr>
          <w:ilvl w:val="0"/>
          <w:numId w:val="56"/>
        </w:numPr>
        <w:tabs>
          <w:tab w:val="left" w:pos="394" w:leader="none"/>
          <w:tab w:val="left" w:pos="396" w:leader="none"/>
        </w:tabs>
        <w:spacing w:before="0" w:after="0" w:line="278"/>
        <w:ind w:right="110" w:left="396" w:hanging="284"/>
        <w:jc w:val="both"/>
        <w:rPr>
          <w:rFonts w:ascii="Calibri" w:hAnsi="Calibri" w:cs="Calibri" w:eastAsia="Calibri"/>
          <w:color w:val="auto"/>
          <w:spacing w:val="0"/>
          <w:position w:val="0"/>
          <w:sz w:val="18"/>
          <w:shd w:fill="auto" w:val="clear"/>
        </w:rPr>
      </w:pPr>
      <w:r>
        <w:rPr>
          <w:rFonts w:ascii="Arial MT" w:hAnsi="Arial MT" w:cs="Arial MT" w:eastAsia="Arial MT"/>
          <w:color w:val="auto"/>
          <w:spacing w:val="0"/>
          <w:position w:val="0"/>
          <w:sz w:val="18"/>
          <w:shd w:fill="auto" w:val="clear"/>
        </w:rPr>
        <w:t xml:space="preserve">DE GIORGIO F, et al. Myocardial bridging and sudden cardiac death: Is the actual classification exhaustive? International Journal of Cardiology, 2014; 172(3): 2013</w:t>
      </w:r>
      <w:r>
        <w:rPr>
          <w:rFonts w:ascii="Calibri" w:hAnsi="Calibri" w:cs="Calibri" w:eastAsia="Calibri"/>
          <w:color w:val="auto"/>
          <w:spacing w:val="0"/>
          <w:position w:val="0"/>
          <w:sz w:val="18"/>
          <w:shd w:fill="auto" w:val="clear"/>
        </w:rPr>
        <w:t xml:space="preserve">–2014.</w:t>
      </w:r>
    </w:p>
    <w:p>
      <w:pPr>
        <w:numPr>
          <w:ilvl w:val="0"/>
          <w:numId w:val="56"/>
        </w:numPr>
        <w:tabs>
          <w:tab w:val="left" w:pos="394" w:leader="none"/>
          <w:tab w:val="left" w:pos="396" w:leader="none"/>
        </w:tabs>
        <w:spacing w:before="0" w:after="0" w:line="276"/>
        <w:ind w:right="117" w:left="396" w:hanging="284"/>
        <w:jc w:val="both"/>
        <w:rPr>
          <w:rFonts w:ascii="Calibri" w:hAnsi="Calibri" w:cs="Calibri" w:eastAsia="Calibri"/>
          <w:color w:val="auto"/>
          <w:spacing w:val="0"/>
          <w:position w:val="0"/>
          <w:sz w:val="18"/>
          <w:shd w:fill="auto" w:val="clear"/>
        </w:rPr>
      </w:pPr>
      <w:r>
        <w:rPr>
          <w:rFonts w:ascii="Arial MT" w:hAnsi="Arial MT" w:cs="Arial MT" w:eastAsia="Arial MT"/>
          <w:color w:val="auto"/>
          <w:spacing w:val="0"/>
          <w:position w:val="0"/>
          <w:sz w:val="18"/>
          <w:shd w:fill="auto" w:val="clear"/>
        </w:rPr>
        <w:t xml:space="preserve">DOS SANTOS KER W, et al. Myocardial bridge and angiotomography of the coronary arteries: Perfusion under pharmacological stress. Arquivos Brasileiros de Cardiologia, 2017; 108(6): 572</w:t>
      </w:r>
      <w:r>
        <w:rPr>
          <w:rFonts w:ascii="Calibri" w:hAnsi="Calibri" w:cs="Calibri" w:eastAsia="Calibri"/>
          <w:color w:val="auto"/>
          <w:spacing w:val="0"/>
          <w:position w:val="0"/>
          <w:sz w:val="18"/>
          <w:shd w:fill="auto" w:val="clear"/>
        </w:rPr>
        <w:t xml:space="preserve">–575.</w:t>
      </w:r>
    </w:p>
    <w:p>
      <w:pPr>
        <w:numPr>
          <w:ilvl w:val="0"/>
          <w:numId w:val="56"/>
        </w:numPr>
        <w:tabs>
          <w:tab w:val="left" w:pos="394" w:leader="none"/>
          <w:tab w:val="left" w:pos="396" w:leader="none"/>
        </w:tabs>
        <w:spacing w:before="0" w:after="0" w:line="276"/>
        <w:ind w:right="114" w:left="396" w:hanging="284"/>
        <w:jc w:val="both"/>
        <w:rPr>
          <w:rFonts w:ascii="Arial MT" w:hAnsi="Arial MT" w:cs="Arial MT" w:eastAsia="Arial MT"/>
          <w:color w:val="auto"/>
          <w:spacing w:val="0"/>
          <w:position w:val="0"/>
          <w:sz w:val="18"/>
          <w:shd w:fill="auto" w:val="clear"/>
        </w:rPr>
      </w:pPr>
      <w:r>
        <w:rPr>
          <w:rFonts w:ascii="Arial MT" w:hAnsi="Arial MT" w:cs="Arial MT" w:eastAsia="Arial MT"/>
          <w:color w:val="auto"/>
          <w:spacing w:val="0"/>
          <w:position w:val="0"/>
          <w:sz w:val="18"/>
          <w:shd w:fill="auto" w:val="clear"/>
        </w:rPr>
        <w:t xml:space="preserve">ENHOS A, et al. Assessment of the relationship between monocyte to high-density lipoprotein ratio and myocardial bridge. Arquivos Brasileiros de Cardiologia, 2019; 112(1): 12-17.</w:t>
      </w:r>
    </w:p>
    <w:p>
      <w:pPr>
        <w:numPr>
          <w:ilvl w:val="0"/>
          <w:numId w:val="56"/>
        </w:numPr>
        <w:tabs>
          <w:tab w:val="left" w:pos="394" w:leader="none"/>
          <w:tab w:val="left" w:pos="396" w:leader="none"/>
        </w:tabs>
        <w:spacing w:before="0" w:after="0" w:line="276"/>
        <w:ind w:right="108" w:left="396" w:hanging="284"/>
        <w:jc w:val="both"/>
        <w:rPr>
          <w:rFonts w:ascii="Arial MT" w:hAnsi="Arial MT" w:cs="Arial MT" w:eastAsia="Arial MT"/>
          <w:color w:val="auto"/>
          <w:spacing w:val="0"/>
          <w:position w:val="0"/>
          <w:sz w:val="18"/>
          <w:shd w:fill="auto" w:val="clear"/>
        </w:rPr>
      </w:pPr>
      <w:r>
        <w:rPr>
          <w:rFonts w:ascii="Arial MT" w:hAnsi="Arial MT" w:cs="Arial MT" w:eastAsia="Arial MT"/>
          <w:color w:val="auto"/>
          <w:spacing w:val="0"/>
          <w:position w:val="0"/>
          <w:sz w:val="18"/>
          <w:shd w:fill="auto" w:val="clear"/>
        </w:rPr>
        <w:t xml:space="preserve">ESTEVES V, et al. Infarto agudo do miocárdio associado a ponte miocárdica. Rev. Bras. Cardiol., 2010; 18(4): 468- </w:t>
      </w:r>
      <w:r>
        <w:rPr>
          <w:rFonts w:ascii="Arial MT" w:hAnsi="Arial MT" w:cs="Arial MT" w:eastAsia="Arial MT"/>
          <w:color w:val="auto"/>
          <w:spacing w:val="-4"/>
          <w:position w:val="0"/>
          <w:sz w:val="18"/>
          <w:shd w:fill="auto" w:val="clear"/>
        </w:rPr>
        <w:t xml:space="preserve">472.</w:t>
      </w:r>
    </w:p>
    <w:p>
      <w:pPr>
        <w:numPr>
          <w:ilvl w:val="0"/>
          <w:numId w:val="56"/>
        </w:numPr>
        <w:tabs>
          <w:tab w:val="left" w:pos="394" w:leader="none"/>
          <w:tab w:val="left" w:pos="396" w:leader="none"/>
        </w:tabs>
        <w:spacing w:before="0" w:after="0" w:line="276"/>
        <w:ind w:right="108" w:left="396" w:hanging="284"/>
        <w:jc w:val="both"/>
        <w:rPr>
          <w:rFonts w:ascii="Arial MT" w:hAnsi="Arial MT" w:cs="Arial MT" w:eastAsia="Arial MT"/>
          <w:color w:val="auto"/>
          <w:spacing w:val="0"/>
          <w:position w:val="0"/>
          <w:sz w:val="1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5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