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CCA06" w14:textId="77777777" w:rsidR="009B4014" w:rsidRDefault="00E64BAF">
      <w:r>
        <w:rPr>
          <w:noProof/>
          <w:lang w:eastAsia="pt-BR"/>
        </w:rPr>
        <w:drawing>
          <wp:inline distT="0" distB="0" distL="0" distR="0" wp14:anchorId="5CFF94FF" wp14:editId="5403ECC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01AF2253" w14:textId="4B6371A8" w:rsidR="00342DF4" w:rsidRDefault="00D76CCE" w:rsidP="00342DF4">
      <w:pPr>
        <w:spacing w:after="0" w:line="240" w:lineRule="auto"/>
        <w:jc w:val="center"/>
        <w:rPr>
          <w:rFonts w:ascii="Times New Roman" w:eastAsia="Times New Roman" w:hAnsi="Times New Roman" w:cs="Times New Roman"/>
          <w:b/>
          <w:bCs/>
          <w:sz w:val="24"/>
          <w:szCs w:val="24"/>
          <w:lang w:eastAsia="pt-BR"/>
        </w:rPr>
      </w:pPr>
      <w:r w:rsidRPr="00D76CCE">
        <w:rPr>
          <w:rFonts w:ascii="Times New Roman" w:eastAsia="Times New Roman" w:hAnsi="Times New Roman" w:cs="Times New Roman"/>
          <w:b/>
          <w:bCs/>
          <w:sz w:val="24"/>
          <w:szCs w:val="24"/>
          <w:lang w:eastAsia="pt-BR"/>
        </w:rPr>
        <w:t>LUTO, LIKES E DOPAMINA: IMPLICAÇÕES DO LUTO DIGITAL NA PANDEMIA PARA A FORMAÇÃO DOCENTE INCLUSIVA</w:t>
      </w:r>
      <w:r w:rsidR="00342DF4">
        <w:rPr>
          <w:rFonts w:ascii="Times New Roman" w:eastAsia="Times New Roman" w:hAnsi="Times New Roman" w:cs="Times New Roman"/>
          <w:b/>
          <w:bCs/>
          <w:sz w:val="24"/>
          <w:szCs w:val="24"/>
          <w:lang w:eastAsia="pt-BR"/>
        </w:rPr>
        <w:t xml:space="preserve"> </w:t>
      </w:r>
    </w:p>
    <w:p w14:paraId="36C46AF9" w14:textId="77777777" w:rsidR="00342DF4" w:rsidRDefault="00342DF4" w:rsidP="00342DF4">
      <w:pPr>
        <w:spacing w:after="0" w:line="240" w:lineRule="auto"/>
        <w:jc w:val="right"/>
        <w:rPr>
          <w:rFonts w:ascii="Times New Roman" w:eastAsia="Times New Roman" w:hAnsi="Times New Roman" w:cs="Times New Roman"/>
          <w:bCs/>
          <w:sz w:val="24"/>
          <w:szCs w:val="24"/>
          <w:lang w:eastAsia="pt-BR"/>
        </w:rPr>
      </w:pPr>
    </w:p>
    <w:p w14:paraId="28489B5E" w14:textId="58A5B87D" w:rsidR="00342DF4" w:rsidRDefault="00D76CCE"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Roberto Harrysson Braga Tolentino</w:t>
      </w:r>
    </w:p>
    <w:p w14:paraId="047D2584" w14:textId="0ED48D23" w:rsidR="00342DF4" w:rsidRDefault="00D76CCE"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UVIGO- Universidade de Vigo/Espanha</w:t>
      </w:r>
    </w:p>
    <w:p w14:paraId="5014ED8D" w14:textId="787E50EF" w:rsidR="00342DF4" w:rsidRDefault="00000000" w:rsidP="00342DF4">
      <w:pPr>
        <w:spacing w:after="0" w:line="240" w:lineRule="auto"/>
        <w:jc w:val="right"/>
        <w:rPr>
          <w:rFonts w:ascii="Times New Roman" w:eastAsia="Times New Roman" w:hAnsi="Times New Roman" w:cs="Times New Roman"/>
          <w:sz w:val="24"/>
          <w:szCs w:val="24"/>
          <w:lang w:eastAsia="pt-BR"/>
        </w:rPr>
      </w:pPr>
      <w:hyperlink r:id="rId5" w:history="1">
        <w:r w:rsidR="002F40AA" w:rsidRPr="00031E49">
          <w:rPr>
            <w:rStyle w:val="Hiperligao"/>
            <w:rFonts w:ascii="Times New Roman" w:eastAsia="Times New Roman" w:hAnsi="Times New Roman" w:cs="Times New Roman"/>
            <w:sz w:val="24"/>
            <w:szCs w:val="24"/>
            <w:lang w:eastAsia="pt-BR"/>
          </w:rPr>
          <w:t>rbtolentino@gmail.com</w:t>
        </w:r>
      </w:hyperlink>
    </w:p>
    <w:p w14:paraId="2AD03C75" w14:textId="77777777" w:rsidR="002F40AA" w:rsidRDefault="002F40AA" w:rsidP="00342DF4">
      <w:pPr>
        <w:spacing w:after="0" w:line="240" w:lineRule="auto"/>
        <w:jc w:val="right"/>
        <w:rPr>
          <w:rFonts w:ascii="Times New Roman" w:eastAsia="Times New Roman" w:hAnsi="Times New Roman" w:cs="Times New Roman"/>
          <w:sz w:val="24"/>
          <w:szCs w:val="24"/>
          <w:lang w:eastAsia="pt-BR"/>
        </w:rPr>
      </w:pPr>
    </w:p>
    <w:p w14:paraId="4DEA27B1" w14:textId="04E8559E" w:rsidR="00342DF4" w:rsidRDefault="00D76CCE"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Elmara Verneque Durães Tolentino</w:t>
      </w:r>
    </w:p>
    <w:p w14:paraId="2B01999A" w14:textId="4562FDD9" w:rsidR="00342DF4" w:rsidRDefault="00FE70A4"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UNEB- Universidade do Estado da Bahia</w:t>
      </w:r>
    </w:p>
    <w:p w14:paraId="776E7CC9" w14:textId="59A9235A" w:rsidR="00342DF4" w:rsidRDefault="00000000" w:rsidP="00342DF4">
      <w:pPr>
        <w:spacing w:after="0" w:line="240" w:lineRule="auto"/>
        <w:jc w:val="right"/>
        <w:rPr>
          <w:rFonts w:ascii="Times New Roman" w:eastAsia="Times New Roman" w:hAnsi="Times New Roman" w:cs="Times New Roman"/>
          <w:sz w:val="24"/>
          <w:szCs w:val="24"/>
          <w:lang w:eastAsia="pt-BR"/>
        </w:rPr>
      </w:pPr>
      <w:hyperlink r:id="rId6" w:history="1">
        <w:r w:rsidR="002F40AA" w:rsidRPr="00031E49">
          <w:rPr>
            <w:rStyle w:val="Hiperligao"/>
            <w:rFonts w:ascii="Times New Roman" w:eastAsia="Times New Roman" w:hAnsi="Times New Roman" w:cs="Times New Roman"/>
            <w:sz w:val="24"/>
            <w:szCs w:val="24"/>
            <w:lang w:eastAsia="pt-BR"/>
          </w:rPr>
          <w:t>elmaraverneque@gmail.com</w:t>
        </w:r>
      </w:hyperlink>
    </w:p>
    <w:p w14:paraId="4A4F4705" w14:textId="77777777" w:rsidR="002F40AA" w:rsidRDefault="002F40AA" w:rsidP="00342DF4">
      <w:pPr>
        <w:spacing w:after="0" w:line="240" w:lineRule="auto"/>
        <w:jc w:val="right"/>
        <w:rPr>
          <w:rFonts w:ascii="Times New Roman" w:eastAsia="Times New Roman" w:hAnsi="Times New Roman" w:cs="Times New Roman"/>
          <w:sz w:val="24"/>
          <w:szCs w:val="24"/>
          <w:lang w:eastAsia="pt-BR"/>
        </w:rPr>
      </w:pPr>
    </w:p>
    <w:p w14:paraId="64B63509" w14:textId="2966DDDB" w:rsidR="00342DF4" w:rsidRDefault="00B27229" w:rsidP="00342DF4">
      <w:pPr>
        <w:spacing w:after="0" w:line="240" w:lineRule="auto"/>
        <w:jc w:val="right"/>
        <w:rPr>
          <w:rFonts w:ascii="Times New Roman" w:eastAsia="Times New Roman" w:hAnsi="Times New Roman" w:cs="Times New Roman"/>
          <w:b/>
          <w:bCs/>
          <w:sz w:val="24"/>
          <w:szCs w:val="24"/>
          <w:lang w:eastAsia="pt-BR"/>
        </w:rPr>
      </w:pPr>
      <w:r w:rsidRPr="00B27229">
        <w:rPr>
          <w:rFonts w:ascii="Times New Roman" w:eastAsia="Times New Roman" w:hAnsi="Times New Roman" w:cs="Times New Roman"/>
          <w:b/>
          <w:bCs/>
          <w:sz w:val="24"/>
          <w:szCs w:val="24"/>
          <w:lang w:eastAsia="pt-BR"/>
        </w:rPr>
        <w:t>Eixo 1 – Educação Inclusiva, Acessibilidade e Tecnologias Assistivas</w:t>
      </w:r>
    </w:p>
    <w:p w14:paraId="3D1D8A96" w14:textId="53C790B8" w:rsidR="00342DF4" w:rsidRDefault="006D36CB" w:rsidP="00342DF4">
      <w:pPr>
        <w:spacing w:after="0" w:line="240" w:lineRule="auto"/>
        <w:jc w:val="right"/>
        <w:rPr>
          <w:rFonts w:ascii="Times New Roman" w:eastAsia="Times New Roman" w:hAnsi="Times New Roman" w:cs="Times New Roman"/>
          <w:b/>
          <w:sz w:val="24"/>
          <w:szCs w:val="24"/>
          <w:lang w:eastAsia="pt-BR"/>
        </w:rPr>
      </w:pPr>
      <w:r w:rsidRPr="006D36CB">
        <w:rPr>
          <w:rFonts w:ascii="Times New Roman" w:eastAsia="Times New Roman" w:hAnsi="Times New Roman" w:cs="Times New Roman"/>
          <w:b/>
          <w:sz w:val="24"/>
          <w:szCs w:val="24"/>
          <w:lang w:eastAsia="pt-BR"/>
        </w:rPr>
        <w:t>Luto Digital</w:t>
      </w:r>
      <w:r>
        <w:rPr>
          <w:rFonts w:ascii="Times New Roman" w:eastAsia="Times New Roman" w:hAnsi="Times New Roman" w:cs="Times New Roman"/>
          <w:b/>
          <w:sz w:val="24"/>
          <w:szCs w:val="24"/>
          <w:lang w:eastAsia="pt-BR"/>
        </w:rPr>
        <w:t xml:space="preserve">; </w:t>
      </w:r>
      <w:r w:rsidR="00B27229">
        <w:rPr>
          <w:rFonts w:ascii="Times New Roman" w:eastAsia="Times New Roman" w:hAnsi="Times New Roman" w:cs="Times New Roman"/>
          <w:b/>
          <w:sz w:val="24"/>
          <w:szCs w:val="24"/>
          <w:lang w:eastAsia="pt-BR"/>
        </w:rPr>
        <w:t>Pandemia</w:t>
      </w:r>
      <w:r>
        <w:rPr>
          <w:rFonts w:ascii="Times New Roman" w:eastAsia="Times New Roman" w:hAnsi="Times New Roman" w:cs="Times New Roman"/>
          <w:b/>
          <w:sz w:val="24"/>
          <w:szCs w:val="24"/>
          <w:lang w:eastAsia="pt-BR"/>
        </w:rPr>
        <w:t>;</w:t>
      </w:r>
      <w:r w:rsidR="00B27229">
        <w:rPr>
          <w:rFonts w:ascii="Times New Roman" w:eastAsia="Times New Roman" w:hAnsi="Times New Roman" w:cs="Times New Roman"/>
          <w:b/>
          <w:sz w:val="24"/>
          <w:szCs w:val="24"/>
          <w:lang w:eastAsia="pt-BR"/>
        </w:rPr>
        <w:t xml:space="preserve"> Educação;</w:t>
      </w:r>
      <w:r>
        <w:t xml:space="preserve"> </w:t>
      </w:r>
      <w:r w:rsidRPr="006D36CB">
        <w:rPr>
          <w:rFonts w:ascii="Times New Roman" w:eastAsia="Times New Roman" w:hAnsi="Times New Roman" w:cs="Times New Roman"/>
          <w:b/>
          <w:sz w:val="24"/>
          <w:szCs w:val="24"/>
          <w:lang w:eastAsia="pt-BR"/>
        </w:rPr>
        <w:t>Formação Docente Inclusiva</w:t>
      </w:r>
      <w:r>
        <w:rPr>
          <w:rFonts w:ascii="Times New Roman" w:eastAsia="Times New Roman" w:hAnsi="Times New Roman" w:cs="Times New Roman"/>
          <w:b/>
          <w:sz w:val="24"/>
          <w:szCs w:val="24"/>
          <w:lang w:eastAsia="pt-BR"/>
        </w:rPr>
        <w:t xml:space="preserve">; </w:t>
      </w:r>
      <w:r w:rsidRPr="006D36CB">
        <w:rPr>
          <w:rFonts w:ascii="Times New Roman" w:eastAsia="Times New Roman" w:hAnsi="Times New Roman" w:cs="Times New Roman"/>
          <w:b/>
          <w:sz w:val="24"/>
          <w:szCs w:val="24"/>
          <w:lang w:eastAsia="pt-BR"/>
        </w:rPr>
        <w:t>Dopamina</w:t>
      </w:r>
    </w:p>
    <w:p w14:paraId="315A810C" w14:textId="77777777" w:rsidR="00342DF4" w:rsidRDefault="00342DF4"/>
    <w:p w14:paraId="5513C041" w14:textId="77777777"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Introdução</w:t>
      </w:r>
    </w:p>
    <w:p w14:paraId="6646EF17" w14:textId="0A96EA8B" w:rsidR="00292396" w:rsidRPr="002F40AA" w:rsidRDefault="00292396" w:rsidP="002F40AA">
      <w:pPr>
        <w:jc w:val="both"/>
        <w:rPr>
          <w:rFonts w:ascii="Times New Roman" w:eastAsia="Times New Roman" w:hAnsi="Times New Roman" w:cs="Times New Roman"/>
          <w:b/>
          <w:sz w:val="24"/>
          <w:szCs w:val="24"/>
          <w:lang w:eastAsia="pt-BR"/>
        </w:rPr>
      </w:pPr>
      <w:r w:rsidRPr="002F40AA">
        <w:rPr>
          <w:rFonts w:ascii="Times New Roman" w:hAnsi="Times New Roman" w:cs="Times New Roman"/>
          <w:sz w:val="24"/>
          <w:szCs w:val="24"/>
        </w:rPr>
        <w:t>Durante a pandemia de COVID-19, as redes sociais tornaram-se espaço de expressão do luto, permitindo partilhar dor e buscar consolo em ambientes projetados para maximizar o engajamento por curtidas e comentários. Este trabalho parte da análise de estudo sobre o comportamento de pessoas enlutadas em ambientes virtuais e tem como objetivo compreender como os ciclos de dopamina moldam a busca por validação social, refletindo sobre as implicações desse fenômeno no processo de aprendizagem e na formação docente inclusiva.</w:t>
      </w:r>
    </w:p>
    <w:p w14:paraId="70EA2D2F" w14:textId="77777777"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Fundamentos Teóricos</w:t>
      </w:r>
    </w:p>
    <w:p w14:paraId="533807BC" w14:textId="41CFE43F" w:rsidR="002F40AA" w:rsidRDefault="00292396" w:rsidP="002F40AA">
      <w:pPr>
        <w:jc w:val="both"/>
        <w:rPr>
          <w:rFonts w:ascii="Times New Roman" w:hAnsi="Times New Roman" w:cs="Times New Roman"/>
          <w:sz w:val="24"/>
          <w:szCs w:val="24"/>
        </w:rPr>
      </w:pPr>
      <w:r w:rsidRPr="002F40AA">
        <w:rPr>
          <w:rFonts w:ascii="Times New Roman" w:hAnsi="Times New Roman" w:cs="Times New Roman"/>
          <w:sz w:val="24"/>
          <w:szCs w:val="24"/>
        </w:rPr>
        <w:t xml:space="preserve">Os estudos do luto articulados nesta pesquisa tenta alcançar a possível convergência entre a neurociência do sistema de recompensa e a sociologia digital. Tendo como referência um estudo já publicado que trata da expressão do luto em mídias digitais; e analisando o mesmo corpus, concluiu-se que, durante a pandemia, "coube aos espaços virtuais dar guarida às lagrimas e apelos daqueles que expiaram essa dor da perda" (Tolentino; Tolentino, 2024, p. 151). A partir dessa constatação, a presente análise avança ao investigar o substrato neuroquímico que torna esse acolhimento virtual tão potente. A dopamina, neurotransmissor central no circuito de recompensa, é ativada por estímulos de validação social — a exemplo a busca de "likes" e comentários — gerando reforço positivo (Alter, 2017). De acordo com o estudo de Tolentino </w:t>
      </w:r>
      <w:r w:rsidR="00850BC3">
        <w:rPr>
          <w:rFonts w:ascii="Times New Roman" w:hAnsi="Times New Roman" w:cs="Times New Roman"/>
          <w:sz w:val="24"/>
          <w:szCs w:val="24"/>
        </w:rPr>
        <w:t>e</w:t>
      </w:r>
      <w:r w:rsidRPr="002F40AA">
        <w:rPr>
          <w:rFonts w:ascii="Times New Roman" w:hAnsi="Times New Roman" w:cs="Times New Roman"/>
          <w:sz w:val="24"/>
          <w:szCs w:val="24"/>
        </w:rPr>
        <w:t xml:space="preserve"> Tolentino (2024); a perda de pessoas queridas pelo COVID-19 pode funcionar como um mecanismo de enfrentamento mas também pode gerar ciclos de dependência emocional da validação digital, que, quando não suprido, pode gerar sentimentos que podem se assemelhar ao sentimento de perda, de ausência. Para a educação, compreender este "luto </w:t>
      </w:r>
      <w:r w:rsidRPr="002F40AA">
        <w:rPr>
          <w:rFonts w:ascii="Times New Roman" w:hAnsi="Times New Roman" w:cs="Times New Roman"/>
          <w:sz w:val="24"/>
          <w:szCs w:val="24"/>
        </w:rPr>
        <w:lastRenderedPageBreak/>
        <w:t>dopaminérgico" é fundamental, pois os alunos trazem essas novas formas de processar o “trauma” para o ambiente escolar.</w:t>
      </w:r>
    </w:p>
    <w:p w14:paraId="0973C568" w14:textId="72A230D3"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Metodologia</w:t>
      </w:r>
    </w:p>
    <w:p w14:paraId="6DFCE1A4" w14:textId="77777777" w:rsidR="00292396" w:rsidRPr="002F40AA" w:rsidRDefault="00292396" w:rsidP="002F40AA">
      <w:pPr>
        <w:jc w:val="both"/>
        <w:rPr>
          <w:rFonts w:ascii="Times New Roman" w:hAnsi="Times New Roman" w:cs="Times New Roman"/>
          <w:sz w:val="24"/>
          <w:szCs w:val="24"/>
        </w:rPr>
      </w:pPr>
      <w:r w:rsidRPr="002F40AA">
        <w:rPr>
          <w:rFonts w:ascii="Times New Roman" w:hAnsi="Times New Roman" w:cs="Times New Roman"/>
          <w:sz w:val="24"/>
          <w:szCs w:val="24"/>
        </w:rPr>
        <w:t>A investigação adota abordagem qualitativa, baseada na Análise de Conteúdo (Bardin, 2010). O corpus é composto por 121 postagens coletadas em grupo de luto no Facebook durante o pico pandêmico. A análise, nesta etapa, transcende a categorização das fases do luto para identificar padrões de busca por validação social. As unidades de análise foram codificadas em categorias como “apelo por interação”, “gratidão pela validação” e “quantificação do apoio”, evidenciando a dinâmica do ciclo de recompensa.</w:t>
      </w:r>
    </w:p>
    <w:p w14:paraId="0500195F" w14:textId="77777777"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 xml:space="preserve">Análise </w:t>
      </w:r>
      <w:r w:rsidR="00BD0C00" w:rsidRPr="002F40AA">
        <w:rPr>
          <w:rFonts w:ascii="Times New Roman" w:eastAsia="Times New Roman" w:hAnsi="Times New Roman" w:cs="Times New Roman"/>
          <w:b/>
          <w:sz w:val="24"/>
          <w:szCs w:val="24"/>
          <w:lang w:eastAsia="pt-BR"/>
        </w:rPr>
        <w:t>parcial dos resultados</w:t>
      </w:r>
    </w:p>
    <w:p w14:paraId="507C1844" w14:textId="77777777" w:rsidR="00292396" w:rsidRPr="002F40AA" w:rsidRDefault="00292396" w:rsidP="002F40AA">
      <w:pPr>
        <w:jc w:val="both"/>
        <w:rPr>
          <w:rFonts w:ascii="Times New Roman" w:hAnsi="Times New Roman" w:cs="Times New Roman"/>
          <w:sz w:val="24"/>
          <w:szCs w:val="24"/>
        </w:rPr>
      </w:pPr>
      <w:r w:rsidRPr="002F40AA">
        <w:rPr>
          <w:rFonts w:ascii="Times New Roman" w:hAnsi="Times New Roman" w:cs="Times New Roman"/>
          <w:sz w:val="24"/>
          <w:szCs w:val="24"/>
        </w:rPr>
        <w:t>Os dados preliminares revelam correlação entre a expressão de dor intensa e a subsequente busca de validação, relacionada ao mecanismo dopaminérgico. Postagens com maior carga emocional tendem a gerar mais engajamento, seguidas de agradecimentos que reforçam a importância da interação para o bem-estar momentâneo. A arquitetura das plataformas funciona como dispositivo que acolhe, mas também condiciona o sofrimento a uma lógica de performance e recompensa. Para o contexto educacional, compreender essa dinâmica é crucial, pois estudantes podem estar mediando emoções por meio de algoritmos e pares virtuais, com impacto direto na saúde mental e na socialização escolar.</w:t>
      </w:r>
    </w:p>
    <w:p w14:paraId="184C231D" w14:textId="77777777"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Conclusões</w:t>
      </w:r>
      <w:r w:rsidR="00BD0C00" w:rsidRPr="002F40AA">
        <w:rPr>
          <w:rFonts w:ascii="Times New Roman" w:eastAsia="Times New Roman" w:hAnsi="Times New Roman" w:cs="Times New Roman"/>
          <w:b/>
          <w:sz w:val="24"/>
          <w:szCs w:val="24"/>
          <w:lang w:eastAsia="pt-BR"/>
        </w:rPr>
        <w:t xml:space="preserve"> parciais</w:t>
      </w:r>
    </w:p>
    <w:p w14:paraId="2931395C" w14:textId="18FF4A13" w:rsidR="00292396" w:rsidRPr="002F40AA" w:rsidRDefault="00292396" w:rsidP="002F40AA">
      <w:pPr>
        <w:jc w:val="both"/>
        <w:rPr>
          <w:rFonts w:ascii="Times New Roman" w:eastAsia="Times New Roman" w:hAnsi="Times New Roman" w:cs="Times New Roman"/>
          <w:b/>
          <w:sz w:val="24"/>
          <w:szCs w:val="24"/>
          <w:lang w:eastAsia="pt-BR"/>
        </w:rPr>
      </w:pPr>
      <w:r w:rsidRPr="002F40AA">
        <w:rPr>
          <w:rFonts w:ascii="Times New Roman" w:hAnsi="Times New Roman" w:cs="Times New Roman"/>
          <w:sz w:val="24"/>
          <w:szCs w:val="24"/>
        </w:rPr>
        <w:t>A experiência do luto digital está intrinsecamente ligada aos mecanismos de recompensa das redes sociais. Assim, a formação docente no cenário pós-pandêmico deve incorporar uma “alfabetização emocional digital”, preparando educadores para reconhecer e acolher novas manifestações emocionais dos alunos. Promover ambientes de aprendizagem seguros e empáticos exige compreender o impacto neuropsicológico das interações online, permitindo que a escola se torne um espaço preparado para lidar com os desafios da saúde mental na era digital.</w:t>
      </w:r>
    </w:p>
    <w:p w14:paraId="5FDB8DCB" w14:textId="77777777" w:rsidR="00BD0C00" w:rsidRPr="002F40AA" w:rsidRDefault="00BD0C00"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Apoio técnico ou financeiro (se houver)</w:t>
      </w:r>
    </w:p>
    <w:p w14:paraId="04DB8D6D" w14:textId="2479FDB5" w:rsidR="00BD0C00" w:rsidRPr="002F40AA" w:rsidRDefault="002F40AA" w:rsidP="002F40AA">
      <w:pPr>
        <w:jc w:val="both"/>
        <w:rPr>
          <w:rFonts w:ascii="Times New Roman" w:eastAsia="Times New Roman" w:hAnsi="Times New Roman" w:cs="Times New Roman"/>
          <w:bCs/>
          <w:sz w:val="24"/>
          <w:szCs w:val="24"/>
          <w:lang w:eastAsia="pt-BR"/>
        </w:rPr>
      </w:pPr>
      <w:r w:rsidRPr="002F40AA">
        <w:rPr>
          <w:rFonts w:ascii="Times New Roman" w:eastAsia="Times New Roman" w:hAnsi="Times New Roman" w:cs="Times New Roman"/>
          <w:bCs/>
          <w:sz w:val="24"/>
          <w:szCs w:val="24"/>
          <w:lang w:eastAsia="pt-BR"/>
        </w:rPr>
        <w:t>Não houve</w:t>
      </w:r>
    </w:p>
    <w:p w14:paraId="75CD388E" w14:textId="77777777" w:rsidR="00342DF4"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4DBF062E" w14:textId="77777777" w:rsidR="002F40AA" w:rsidRPr="002F40AA" w:rsidRDefault="002F40AA" w:rsidP="002F40AA">
      <w:pPr>
        <w:jc w:val="both"/>
        <w:rPr>
          <w:rFonts w:ascii="Times New Roman" w:hAnsi="Times New Roman" w:cs="Times New Roman"/>
          <w:sz w:val="24"/>
          <w:szCs w:val="24"/>
        </w:rPr>
      </w:pPr>
      <w:r w:rsidRPr="002F40AA">
        <w:rPr>
          <w:rFonts w:ascii="Times New Roman" w:hAnsi="Times New Roman" w:cs="Times New Roman"/>
          <w:sz w:val="24"/>
          <w:szCs w:val="24"/>
        </w:rPr>
        <w:t>ALTER, A. </w:t>
      </w:r>
      <w:r w:rsidRPr="002F40AA">
        <w:rPr>
          <w:rFonts w:ascii="Times New Roman" w:hAnsi="Times New Roman" w:cs="Times New Roman"/>
          <w:i/>
          <w:iCs/>
          <w:sz w:val="24"/>
          <w:szCs w:val="24"/>
        </w:rPr>
        <w:t>Irresistible: The rise of addictive technology and the business of keeping us hooked</w:t>
      </w:r>
      <w:r w:rsidRPr="002F40AA">
        <w:rPr>
          <w:rFonts w:ascii="Times New Roman" w:hAnsi="Times New Roman" w:cs="Times New Roman"/>
          <w:sz w:val="24"/>
          <w:szCs w:val="24"/>
        </w:rPr>
        <w:t xml:space="preserve">. New York: Penguin Press, 2017. </w:t>
      </w:r>
    </w:p>
    <w:p w14:paraId="345CF7CA" w14:textId="77777777" w:rsidR="002F40AA" w:rsidRPr="002F40AA" w:rsidRDefault="002F40AA" w:rsidP="002F40AA">
      <w:pPr>
        <w:jc w:val="both"/>
        <w:rPr>
          <w:rFonts w:ascii="Times New Roman" w:hAnsi="Times New Roman" w:cs="Times New Roman"/>
          <w:sz w:val="24"/>
          <w:szCs w:val="24"/>
        </w:rPr>
      </w:pPr>
      <w:r w:rsidRPr="002F40AA">
        <w:rPr>
          <w:rFonts w:ascii="Times New Roman" w:hAnsi="Times New Roman" w:cs="Times New Roman"/>
          <w:sz w:val="24"/>
          <w:szCs w:val="24"/>
        </w:rPr>
        <w:t>BARDIN, L. </w:t>
      </w:r>
      <w:r w:rsidRPr="002F40AA">
        <w:rPr>
          <w:rFonts w:ascii="Times New Roman" w:hAnsi="Times New Roman" w:cs="Times New Roman"/>
          <w:i/>
          <w:iCs/>
          <w:sz w:val="24"/>
          <w:szCs w:val="24"/>
        </w:rPr>
        <w:t>Análise de conteúdo</w:t>
      </w:r>
      <w:r w:rsidRPr="002F40AA">
        <w:rPr>
          <w:rFonts w:ascii="Times New Roman" w:hAnsi="Times New Roman" w:cs="Times New Roman"/>
          <w:sz w:val="24"/>
          <w:szCs w:val="24"/>
        </w:rPr>
        <w:t xml:space="preserve">. Lisboa: Edições 70, 2010. </w:t>
      </w:r>
    </w:p>
    <w:p w14:paraId="6D9ADB7E" w14:textId="2EE906F2" w:rsidR="002F40AA" w:rsidRPr="002F40AA" w:rsidRDefault="002F40AA" w:rsidP="002F40AA">
      <w:pPr>
        <w:jc w:val="both"/>
        <w:rPr>
          <w:rFonts w:ascii="Times New Roman" w:hAnsi="Times New Roman" w:cs="Times New Roman"/>
          <w:sz w:val="24"/>
          <w:szCs w:val="24"/>
        </w:rPr>
      </w:pPr>
      <w:r w:rsidRPr="002F40AA">
        <w:rPr>
          <w:rFonts w:ascii="Times New Roman" w:hAnsi="Times New Roman" w:cs="Times New Roman"/>
          <w:sz w:val="24"/>
          <w:szCs w:val="24"/>
        </w:rPr>
        <w:t>TOLENTINO, R. H. B.; TOLENTINO, E. V. D. Lágrimas digitais na era do covid-19: fases do luto em um mar de postagens. In: </w:t>
      </w:r>
      <w:r w:rsidRPr="002F40AA">
        <w:rPr>
          <w:rFonts w:ascii="Times New Roman" w:hAnsi="Times New Roman" w:cs="Times New Roman"/>
          <w:i/>
          <w:iCs/>
          <w:sz w:val="24"/>
          <w:szCs w:val="24"/>
        </w:rPr>
        <w:t>COVID-19 Chronicles: pesquisas realizadas durante a pandemia</w:t>
      </w:r>
      <w:r w:rsidRPr="002F40AA">
        <w:rPr>
          <w:rFonts w:ascii="Times New Roman" w:hAnsi="Times New Roman" w:cs="Times New Roman"/>
          <w:sz w:val="24"/>
          <w:szCs w:val="24"/>
        </w:rPr>
        <w:t xml:space="preserve">. Vol. 1. [S. </w:t>
      </w:r>
      <w:r w:rsidR="00BE1E8E">
        <w:rPr>
          <w:rFonts w:ascii="Times New Roman" w:hAnsi="Times New Roman" w:cs="Times New Roman"/>
          <w:sz w:val="24"/>
          <w:szCs w:val="24"/>
        </w:rPr>
        <w:t>l</w:t>
      </w:r>
      <w:r w:rsidRPr="002F40AA">
        <w:rPr>
          <w:rFonts w:ascii="Times New Roman" w:hAnsi="Times New Roman" w:cs="Times New Roman"/>
          <w:sz w:val="24"/>
          <w:szCs w:val="24"/>
        </w:rPr>
        <w:t>.]: Editora Científica, 2024. p. 150-164.</w:t>
      </w:r>
    </w:p>
    <w:p w14:paraId="15B14C0B" w14:textId="77777777" w:rsidR="002F40AA" w:rsidRDefault="002F40AA" w:rsidP="00BD0C00">
      <w:pPr>
        <w:jc w:val="both"/>
      </w:pPr>
    </w:p>
    <w:sectPr w:rsidR="002F40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292396"/>
    <w:rsid w:val="002C29DB"/>
    <w:rsid w:val="002F40AA"/>
    <w:rsid w:val="00342DF4"/>
    <w:rsid w:val="003B3E13"/>
    <w:rsid w:val="003C038D"/>
    <w:rsid w:val="00660186"/>
    <w:rsid w:val="006D36CB"/>
    <w:rsid w:val="00773D54"/>
    <w:rsid w:val="00806044"/>
    <w:rsid w:val="00850BC3"/>
    <w:rsid w:val="0085627F"/>
    <w:rsid w:val="00941F25"/>
    <w:rsid w:val="009B4014"/>
    <w:rsid w:val="009B5F59"/>
    <w:rsid w:val="00B27229"/>
    <w:rsid w:val="00BD0C00"/>
    <w:rsid w:val="00BE1E8E"/>
    <w:rsid w:val="00C537B6"/>
    <w:rsid w:val="00D76CCE"/>
    <w:rsid w:val="00DA48D2"/>
    <w:rsid w:val="00DC79A8"/>
    <w:rsid w:val="00E64BAF"/>
    <w:rsid w:val="00FA4CB5"/>
    <w:rsid w:val="00FE70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33AD"/>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dice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iperligao">
    <w:name w:val="Hyperlink"/>
    <w:basedOn w:val="Tipodeletrapredefinidodopargrafo"/>
    <w:uiPriority w:val="99"/>
    <w:unhideWhenUsed/>
    <w:rsid w:val="002F40AA"/>
    <w:rPr>
      <w:color w:val="0563C1" w:themeColor="hyperlink"/>
      <w:u w:val="single"/>
    </w:rPr>
  </w:style>
  <w:style w:type="character" w:styleId="MenoNoResolvida">
    <w:name w:val="Unresolved Mention"/>
    <w:basedOn w:val="Tipodeletrapredefinidodopargrafo"/>
    <w:uiPriority w:val="99"/>
    <w:semiHidden/>
    <w:unhideWhenUsed/>
    <w:rsid w:val="002F4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maraverneque@gmail.com" TargetMode="External"/><Relationship Id="rId5" Type="http://schemas.openxmlformats.org/officeDocument/2006/relationships/hyperlink" Target="mailto:rbtolentino@gmail.com" TargetMode="Externa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2</Pages>
  <Words>639</Words>
  <Characters>3993</Characters>
  <Application>Microsoft Office Word</Application>
  <DocSecurity>0</DocSecurity>
  <Lines>64</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Roberto e Mara Tolentino</cp:lastModifiedBy>
  <cp:revision>5</cp:revision>
  <dcterms:created xsi:type="dcterms:W3CDTF">2025-09-16T00:23:00Z</dcterms:created>
  <dcterms:modified xsi:type="dcterms:W3CDTF">2025-09-18T14:52:00Z</dcterms:modified>
</cp:coreProperties>
</file>