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E7868" w14:textId="1D3190B1" w:rsidR="00A11D2A" w:rsidRPr="00A1645A" w:rsidRDefault="00A1645A" w:rsidP="00D018E8">
      <w:pPr>
        <w:spacing w:line="276" w:lineRule="auto"/>
        <w:ind w:right="214" w:firstLine="0"/>
        <w:jc w:val="center"/>
        <w:rPr>
          <w:b/>
          <w:sz w:val="20"/>
          <w:szCs w:val="20"/>
          <w:vertAlign w:val="superscript"/>
        </w:rPr>
      </w:pPr>
      <w:r w:rsidRPr="00A1645A">
        <w:rPr>
          <w:b/>
          <w:sz w:val="20"/>
          <w:szCs w:val="20"/>
        </w:rPr>
        <w:t xml:space="preserve">VARIAÇÃO SAZONAL DO CONTEÚDO NUTRICIONAL DA SERRAPILHEIRA </w:t>
      </w:r>
      <w:r w:rsidR="00085604">
        <w:rPr>
          <w:b/>
          <w:sz w:val="20"/>
          <w:szCs w:val="20"/>
        </w:rPr>
        <w:t>NO</w:t>
      </w:r>
      <w:r w:rsidRPr="00A1645A">
        <w:rPr>
          <w:b/>
          <w:sz w:val="20"/>
          <w:szCs w:val="20"/>
        </w:rPr>
        <w:t xml:space="preserve"> PERÍODO SECO E CHUVOSO</w:t>
      </w:r>
    </w:p>
    <w:p w14:paraId="39BEAA26" w14:textId="13A070EB" w:rsidR="00837154" w:rsidRPr="00837154" w:rsidRDefault="00171B9C" w:rsidP="00D018E8">
      <w:pPr>
        <w:spacing w:line="276" w:lineRule="auto"/>
        <w:ind w:right="214" w:firstLine="0"/>
        <w:jc w:val="center"/>
        <w:rPr>
          <w:b/>
          <w:sz w:val="20"/>
          <w:szCs w:val="20"/>
          <w:vertAlign w:val="superscript"/>
        </w:rPr>
      </w:pPr>
      <w:r>
        <w:rPr>
          <w:b/>
          <w:sz w:val="20"/>
          <w:szCs w:val="20"/>
        </w:rPr>
        <w:t>Ângela Torquato Loiola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 xml:space="preserve">, </w:t>
      </w:r>
      <w:r w:rsidR="00C40B50">
        <w:rPr>
          <w:b/>
          <w:sz w:val="20"/>
          <w:szCs w:val="20"/>
        </w:rPr>
        <w:t>Israel da Silva Almeida</w:t>
      </w:r>
      <w:r>
        <w:rPr>
          <w:b/>
          <w:sz w:val="20"/>
          <w:szCs w:val="20"/>
          <w:vertAlign w:val="superscript"/>
        </w:rPr>
        <w:t>1</w:t>
      </w:r>
      <w:r w:rsidR="00C40B50">
        <w:rPr>
          <w:b/>
          <w:sz w:val="20"/>
          <w:szCs w:val="20"/>
        </w:rPr>
        <w:t xml:space="preserve">, </w:t>
      </w:r>
      <w:r w:rsidR="00064A66">
        <w:rPr>
          <w:b/>
          <w:sz w:val="20"/>
          <w:szCs w:val="20"/>
        </w:rPr>
        <w:t>Marcos</w:t>
      </w:r>
      <w:r w:rsidR="00A36273">
        <w:rPr>
          <w:b/>
          <w:sz w:val="20"/>
          <w:szCs w:val="20"/>
        </w:rPr>
        <w:t xml:space="preserve"> </w:t>
      </w:r>
      <w:r w:rsidR="00064A66">
        <w:rPr>
          <w:b/>
          <w:sz w:val="20"/>
          <w:szCs w:val="20"/>
        </w:rPr>
        <w:t>Ilson</w:t>
      </w:r>
      <w:r w:rsidR="00A36273">
        <w:rPr>
          <w:b/>
          <w:sz w:val="20"/>
          <w:szCs w:val="20"/>
        </w:rPr>
        <w:t xml:space="preserve"> </w:t>
      </w:r>
      <w:r w:rsidR="00064A66">
        <w:rPr>
          <w:b/>
          <w:sz w:val="20"/>
          <w:szCs w:val="20"/>
        </w:rPr>
        <w:t>de</w:t>
      </w:r>
      <w:r w:rsidR="00A36273">
        <w:rPr>
          <w:b/>
          <w:sz w:val="20"/>
          <w:szCs w:val="20"/>
        </w:rPr>
        <w:t xml:space="preserve"> </w:t>
      </w:r>
      <w:r w:rsidR="00064A66">
        <w:rPr>
          <w:b/>
          <w:sz w:val="20"/>
          <w:szCs w:val="20"/>
        </w:rPr>
        <w:t>Oliveira</w:t>
      </w:r>
      <w:r w:rsidR="00A36273">
        <w:rPr>
          <w:b/>
          <w:sz w:val="20"/>
          <w:szCs w:val="20"/>
        </w:rPr>
        <w:t xml:space="preserve"> </w:t>
      </w:r>
      <w:r w:rsidR="00064A66">
        <w:rPr>
          <w:b/>
          <w:sz w:val="20"/>
          <w:szCs w:val="20"/>
        </w:rPr>
        <w:t>Texeira</w:t>
      </w:r>
      <w:r>
        <w:rPr>
          <w:b/>
          <w:sz w:val="20"/>
          <w:szCs w:val="20"/>
          <w:vertAlign w:val="superscript"/>
        </w:rPr>
        <w:t>1</w:t>
      </w:r>
      <w:r w:rsidR="00064A66">
        <w:rPr>
          <w:b/>
          <w:sz w:val="20"/>
          <w:szCs w:val="20"/>
        </w:rPr>
        <w:t>,</w:t>
      </w:r>
      <w:r w:rsidR="00A36273">
        <w:rPr>
          <w:b/>
          <w:sz w:val="20"/>
          <w:szCs w:val="20"/>
        </w:rPr>
        <w:t xml:space="preserve"> </w:t>
      </w:r>
      <w:r w:rsidR="00837154">
        <w:rPr>
          <w:b/>
          <w:sz w:val="20"/>
          <w:szCs w:val="20"/>
        </w:rPr>
        <w:t>Allyson Rocha Alves</w:t>
      </w:r>
      <w:r>
        <w:rPr>
          <w:b/>
          <w:sz w:val="20"/>
          <w:szCs w:val="20"/>
          <w:vertAlign w:val="superscript"/>
        </w:rPr>
        <w:t>1</w:t>
      </w:r>
      <w:r w:rsidR="00163FE8">
        <w:rPr>
          <w:b/>
          <w:sz w:val="20"/>
          <w:szCs w:val="20"/>
        </w:rPr>
        <w:t>,</w:t>
      </w:r>
      <w:r w:rsidR="00A36273">
        <w:rPr>
          <w:b/>
          <w:sz w:val="20"/>
          <w:szCs w:val="20"/>
        </w:rPr>
        <w:t xml:space="preserve"> </w:t>
      </w:r>
      <w:r w:rsidR="00837154">
        <w:rPr>
          <w:b/>
          <w:sz w:val="20"/>
          <w:szCs w:val="20"/>
        </w:rPr>
        <w:t>Poliana Coqueiro Dias Araujo</w:t>
      </w:r>
      <w:r>
        <w:rPr>
          <w:b/>
          <w:sz w:val="20"/>
          <w:szCs w:val="20"/>
          <w:vertAlign w:val="superscript"/>
        </w:rPr>
        <w:t>1</w:t>
      </w:r>
      <w:r w:rsidR="00837154">
        <w:rPr>
          <w:b/>
          <w:sz w:val="20"/>
          <w:szCs w:val="20"/>
        </w:rPr>
        <w:t>, Alan Cauê de Holanda</w:t>
      </w:r>
      <w:r>
        <w:rPr>
          <w:b/>
          <w:sz w:val="20"/>
          <w:szCs w:val="20"/>
          <w:vertAlign w:val="superscript"/>
        </w:rPr>
        <w:t>1</w:t>
      </w:r>
      <w:r w:rsidR="00837154">
        <w:rPr>
          <w:b/>
          <w:sz w:val="20"/>
          <w:szCs w:val="20"/>
        </w:rPr>
        <w:t>, Ewerton Souto Pinheiro</w:t>
      </w:r>
      <w:r>
        <w:rPr>
          <w:b/>
          <w:sz w:val="20"/>
          <w:szCs w:val="20"/>
          <w:vertAlign w:val="superscript"/>
        </w:rPr>
        <w:t>1</w:t>
      </w:r>
    </w:p>
    <w:p w14:paraId="4744856E" w14:textId="778F8972" w:rsidR="00C802EF" w:rsidRDefault="00163FE8" w:rsidP="00D018E8">
      <w:pPr>
        <w:spacing w:line="276" w:lineRule="auto"/>
        <w:ind w:right="214" w:firstLine="0"/>
        <w:jc w:val="center"/>
        <w:rPr>
          <w:sz w:val="20"/>
          <w:szCs w:val="20"/>
        </w:rPr>
      </w:pPr>
      <w:r w:rsidRPr="00163FE8">
        <w:rPr>
          <w:sz w:val="20"/>
          <w:szCs w:val="20"/>
        </w:rPr>
        <w:t>Universidade</w:t>
      </w:r>
      <w:r w:rsidR="00A36273">
        <w:rPr>
          <w:sz w:val="20"/>
          <w:szCs w:val="20"/>
        </w:rPr>
        <w:t xml:space="preserve"> </w:t>
      </w:r>
      <w:r w:rsidRPr="00163FE8">
        <w:rPr>
          <w:sz w:val="20"/>
          <w:szCs w:val="20"/>
        </w:rPr>
        <w:t>Federal</w:t>
      </w:r>
      <w:r w:rsidR="00A36273">
        <w:rPr>
          <w:sz w:val="20"/>
          <w:szCs w:val="20"/>
        </w:rPr>
        <w:t xml:space="preserve"> </w:t>
      </w:r>
      <w:r w:rsidRPr="00163FE8">
        <w:rPr>
          <w:sz w:val="20"/>
          <w:szCs w:val="20"/>
        </w:rPr>
        <w:t>Rural</w:t>
      </w:r>
      <w:r w:rsidR="00A36273">
        <w:rPr>
          <w:sz w:val="20"/>
          <w:szCs w:val="20"/>
        </w:rPr>
        <w:t xml:space="preserve"> </w:t>
      </w:r>
      <w:r w:rsidRPr="00163FE8">
        <w:rPr>
          <w:sz w:val="20"/>
          <w:szCs w:val="20"/>
        </w:rPr>
        <w:t>do</w:t>
      </w:r>
      <w:r w:rsidR="00A36273">
        <w:rPr>
          <w:sz w:val="20"/>
          <w:szCs w:val="20"/>
        </w:rPr>
        <w:t xml:space="preserve"> </w:t>
      </w:r>
      <w:r w:rsidRPr="00163FE8">
        <w:rPr>
          <w:sz w:val="20"/>
          <w:szCs w:val="20"/>
        </w:rPr>
        <w:t>Semi-Árido</w:t>
      </w:r>
      <w:r w:rsidR="00700194">
        <w:rPr>
          <w:sz w:val="20"/>
          <w:szCs w:val="20"/>
          <w:vertAlign w:val="superscript"/>
        </w:rPr>
        <w:t>1</w:t>
      </w:r>
      <w:r w:rsidRPr="00163FE8">
        <w:rPr>
          <w:sz w:val="20"/>
          <w:szCs w:val="20"/>
        </w:rPr>
        <w:t>,</w:t>
      </w:r>
      <w:r w:rsidR="00A36273">
        <w:rPr>
          <w:sz w:val="20"/>
          <w:szCs w:val="20"/>
        </w:rPr>
        <w:t xml:space="preserve"> </w:t>
      </w:r>
      <w:r w:rsidRPr="00163FE8">
        <w:rPr>
          <w:sz w:val="20"/>
          <w:szCs w:val="20"/>
        </w:rPr>
        <w:t>Mosso</w:t>
      </w:r>
      <w:bookmarkStart w:id="0" w:name="_heading=h.yp96iwu2o7wg" w:colFirst="0" w:colLast="0"/>
      <w:bookmarkEnd w:id="0"/>
      <w:r w:rsidRPr="00163FE8">
        <w:rPr>
          <w:sz w:val="20"/>
          <w:szCs w:val="20"/>
        </w:rPr>
        <w:t>ró</w:t>
      </w:r>
    </w:p>
    <w:p w14:paraId="2ABFA84D" w14:textId="1C0C2B90" w:rsidR="00C802EF" w:rsidRDefault="00000000" w:rsidP="00D018E8">
      <w:pPr>
        <w:spacing w:line="276" w:lineRule="auto"/>
        <w:ind w:right="214" w:firstLine="0"/>
        <w:jc w:val="center"/>
        <w:rPr>
          <w:sz w:val="20"/>
          <w:szCs w:val="20"/>
        </w:rPr>
      </w:pPr>
      <w:hyperlink r:id="rId8" w:history="1">
        <w:r w:rsidR="00EE543E" w:rsidRPr="00DF243E">
          <w:rPr>
            <w:rStyle w:val="Hyperlink"/>
            <w:sz w:val="20"/>
            <w:szCs w:val="20"/>
          </w:rPr>
          <w:t>israel.almeida@alunos.ufersa.edu.br</w:t>
        </w:r>
      </w:hyperlink>
      <w:r w:rsidR="00837154">
        <w:rPr>
          <w:sz w:val="20"/>
          <w:szCs w:val="20"/>
        </w:rPr>
        <w:t xml:space="preserve"> </w:t>
      </w:r>
    </w:p>
    <w:p w14:paraId="15A85590" w14:textId="3829724E" w:rsidR="00C802EF" w:rsidRDefault="00000000" w:rsidP="00D018E8">
      <w:pPr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</w:t>
      </w:r>
    </w:p>
    <w:p w14:paraId="75E722A4" w14:textId="77777777" w:rsidR="00C802EF" w:rsidRDefault="00C802EF">
      <w:pPr>
        <w:rPr>
          <w:sz w:val="20"/>
          <w:szCs w:val="20"/>
        </w:rPr>
      </w:pPr>
    </w:p>
    <w:p w14:paraId="30B42E0A" w14:textId="77777777" w:rsidR="007E2292" w:rsidRDefault="00000000" w:rsidP="00C80656">
      <w:pPr>
        <w:spacing w:after="120"/>
        <w:ind w:firstLine="0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2D4DBC71" w14:textId="080CD1FF" w:rsidR="00D57529" w:rsidRPr="00E86897" w:rsidRDefault="00D57529" w:rsidP="00122BB4">
      <w:pPr>
        <w:spacing w:after="120"/>
        <w:ind w:left="567" w:right="567" w:firstLine="0"/>
        <w:rPr>
          <w:b/>
          <w:bCs/>
          <w:sz w:val="20"/>
          <w:szCs w:val="20"/>
        </w:rPr>
      </w:pPr>
      <w:r w:rsidRPr="00D57529">
        <w:rPr>
          <w:sz w:val="20"/>
          <w:szCs w:val="20"/>
        </w:rPr>
        <w:t xml:space="preserve">Este estudo teve como objetivo compreender a dinâmica da serrapilheira em plantios florestais e na vegetação nativa no semiárido do Rio Grande do Norte, avaliando o conteúdo nutricional nos períodos seco e chuvoso. A coleta da serrapilheira foi realizada na Fazenda Experimental Rafael Fernandes, da Universidade Federal Rural do Semi-Árido, em Mossoró-RN, nos meses de setembro de 2023 (período seco) e março de 2024 (período chuvoso). As amostras foram coletadas em um fragmento de floresta nativa e em três plantios florestais com as espécies </w:t>
      </w:r>
      <w:r w:rsidRPr="00E73F02">
        <w:rPr>
          <w:i/>
          <w:iCs/>
          <w:sz w:val="20"/>
          <w:szCs w:val="20"/>
        </w:rPr>
        <w:t>Eucalyptus</w:t>
      </w:r>
      <w:r w:rsidRPr="00D57529">
        <w:rPr>
          <w:sz w:val="20"/>
          <w:szCs w:val="20"/>
        </w:rPr>
        <w:t xml:space="preserve"> spp., </w:t>
      </w:r>
      <w:r w:rsidRPr="00E73F02">
        <w:rPr>
          <w:i/>
          <w:iCs/>
          <w:sz w:val="20"/>
          <w:szCs w:val="20"/>
        </w:rPr>
        <w:t>Acacia mangium</w:t>
      </w:r>
      <w:r w:rsidRPr="00D57529">
        <w:rPr>
          <w:sz w:val="20"/>
          <w:szCs w:val="20"/>
        </w:rPr>
        <w:t xml:space="preserve"> Willd. e </w:t>
      </w:r>
      <w:r w:rsidRPr="00E73F02">
        <w:rPr>
          <w:i/>
          <w:iCs/>
          <w:sz w:val="20"/>
          <w:szCs w:val="20"/>
        </w:rPr>
        <w:t>Mimosa caesalpiniifolia</w:t>
      </w:r>
      <w:r w:rsidRPr="00D57529">
        <w:rPr>
          <w:sz w:val="20"/>
          <w:szCs w:val="20"/>
        </w:rPr>
        <w:t xml:space="preserve"> Benth. Foram selecionados aleatoriamente quatro pontos amostrais por área, utilizando molduras de 0,25 m² para coleta da serrapilheira. Após a coleta</w:t>
      </w:r>
      <w:r w:rsidR="00B509B9">
        <w:rPr>
          <w:sz w:val="20"/>
          <w:szCs w:val="20"/>
        </w:rPr>
        <w:t>, o</w:t>
      </w:r>
      <w:r w:rsidRPr="00D57529">
        <w:rPr>
          <w:sz w:val="20"/>
          <w:szCs w:val="20"/>
        </w:rPr>
        <w:t xml:space="preserve">s dados foram analisados por ANOVA fatorial e, quando significativo (p &lt; 0,05), as médias foram comparadas pelo teste de Tukey, utilizando o software </w:t>
      </w:r>
      <w:r w:rsidRPr="00E73F02">
        <w:rPr>
          <w:sz w:val="20"/>
          <w:szCs w:val="20"/>
        </w:rPr>
        <w:t>GraphPad Prism</w:t>
      </w:r>
      <w:r w:rsidRPr="00D57529">
        <w:rPr>
          <w:sz w:val="20"/>
          <w:szCs w:val="20"/>
        </w:rPr>
        <w:t xml:space="preserve"> 10.4.2. Concluiu-se que os períodos exercem forte influência sobre o conteúdo nutricional das espécies, refletindo estratégias adaptativas específicas. O </w:t>
      </w:r>
      <w:r w:rsidRPr="00E73F02">
        <w:rPr>
          <w:i/>
          <w:iCs/>
          <w:sz w:val="20"/>
          <w:szCs w:val="20"/>
        </w:rPr>
        <w:t>Eucalyptus</w:t>
      </w:r>
      <w:r w:rsidRPr="00D57529">
        <w:rPr>
          <w:sz w:val="20"/>
          <w:szCs w:val="20"/>
        </w:rPr>
        <w:t xml:space="preserve"> spp. apresentou menor produção de </w:t>
      </w:r>
      <w:r w:rsidR="005B73D6" w:rsidRPr="00D57529">
        <w:rPr>
          <w:sz w:val="20"/>
          <w:szCs w:val="20"/>
        </w:rPr>
        <w:t>N</w:t>
      </w:r>
      <w:r w:rsidR="005B73D6">
        <w:rPr>
          <w:sz w:val="20"/>
          <w:szCs w:val="20"/>
        </w:rPr>
        <w:t>itrogênio</w:t>
      </w:r>
      <w:r w:rsidRPr="00D57529">
        <w:rPr>
          <w:sz w:val="20"/>
          <w:szCs w:val="20"/>
        </w:rPr>
        <w:t xml:space="preserve">, </w:t>
      </w:r>
      <w:r w:rsidR="005B73D6">
        <w:rPr>
          <w:sz w:val="20"/>
          <w:szCs w:val="20"/>
        </w:rPr>
        <w:t>Fósforo</w:t>
      </w:r>
      <w:r w:rsidRPr="00D57529">
        <w:rPr>
          <w:sz w:val="20"/>
          <w:szCs w:val="20"/>
        </w:rPr>
        <w:t xml:space="preserve"> e </w:t>
      </w:r>
      <w:r w:rsidR="005B73D6">
        <w:rPr>
          <w:sz w:val="20"/>
          <w:szCs w:val="20"/>
        </w:rPr>
        <w:t>Potássio</w:t>
      </w:r>
      <w:r w:rsidRPr="00D57529">
        <w:rPr>
          <w:sz w:val="20"/>
          <w:szCs w:val="20"/>
        </w:rPr>
        <w:t xml:space="preserve"> em comparação às demais </w:t>
      </w:r>
      <w:r w:rsidR="00E80C04" w:rsidRPr="00E86897">
        <w:rPr>
          <w:sz w:val="20"/>
          <w:szCs w:val="20"/>
        </w:rPr>
        <w:t xml:space="preserve">áreas avaliadas, </w:t>
      </w:r>
      <w:r w:rsidRPr="00E86897">
        <w:rPr>
          <w:sz w:val="20"/>
          <w:szCs w:val="20"/>
        </w:rPr>
        <w:t>enquanto</w:t>
      </w:r>
      <w:r w:rsidR="00B24794">
        <w:rPr>
          <w:sz w:val="20"/>
          <w:szCs w:val="20"/>
        </w:rPr>
        <w:t xml:space="preserve"> a </w:t>
      </w:r>
      <w:r w:rsidRPr="00E86897">
        <w:rPr>
          <w:i/>
          <w:iCs/>
          <w:sz w:val="20"/>
          <w:szCs w:val="20"/>
        </w:rPr>
        <w:t>Mimosa caesalpiniifolia</w:t>
      </w:r>
      <w:r w:rsidRPr="00E86897">
        <w:rPr>
          <w:sz w:val="20"/>
          <w:szCs w:val="20"/>
        </w:rPr>
        <w:t xml:space="preserve"> Benth manteve maior constância na ciclagem de nutrientes nos dois períodos avaliados.</w:t>
      </w:r>
      <w:r w:rsidRPr="00E86897">
        <w:rPr>
          <w:b/>
          <w:bCs/>
          <w:sz w:val="20"/>
          <w:szCs w:val="20"/>
        </w:rPr>
        <w:t xml:space="preserve"> </w:t>
      </w:r>
    </w:p>
    <w:p w14:paraId="66298D91" w14:textId="1ECEBA9D" w:rsidR="00896891" w:rsidRPr="00D57529" w:rsidRDefault="0016150F" w:rsidP="00D57529">
      <w:pPr>
        <w:spacing w:after="240"/>
        <w:ind w:firstLine="0"/>
        <w:rPr>
          <w:sz w:val="20"/>
          <w:szCs w:val="20"/>
        </w:rPr>
      </w:pPr>
      <w:r w:rsidRPr="00D57529">
        <w:rPr>
          <w:b/>
          <w:bCs/>
          <w:sz w:val="20"/>
          <w:szCs w:val="20"/>
        </w:rPr>
        <w:t>Palavras-chave</w:t>
      </w:r>
      <w:r w:rsidRPr="00D57529">
        <w:rPr>
          <w:sz w:val="20"/>
          <w:szCs w:val="20"/>
        </w:rPr>
        <w:t>: Serrapilheira</w:t>
      </w:r>
      <w:r w:rsidR="00700194">
        <w:rPr>
          <w:sz w:val="20"/>
          <w:szCs w:val="20"/>
        </w:rPr>
        <w:t>,</w:t>
      </w:r>
      <w:r w:rsidRPr="00D57529">
        <w:rPr>
          <w:sz w:val="20"/>
          <w:szCs w:val="20"/>
        </w:rPr>
        <w:t xml:space="preserve"> Semiárido</w:t>
      </w:r>
      <w:r w:rsidR="00700194">
        <w:rPr>
          <w:sz w:val="20"/>
          <w:szCs w:val="20"/>
        </w:rPr>
        <w:t>,</w:t>
      </w:r>
      <w:r w:rsidRPr="00D57529">
        <w:rPr>
          <w:sz w:val="20"/>
          <w:szCs w:val="20"/>
        </w:rPr>
        <w:t xml:space="preserve"> Ciclagem de nutrientes</w:t>
      </w:r>
    </w:p>
    <w:p w14:paraId="74EE4BD4" w14:textId="22EF8C41" w:rsidR="00D45ECA" w:rsidRDefault="00000000" w:rsidP="00C80656">
      <w:pPr>
        <w:spacing w:after="120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  <w:r w:rsidR="00A36273">
        <w:rPr>
          <w:b/>
          <w:sz w:val="20"/>
          <w:szCs w:val="20"/>
        </w:rPr>
        <w:t xml:space="preserve"> </w:t>
      </w:r>
    </w:p>
    <w:p w14:paraId="22549871" w14:textId="6592A898" w:rsidR="00DD5E30" w:rsidRPr="00DD5E30" w:rsidRDefault="00122BB4" w:rsidP="00C80656">
      <w:pPr>
        <w:spacing w:after="120"/>
        <w:ind w:firstLine="0"/>
        <w:rPr>
          <w:sz w:val="20"/>
          <w:szCs w:val="20"/>
          <w:lang w:bidi="ar-SA"/>
        </w:rPr>
      </w:pPr>
      <w:r>
        <w:rPr>
          <w:sz w:val="20"/>
          <w:szCs w:val="20"/>
          <w:lang w:bidi="ar-SA"/>
        </w:rPr>
        <w:tab/>
      </w:r>
      <w:r w:rsidR="00DD5E30" w:rsidRPr="00DD5E30">
        <w:rPr>
          <w:sz w:val="20"/>
          <w:szCs w:val="20"/>
          <w:lang w:bidi="ar-SA"/>
        </w:rPr>
        <w:t xml:space="preserve">O desmatamento e as queimadas têm intensificado as mudanças climáticas e agravado os períodos de seca, afetando significativamente os ecossistemas florestais. A escassez hídrica, especialmente em regiões semiáridas, limita o desenvolvimento vegetal, comprometendo a produtividade e a sustentabilidade dos plantios (TESHOME </w:t>
      </w:r>
      <w:r w:rsidR="00DD5E30" w:rsidRPr="00862049">
        <w:rPr>
          <w:i/>
          <w:iCs/>
          <w:sz w:val="20"/>
          <w:szCs w:val="20"/>
          <w:lang w:bidi="ar-SA"/>
        </w:rPr>
        <w:t>et a</w:t>
      </w:r>
      <w:r w:rsidR="00DD5E30" w:rsidRPr="00DD5E30">
        <w:rPr>
          <w:sz w:val="20"/>
          <w:szCs w:val="20"/>
          <w:lang w:bidi="ar-SA"/>
        </w:rPr>
        <w:t xml:space="preserve">l., 2020; SOUZA </w:t>
      </w:r>
      <w:r w:rsidR="00DD5E30" w:rsidRPr="00862049">
        <w:rPr>
          <w:i/>
          <w:iCs/>
          <w:sz w:val="20"/>
          <w:szCs w:val="20"/>
          <w:lang w:bidi="ar-SA"/>
        </w:rPr>
        <w:t>et al</w:t>
      </w:r>
      <w:r w:rsidR="00DD5E30" w:rsidRPr="00DD5E30">
        <w:rPr>
          <w:sz w:val="20"/>
          <w:szCs w:val="20"/>
          <w:lang w:bidi="ar-SA"/>
        </w:rPr>
        <w:t>., 2022). Essas alterações, somadas às ações antrópicas, vêm acelerando os processos de degradação e desertificação no semiárido.</w:t>
      </w:r>
    </w:p>
    <w:p w14:paraId="2268ECF6" w14:textId="77777777" w:rsidR="00DD5E30" w:rsidRPr="00DD5E30" w:rsidRDefault="00DD5E30" w:rsidP="003812EB">
      <w:pPr>
        <w:spacing w:after="120"/>
        <w:ind w:firstLine="0"/>
        <w:rPr>
          <w:sz w:val="20"/>
          <w:szCs w:val="20"/>
          <w:lang w:bidi="ar-SA"/>
        </w:rPr>
      </w:pPr>
      <w:r w:rsidRPr="00DD5E30">
        <w:rPr>
          <w:sz w:val="20"/>
          <w:szCs w:val="20"/>
          <w:lang w:bidi="ar-SA"/>
        </w:rPr>
        <w:t> </w:t>
      </w:r>
      <w:r w:rsidRPr="00DD5E30">
        <w:rPr>
          <w:sz w:val="20"/>
          <w:szCs w:val="20"/>
          <w:lang w:bidi="ar-SA"/>
        </w:rPr>
        <w:t> </w:t>
      </w:r>
      <w:r w:rsidRPr="00DD5E30">
        <w:rPr>
          <w:sz w:val="20"/>
          <w:szCs w:val="20"/>
          <w:lang w:bidi="ar-SA"/>
        </w:rPr>
        <w:t xml:space="preserve">Apesar desses desafios, observa-se a expansão de plantios florestais com espécies de interesse econômico, como </w:t>
      </w:r>
      <w:r w:rsidRPr="00DD5E30">
        <w:rPr>
          <w:i/>
          <w:iCs/>
          <w:sz w:val="20"/>
          <w:szCs w:val="20"/>
          <w:lang w:bidi="ar-SA"/>
        </w:rPr>
        <w:t>Eucalyptus</w:t>
      </w:r>
      <w:r w:rsidRPr="00DD5E30">
        <w:rPr>
          <w:sz w:val="20"/>
          <w:szCs w:val="20"/>
          <w:lang w:bidi="ar-SA"/>
        </w:rPr>
        <w:t xml:space="preserve"> spp., </w:t>
      </w:r>
      <w:r w:rsidRPr="00DD5E30">
        <w:rPr>
          <w:i/>
          <w:iCs/>
          <w:sz w:val="20"/>
          <w:szCs w:val="20"/>
          <w:lang w:bidi="ar-SA"/>
        </w:rPr>
        <w:t>Acacia mangium</w:t>
      </w:r>
      <w:r w:rsidRPr="00DD5E30">
        <w:rPr>
          <w:sz w:val="20"/>
          <w:szCs w:val="20"/>
          <w:lang w:bidi="ar-SA"/>
        </w:rPr>
        <w:t xml:space="preserve"> Willd. e </w:t>
      </w:r>
      <w:r w:rsidRPr="00DD5E30">
        <w:rPr>
          <w:i/>
          <w:iCs/>
          <w:sz w:val="20"/>
          <w:szCs w:val="20"/>
          <w:lang w:bidi="ar-SA"/>
        </w:rPr>
        <w:t>Pinus</w:t>
      </w:r>
      <w:r w:rsidRPr="00DD5E30">
        <w:rPr>
          <w:sz w:val="20"/>
          <w:szCs w:val="20"/>
          <w:lang w:bidi="ar-SA"/>
        </w:rPr>
        <w:t xml:space="preserve"> spp., mesmo sob condições climáticas adversas (BRAINER, 2024). Nesse contexto, torna-se fundamental compreender o comportamento dessas espécies frente às variações ambientais, visando estratégias de manejo que promovam a conservação dos recursos naturais e a sustentabilidade dos sistemas produtivos.</w:t>
      </w:r>
    </w:p>
    <w:p w14:paraId="2E575EE7" w14:textId="77777777" w:rsidR="00DD5E30" w:rsidRPr="00DD5E30" w:rsidRDefault="00DD5E30" w:rsidP="003812EB">
      <w:pPr>
        <w:spacing w:after="120"/>
        <w:ind w:firstLine="0"/>
        <w:rPr>
          <w:sz w:val="20"/>
          <w:szCs w:val="20"/>
          <w:lang w:bidi="ar-SA"/>
        </w:rPr>
      </w:pPr>
      <w:r w:rsidRPr="00DD5E30">
        <w:rPr>
          <w:sz w:val="20"/>
          <w:szCs w:val="20"/>
          <w:lang w:bidi="ar-SA"/>
        </w:rPr>
        <w:t> </w:t>
      </w:r>
      <w:r w:rsidRPr="00DD5E30">
        <w:rPr>
          <w:sz w:val="20"/>
          <w:szCs w:val="20"/>
          <w:lang w:bidi="ar-SA"/>
        </w:rPr>
        <w:t> </w:t>
      </w:r>
      <w:r w:rsidRPr="00DD5E30">
        <w:rPr>
          <w:sz w:val="20"/>
          <w:szCs w:val="20"/>
          <w:lang w:bidi="ar-SA"/>
        </w:rPr>
        <w:t xml:space="preserve">Nesse cenário, a dinâmica da serrapilheira destaca-se como um indicador ecológico relevante, uma vez que exerce funções essenciais na proteção do solo, conservação da umidade e ciclagem de nutrientes. Sua quantidade e composição variam de acordo com a espécie, influenciando diretamente as taxas de decomposição e o retorno de nutrientes ao ecossistema (VIVANCO </w:t>
      </w:r>
      <w:r w:rsidRPr="00862049">
        <w:rPr>
          <w:i/>
          <w:iCs/>
          <w:sz w:val="20"/>
          <w:szCs w:val="20"/>
          <w:lang w:bidi="ar-SA"/>
        </w:rPr>
        <w:t>et al</w:t>
      </w:r>
      <w:r w:rsidRPr="00DD5E30">
        <w:rPr>
          <w:sz w:val="20"/>
          <w:szCs w:val="20"/>
          <w:lang w:bidi="ar-SA"/>
        </w:rPr>
        <w:t xml:space="preserve">., 2019; SILVA </w:t>
      </w:r>
      <w:r w:rsidRPr="00862049">
        <w:rPr>
          <w:i/>
          <w:iCs/>
          <w:sz w:val="20"/>
          <w:szCs w:val="20"/>
          <w:lang w:bidi="ar-SA"/>
        </w:rPr>
        <w:t>et al</w:t>
      </w:r>
      <w:r w:rsidRPr="00DD5E30">
        <w:rPr>
          <w:sz w:val="20"/>
          <w:szCs w:val="20"/>
          <w:lang w:bidi="ar-SA"/>
        </w:rPr>
        <w:t>., 2024).</w:t>
      </w:r>
    </w:p>
    <w:p w14:paraId="0D02BEF7" w14:textId="64063812" w:rsidR="00ED683A" w:rsidRPr="003812EB" w:rsidRDefault="00DD5E30" w:rsidP="003812EB">
      <w:pPr>
        <w:spacing w:after="120"/>
        <w:ind w:firstLine="0"/>
        <w:rPr>
          <w:sz w:val="20"/>
          <w:szCs w:val="20"/>
          <w:lang w:bidi="ar-SA"/>
        </w:rPr>
      </w:pPr>
      <w:r w:rsidRPr="00DD5E30">
        <w:rPr>
          <w:sz w:val="20"/>
          <w:szCs w:val="20"/>
          <w:lang w:bidi="ar-SA"/>
        </w:rPr>
        <w:t> </w:t>
      </w:r>
      <w:r w:rsidRPr="00DD5E30">
        <w:rPr>
          <w:sz w:val="20"/>
          <w:szCs w:val="20"/>
          <w:lang w:bidi="ar-SA"/>
        </w:rPr>
        <w:t> </w:t>
      </w:r>
      <w:r w:rsidR="00AE257E" w:rsidRPr="00AE257E">
        <w:t xml:space="preserve"> </w:t>
      </w:r>
      <w:r w:rsidR="00AE257E" w:rsidRPr="00AE257E">
        <w:rPr>
          <w:sz w:val="20"/>
          <w:szCs w:val="20"/>
        </w:rPr>
        <w:t>Diante disso, este estudo tem como objetivo avaliar o conteúdo nutricional da serrapilheira em plantios florestais e na vegetação nativa no semiárido do Rio Grande do Norte, nos períodos seco e chuvoso, a fim de compreender a dinâmica das espécies em ambos os períodos.</w:t>
      </w:r>
    </w:p>
    <w:p w14:paraId="672DA5DD" w14:textId="3AB09E36" w:rsidR="004E09A6" w:rsidRDefault="00000000" w:rsidP="00255068">
      <w:pPr>
        <w:spacing w:after="120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MATERIAL</w:t>
      </w:r>
      <w:r w:rsidR="00A3627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</w:t>
      </w:r>
      <w:r w:rsidR="00A3627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MÉTODOS</w:t>
      </w:r>
      <w:r w:rsidR="00A36273">
        <w:rPr>
          <w:b/>
          <w:sz w:val="20"/>
          <w:szCs w:val="20"/>
        </w:rPr>
        <w:t xml:space="preserve"> </w:t>
      </w:r>
    </w:p>
    <w:p w14:paraId="1EA8AB6F" w14:textId="0B5FA341" w:rsidR="001E1A91" w:rsidRPr="001E1A91" w:rsidRDefault="001E1A91" w:rsidP="00255068">
      <w:pPr>
        <w:spacing w:after="120"/>
        <w:ind w:firstLine="0"/>
        <w:rPr>
          <w:b/>
          <w:bCs/>
          <w:sz w:val="20"/>
          <w:szCs w:val="20"/>
        </w:rPr>
      </w:pPr>
      <w:r w:rsidRPr="001E1A91">
        <w:rPr>
          <w:b/>
          <w:bCs/>
          <w:sz w:val="20"/>
          <w:szCs w:val="20"/>
        </w:rPr>
        <w:t>Coleta do material em campo</w:t>
      </w:r>
    </w:p>
    <w:p w14:paraId="7D8C941D" w14:textId="43D157E3" w:rsidR="001E1A91" w:rsidRPr="001E1A91" w:rsidRDefault="001E1A91" w:rsidP="00255068">
      <w:pPr>
        <w:pStyle w:val="NormalWeb"/>
        <w:spacing w:before="0" w:after="120"/>
        <w:ind w:firstLine="567"/>
        <w:rPr>
          <w:sz w:val="20"/>
          <w:szCs w:val="20"/>
          <w:lang w:val="pt-BR"/>
        </w:rPr>
      </w:pPr>
      <w:r w:rsidRPr="001E1A91">
        <w:rPr>
          <w:sz w:val="20"/>
          <w:szCs w:val="20"/>
          <w:lang w:val="pt-BR"/>
        </w:rPr>
        <w:t xml:space="preserve">A coleta da serrapilheira foi </w:t>
      </w:r>
      <w:r w:rsidR="0042654C" w:rsidRPr="001E1A91">
        <w:rPr>
          <w:sz w:val="20"/>
          <w:szCs w:val="20"/>
          <w:lang w:val="pt-BR"/>
        </w:rPr>
        <w:t>realizada</w:t>
      </w:r>
      <w:r w:rsidR="0042654C" w:rsidRPr="0042654C">
        <w:rPr>
          <w:sz w:val="20"/>
          <w:szCs w:val="20"/>
          <w:lang w:val="pt-BR"/>
        </w:rPr>
        <w:t xml:space="preserve"> Fazenda Experimental Rafael Fernandes, pertencente à Universidade Federal Rural do Semi-Árido, localizada no município de Mossoró</w:t>
      </w:r>
      <w:r w:rsidR="0042654C">
        <w:rPr>
          <w:sz w:val="20"/>
          <w:szCs w:val="20"/>
          <w:lang w:val="pt-BR"/>
        </w:rPr>
        <w:t>-RN.</w:t>
      </w:r>
      <w:r w:rsidRPr="001E1A91">
        <w:rPr>
          <w:sz w:val="20"/>
          <w:szCs w:val="20"/>
          <w:lang w:val="pt-BR"/>
        </w:rPr>
        <w:t xml:space="preserve"> </w:t>
      </w:r>
      <w:r w:rsidR="0042654C">
        <w:rPr>
          <w:sz w:val="20"/>
          <w:szCs w:val="20"/>
          <w:lang w:val="pt-BR"/>
        </w:rPr>
        <w:t>N</w:t>
      </w:r>
      <w:r w:rsidRPr="001E1A91">
        <w:rPr>
          <w:sz w:val="20"/>
          <w:szCs w:val="20"/>
          <w:lang w:val="pt-BR"/>
        </w:rPr>
        <w:t xml:space="preserve">o mês de setembro de 2023 (período seco) e no mês de março de 2024 (período chuvoso). As amostras de serrapilheira foram coletadas em um fragmento de floresta nativa e em três plantios florestais com as seguintes espécies: </w:t>
      </w:r>
      <w:r w:rsidRPr="001E1A91">
        <w:rPr>
          <w:i/>
          <w:iCs/>
          <w:sz w:val="20"/>
          <w:szCs w:val="20"/>
          <w:lang w:val="pt-BR"/>
        </w:rPr>
        <w:t>Eucalyptus</w:t>
      </w:r>
      <w:r w:rsidRPr="001E1A91">
        <w:rPr>
          <w:sz w:val="20"/>
          <w:szCs w:val="20"/>
          <w:lang w:val="pt-BR"/>
        </w:rPr>
        <w:t xml:space="preserve"> spp.</w:t>
      </w:r>
      <w:r w:rsidRPr="001E1A91">
        <w:rPr>
          <w:i/>
          <w:iCs/>
          <w:sz w:val="20"/>
          <w:szCs w:val="20"/>
          <w:lang w:val="pt-BR"/>
        </w:rPr>
        <w:t xml:space="preserve">, Acacia mangium </w:t>
      </w:r>
      <w:r w:rsidRPr="001E1A91">
        <w:rPr>
          <w:sz w:val="20"/>
          <w:szCs w:val="20"/>
          <w:lang w:val="pt-BR"/>
        </w:rPr>
        <w:t>Willd</w:t>
      </w:r>
      <w:r w:rsidRPr="001E1A91">
        <w:rPr>
          <w:i/>
          <w:iCs/>
          <w:sz w:val="20"/>
          <w:szCs w:val="20"/>
          <w:lang w:val="pt-BR"/>
        </w:rPr>
        <w:t>.</w:t>
      </w:r>
      <w:r w:rsidRPr="001E1A91">
        <w:rPr>
          <w:sz w:val="20"/>
          <w:szCs w:val="20"/>
          <w:lang w:val="pt-BR"/>
        </w:rPr>
        <w:t xml:space="preserve"> e</w:t>
      </w:r>
      <w:r w:rsidR="00B24794">
        <w:rPr>
          <w:sz w:val="20"/>
          <w:szCs w:val="20"/>
          <w:lang w:val="pt-BR"/>
        </w:rPr>
        <w:t xml:space="preserve"> a</w:t>
      </w:r>
      <w:r w:rsidRPr="001E1A91">
        <w:rPr>
          <w:sz w:val="20"/>
          <w:szCs w:val="20"/>
          <w:lang w:val="pt-BR"/>
        </w:rPr>
        <w:t xml:space="preserve"> </w:t>
      </w:r>
      <w:r w:rsidRPr="001E1A91">
        <w:rPr>
          <w:i/>
          <w:iCs/>
          <w:sz w:val="20"/>
          <w:szCs w:val="20"/>
          <w:lang w:val="pt-BR"/>
        </w:rPr>
        <w:t xml:space="preserve">Mimosa caesalpiniifolia </w:t>
      </w:r>
      <w:r w:rsidRPr="001E1A91">
        <w:rPr>
          <w:sz w:val="20"/>
          <w:szCs w:val="20"/>
          <w:lang w:val="pt-BR"/>
        </w:rPr>
        <w:t xml:space="preserve">Benth. Para coleta dos dados, foram sorteados quatro pontos </w:t>
      </w:r>
      <w:r w:rsidRPr="001E1A91">
        <w:rPr>
          <w:sz w:val="20"/>
          <w:szCs w:val="20"/>
          <w:lang w:val="pt-BR"/>
        </w:rPr>
        <w:lastRenderedPageBreak/>
        <w:t>amostrais de forma aleatória dentro de cada área avaliada. As amostras de serrapilheira coletadas foram retiradas com o auxílio de uma moldura de madeira</w:t>
      </w:r>
      <w:r w:rsidR="007A7E71">
        <w:rPr>
          <w:sz w:val="20"/>
          <w:szCs w:val="20"/>
          <w:lang w:val="pt-BR"/>
        </w:rPr>
        <w:t xml:space="preserve"> com</w:t>
      </w:r>
      <w:r w:rsidRPr="001E1A91">
        <w:rPr>
          <w:sz w:val="20"/>
          <w:szCs w:val="20"/>
          <w:lang w:val="pt-BR"/>
        </w:rPr>
        <w:t xml:space="preserve"> medindo 0,5 m x 0,5 m (0,25m²).</w:t>
      </w:r>
    </w:p>
    <w:p w14:paraId="0231F3B1" w14:textId="77777777" w:rsidR="001E1A91" w:rsidRPr="001E1A91" w:rsidRDefault="001E1A91" w:rsidP="00255068">
      <w:pPr>
        <w:spacing w:after="120"/>
        <w:ind w:firstLine="0"/>
        <w:rPr>
          <w:b/>
          <w:bCs/>
          <w:sz w:val="20"/>
          <w:szCs w:val="20"/>
        </w:rPr>
      </w:pPr>
      <w:r w:rsidRPr="001E1A91">
        <w:rPr>
          <w:b/>
          <w:bCs/>
          <w:sz w:val="20"/>
          <w:szCs w:val="20"/>
        </w:rPr>
        <w:t>Processamento e análise química da serrapilheira</w:t>
      </w:r>
    </w:p>
    <w:p w14:paraId="15788D2D" w14:textId="57E471BD" w:rsidR="00D03BEB" w:rsidRDefault="00D03BEB" w:rsidP="00D03BEB">
      <w:pPr>
        <w:pStyle w:val="NormalWeb"/>
        <w:spacing w:after="120"/>
        <w:ind w:firstLine="567"/>
        <w:rPr>
          <w:sz w:val="20"/>
          <w:szCs w:val="20"/>
          <w:lang w:val="pt-BR"/>
        </w:rPr>
      </w:pPr>
      <w:r w:rsidRPr="00D03BEB">
        <w:rPr>
          <w:sz w:val="20"/>
          <w:szCs w:val="20"/>
          <w:lang w:val="pt-BR"/>
        </w:rPr>
        <w:t>A serrapilheira obtido através das molduras foi cuidadosamente retirado, evitando coletar solo, e raízes</w:t>
      </w:r>
      <w:r>
        <w:rPr>
          <w:sz w:val="20"/>
          <w:szCs w:val="20"/>
          <w:lang w:val="pt-BR"/>
        </w:rPr>
        <w:t xml:space="preserve"> </w:t>
      </w:r>
      <w:r w:rsidRPr="00D03BEB">
        <w:rPr>
          <w:sz w:val="20"/>
          <w:szCs w:val="20"/>
          <w:lang w:val="pt-BR"/>
        </w:rPr>
        <w:t xml:space="preserve">vivas. Após a coleta, as amostras foram secas ao ar e retirando as impurezas. Em seguida, as </w:t>
      </w:r>
      <w:r w:rsidR="00712AE6">
        <w:rPr>
          <w:sz w:val="20"/>
          <w:szCs w:val="20"/>
          <w:lang w:val="pt-BR"/>
        </w:rPr>
        <w:t>mesmas</w:t>
      </w:r>
      <w:r>
        <w:rPr>
          <w:sz w:val="20"/>
          <w:szCs w:val="20"/>
          <w:lang w:val="pt-BR"/>
        </w:rPr>
        <w:t xml:space="preserve"> foram levadas para o laboratório de Silvicultura</w:t>
      </w:r>
      <w:r w:rsidR="00712AE6">
        <w:rPr>
          <w:sz w:val="20"/>
          <w:szCs w:val="20"/>
          <w:lang w:val="pt-BR"/>
        </w:rPr>
        <w:t xml:space="preserve"> da UFERSA</w:t>
      </w:r>
      <w:r>
        <w:rPr>
          <w:sz w:val="20"/>
          <w:szCs w:val="20"/>
          <w:lang w:val="pt-BR"/>
        </w:rPr>
        <w:t xml:space="preserve"> no campus central</w:t>
      </w:r>
      <w:r w:rsidRPr="00D03BEB">
        <w:rPr>
          <w:sz w:val="20"/>
          <w:szCs w:val="20"/>
          <w:lang w:val="pt-BR"/>
        </w:rPr>
        <w:t xml:space="preserve"> </w:t>
      </w:r>
      <w:r>
        <w:rPr>
          <w:sz w:val="20"/>
          <w:szCs w:val="20"/>
          <w:lang w:val="pt-BR"/>
        </w:rPr>
        <w:t>e colocadas para secar</w:t>
      </w:r>
      <w:r w:rsidRPr="00D03BEB">
        <w:rPr>
          <w:sz w:val="20"/>
          <w:szCs w:val="20"/>
          <w:lang w:val="pt-BR"/>
        </w:rPr>
        <w:t xml:space="preserve"> em estufa de ventilação a 65ºC por 72 horas e pesadas em balança de precisão (0,01 g).</w:t>
      </w:r>
    </w:p>
    <w:p w14:paraId="05338D71" w14:textId="3248DB1F" w:rsidR="00BA6EE4" w:rsidRPr="00B47031" w:rsidRDefault="001E1A91" w:rsidP="00255068">
      <w:pPr>
        <w:pStyle w:val="NormalWeb"/>
        <w:spacing w:before="0" w:after="120"/>
        <w:ind w:firstLine="567"/>
        <w:rPr>
          <w:sz w:val="20"/>
          <w:szCs w:val="20"/>
          <w:lang w:val="pt-BR"/>
        </w:rPr>
      </w:pPr>
      <w:r w:rsidRPr="001E1A91">
        <w:rPr>
          <w:sz w:val="20"/>
          <w:szCs w:val="20"/>
          <w:lang w:val="pt-BR"/>
        </w:rPr>
        <w:t>Para análise química da serrapilheira, as amostras secas foram trituradas e levadas para laboratório</w:t>
      </w:r>
      <w:r w:rsidR="00121935" w:rsidRPr="00121935">
        <w:rPr>
          <w:sz w:val="20"/>
          <w:szCs w:val="20"/>
          <w:lang w:val="pt-BR"/>
        </w:rPr>
        <w:t xml:space="preserve"> de </w:t>
      </w:r>
      <w:r w:rsidR="00121935">
        <w:rPr>
          <w:sz w:val="20"/>
          <w:szCs w:val="20"/>
          <w:lang w:val="pt-BR"/>
        </w:rPr>
        <w:t>a</w:t>
      </w:r>
      <w:r w:rsidR="00121935" w:rsidRPr="00121935">
        <w:rPr>
          <w:sz w:val="20"/>
          <w:szCs w:val="20"/>
          <w:lang w:val="pt-BR"/>
        </w:rPr>
        <w:t xml:space="preserve">nálise de </w:t>
      </w:r>
      <w:r w:rsidR="00121935">
        <w:rPr>
          <w:sz w:val="20"/>
          <w:szCs w:val="20"/>
          <w:lang w:val="pt-BR"/>
        </w:rPr>
        <w:t>s</w:t>
      </w:r>
      <w:r w:rsidR="00121935" w:rsidRPr="00121935">
        <w:rPr>
          <w:sz w:val="20"/>
          <w:szCs w:val="20"/>
          <w:lang w:val="pt-BR"/>
        </w:rPr>
        <w:t xml:space="preserve">olo, </w:t>
      </w:r>
      <w:r w:rsidR="00121935">
        <w:rPr>
          <w:sz w:val="20"/>
          <w:szCs w:val="20"/>
          <w:lang w:val="pt-BR"/>
        </w:rPr>
        <w:t>á</w:t>
      </w:r>
      <w:r w:rsidR="00121935" w:rsidRPr="00121935">
        <w:rPr>
          <w:sz w:val="20"/>
          <w:szCs w:val="20"/>
          <w:lang w:val="pt-BR"/>
        </w:rPr>
        <w:t xml:space="preserve">gua e </w:t>
      </w:r>
      <w:r w:rsidR="00121935">
        <w:rPr>
          <w:sz w:val="20"/>
          <w:szCs w:val="20"/>
          <w:lang w:val="pt-BR"/>
        </w:rPr>
        <w:t>p</w:t>
      </w:r>
      <w:r w:rsidR="00121935" w:rsidRPr="00121935">
        <w:rPr>
          <w:sz w:val="20"/>
          <w:szCs w:val="20"/>
          <w:lang w:val="pt-BR"/>
        </w:rPr>
        <w:t xml:space="preserve">lanta </w:t>
      </w:r>
      <w:r w:rsidR="00121935">
        <w:rPr>
          <w:sz w:val="20"/>
          <w:szCs w:val="20"/>
          <w:lang w:val="pt-BR"/>
        </w:rPr>
        <w:t>(</w:t>
      </w:r>
      <w:r w:rsidR="00121935" w:rsidRPr="00121935">
        <w:rPr>
          <w:sz w:val="20"/>
          <w:szCs w:val="20"/>
          <w:lang w:val="pt-BR"/>
        </w:rPr>
        <w:t>LASAP</w:t>
      </w:r>
      <w:r w:rsidR="00712AE6">
        <w:rPr>
          <w:sz w:val="20"/>
          <w:szCs w:val="20"/>
          <w:lang w:val="pt-BR"/>
        </w:rPr>
        <w:t>/UFERSA</w:t>
      </w:r>
      <w:r w:rsidR="00121935">
        <w:rPr>
          <w:sz w:val="20"/>
          <w:szCs w:val="20"/>
          <w:lang w:val="pt-BR"/>
        </w:rPr>
        <w:t>)</w:t>
      </w:r>
      <w:r w:rsidRPr="001E1A91">
        <w:rPr>
          <w:sz w:val="20"/>
          <w:szCs w:val="20"/>
          <w:lang w:val="pt-BR"/>
        </w:rPr>
        <w:t xml:space="preserve"> para análises dos macronutrientes Nitrogênio</w:t>
      </w:r>
      <w:r w:rsidR="00534249">
        <w:rPr>
          <w:sz w:val="20"/>
          <w:szCs w:val="20"/>
          <w:lang w:val="pt-BR"/>
        </w:rPr>
        <w:t xml:space="preserve"> (N)</w:t>
      </w:r>
      <w:r w:rsidRPr="001E1A91">
        <w:rPr>
          <w:sz w:val="20"/>
          <w:szCs w:val="20"/>
          <w:lang w:val="pt-BR"/>
        </w:rPr>
        <w:t xml:space="preserve">, </w:t>
      </w:r>
      <w:r w:rsidR="00255068">
        <w:rPr>
          <w:sz w:val="20"/>
          <w:szCs w:val="20"/>
          <w:lang w:val="pt-BR"/>
        </w:rPr>
        <w:t>F</w:t>
      </w:r>
      <w:r w:rsidRPr="001E1A91">
        <w:rPr>
          <w:sz w:val="20"/>
          <w:szCs w:val="20"/>
          <w:lang w:val="pt-BR"/>
        </w:rPr>
        <w:t>ósforo</w:t>
      </w:r>
      <w:r w:rsidR="00534249">
        <w:rPr>
          <w:sz w:val="20"/>
          <w:szCs w:val="20"/>
          <w:lang w:val="pt-BR"/>
        </w:rPr>
        <w:t xml:space="preserve"> (P)</w:t>
      </w:r>
      <w:r w:rsidRPr="001E1A91">
        <w:rPr>
          <w:sz w:val="20"/>
          <w:szCs w:val="20"/>
          <w:lang w:val="pt-BR"/>
        </w:rPr>
        <w:t>, Potássio</w:t>
      </w:r>
      <w:r w:rsidR="00534249">
        <w:rPr>
          <w:sz w:val="20"/>
          <w:szCs w:val="20"/>
          <w:lang w:val="pt-BR"/>
        </w:rPr>
        <w:t xml:space="preserve"> (K)</w:t>
      </w:r>
      <w:r w:rsidRPr="001E1A91">
        <w:rPr>
          <w:sz w:val="20"/>
          <w:szCs w:val="20"/>
          <w:lang w:val="pt-BR"/>
        </w:rPr>
        <w:t>, Cálcio</w:t>
      </w:r>
      <w:r w:rsidR="00534249">
        <w:rPr>
          <w:sz w:val="20"/>
          <w:szCs w:val="20"/>
          <w:lang w:val="pt-BR"/>
        </w:rPr>
        <w:t xml:space="preserve"> (Ca)</w:t>
      </w:r>
      <w:r w:rsidRPr="001E1A91">
        <w:rPr>
          <w:sz w:val="20"/>
          <w:szCs w:val="20"/>
          <w:lang w:val="pt-BR"/>
        </w:rPr>
        <w:t>, Magnésio</w:t>
      </w:r>
      <w:r w:rsidR="00534249">
        <w:rPr>
          <w:sz w:val="20"/>
          <w:szCs w:val="20"/>
          <w:lang w:val="pt-BR"/>
        </w:rPr>
        <w:t xml:space="preserve"> (Mg), utiliza</w:t>
      </w:r>
      <w:r w:rsidR="00712AE6">
        <w:rPr>
          <w:sz w:val="20"/>
          <w:szCs w:val="20"/>
          <w:lang w:val="pt-BR"/>
        </w:rPr>
        <w:t>n</w:t>
      </w:r>
      <w:r w:rsidR="00534249">
        <w:rPr>
          <w:sz w:val="20"/>
          <w:szCs w:val="20"/>
          <w:lang w:val="pt-BR"/>
        </w:rPr>
        <w:t>do</w:t>
      </w:r>
      <w:r w:rsidR="00534249" w:rsidRPr="00534249">
        <w:rPr>
          <w:sz w:val="20"/>
          <w:szCs w:val="20"/>
          <w:lang w:val="pt-BR"/>
        </w:rPr>
        <w:t xml:space="preserve"> a metodologia descrita por Silva (20</w:t>
      </w:r>
      <w:r w:rsidR="004275E7">
        <w:rPr>
          <w:sz w:val="20"/>
          <w:szCs w:val="20"/>
          <w:lang w:val="pt-BR"/>
        </w:rPr>
        <w:t>24</w:t>
      </w:r>
      <w:r w:rsidR="00534249" w:rsidRPr="00534249">
        <w:rPr>
          <w:sz w:val="20"/>
          <w:szCs w:val="20"/>
          <w:lang w:val="pt-BR"/>
        </w:rPr>
        <w:t>)</w:t>
      </w:r>
      <w:r w:rsidR="00255068">
        <w:rPr>
          <w:sz w:val="20"/>
          <w:szCs w:val="20"/>
          <w:lang w:val="pt-BR"/>
        </w:rPr>
        <w:t>.</w:t>
      </w:r>
    </w:p>
    <w:p w14:paraId="16A37EDA" w14:textId="7447E545" w:rsidR="001E1A91" w:rsidRPr="001E1A91" w:rsidRDefault="001E1A91" w:rsidP="00255068">
      <w:pPr>
        <w:spacing w:after="120"/>
        <w:ind w:firstLine="0"/>
        <w:rPr>
          <w:b/>
          <w:bCs/>
          <w:sz w:val="20"/>
          <w:szCs w:val="20"/>
        </w:rPr>
      </w:pPr>
      <w:r w:rsidRPr="001E1A91">
        <w:rPr>
          <w:b/>
          <w:bCs/>
          <w:sz w:val="20"/>
          <w:szCs w:val="20"/>
        </w:rPr>
        <w:t xml:space="preserve">Análise estatística </w:t>
      </w:r>
    </w:p>
    <w:p w14:paraId="484AB6C5" w14:textId="188AABA9" w:rsidR="003812EB" w:rsidRPr="003812EB" w:rsidRDefault="003812EB" w:rsidP="00255068">
      <w:pPr>
        <w:spacing w:after="120"/>
        <w:ind w:firstLine="0"/>
        <w:rPr>
          <w:sz w:val="20"/>
          <w:szCs w:val="20"/>
        </w:rPr>
      </w:pPr>
      <w:r>
        <w:rPr>
          <w:sz w:val="20"/>
          <w:szCs w:val="20"/>
        </w:rPr>
        <w:tab/>
      </w:r>
      <w:r w:rsidRPr="003812EB">
        <w:rPr>
          <w:sz w:val="20"/>
          <w:szCs w:val="20"/>
        </w:rPr>
        <w:t xml:space="preserve">Todos os dados foram submetidos à análise de variância (ANOVA) </w:t>
      </w:r>
      <w:r w:rsidR="00F01FB8">
        <w:rPr>
          <w:sz w:val="20"/>
          <w:szCs w:val="20"/>
        </w:rPr>
        <w:t xml:space="preserve">fatorial. </w:t>
      </w:r>
      <w:r w:rsidRPr="003812EB">
        <w:rPr>
          <w:sz w:val="20"/>
          <w:szCs w:val="20"/>
        </w:rPr>
        <w:t>Quando a ANOVA apresentou significância estatística (P &lt; 0,05), as médias foram comparadas por meio do teste de Tukey, com nível de significância de 5%. O programa utilizado para a análise estatística e elaboração dos gráficos foi o GraphPad Prism, versão 10.</w:t>
      </w:r>
      <w:r w:rsidR="00F01FB8">
        <w:rPr>
          <w:sz w:val="20"/>
          <w:szCs w:val="20"/>
        </w:rPr>
        <w:t>4</w:t>
      </w:r>
      <w:r w:rsidRPr="003812EB">
        <w:rPr>
          <w:sz w:val="20"/>
          <w:szCs w:val="20"/>
        </w:rPr>
        <w:t>.</w:t>
      </w:r>
      <w:r w:rsidR="00F01FB8">
        <w:rPr>
          <w:sz w:val="20"/>
          <w:szCs w:val="20"/>
        </w:rPr>
        <w:t>2</w:t>
      </w:r>
      <w:r w:rsidRPr="003812EB">
        <w:rPr>
          <w:sz w:val="20"/>
          <w:szCs w:val="20"/>
        </w:rPr>
        <w:t>.</w:t>
      </w:r>
    </w:p>
    <w:p w14:paraId="5C489B86" w14:textId="3ECFE32B" w:rsidR="0013774A" w:rsidRDefault="00000000" w:rsidP="005710C5">
      <w:pPr>
        <w:spacing w:before="240" w:after="240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RESULTADOS</w:t>
      </w:r>
      <w:r w:rsidR="00A3627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E</w:t>
      </w:r>
      <w:r w:rsidR="00A3627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DISCUSSÃO</w:t>
      </w:r>
    </w:p>
    <w:p w14:paraId="23481746" w14:textId="7E3C84D9" w:rsidR="000121D0" w:rsidRPr="00B96D22" w:rsidRDefault="006F1198" w:rsidP="004975E2">
      <w:pPr>
        <w:spacing w:after="120"/>
        <w:rPr>
          <w:sz w:val="20"/>
          <w:szCs w:val="20"/>
          <w:lang w:bidi="ar-SA"/>
        </w:rPr>
      </w:pPr>
      <w:r w:rsidRPr="00B96D22">
        <w:rPr>
          <w:bCs/>
          <w:sz w:val="20"/>
          <w:szCs w:val="20"/>
        </w:rPr>
        <w:t xml:space="preserve">Na Figura 1A, </w:t>
      </w:r>
      <w:r w:rsidR="00712AE6" w:rsidRPr="00B96D22">
        <w:rPr>
          <w:bCs/>
          <w:sz w:val="20"/>
          <w:szCs w:val="20"/>
        </w:rPr>
        <w:t>as</w:t>
      </w:r>
      <w:r w:rsidRPr="00B96D22">
        <w:rPr>
          <w:bCs/>
          <w:sz w:val="20"/>
          <w:szCs w:val="20"/>
        </w:rPr>
        <w:t xml:space="preserve"> espécies não apresentaram diferenças no teor de nitrogênio entre os períodos (p = </w:t>
      </w:r>
      <w:r w:rsidRPr="00B96D22">
        <w:rPr>
          <w:sz w:val="20"/>
          <w:szCs w:val="20"/>
          <w:lang w:bidi="ar-SA"/>
        </w:rPr>
        <w:t xml:space="preserve">0.2024). </w:t>
      </w:r>
      <w:r w:rsidR="00793584" w:rsidRPr="00B96D22">
        <w:rPr>
          <w:sz w:val="20"/>
          <w:szCs w:val="20"/>
        </w:rPr>
        <w:t xml:space="preserve">Entretanto, ao avaliar as espécies dentro de cada período, observou-se diferença significativa (p &lt; 0,0001). No período seco, o </w:t>
      </w:r>
      <w:r w:rsidR="00793584" w:rsidRPr="00B96D22">
        <w:rPr>
          <w:rStyle w:val="nfase"/>
          <w:sz w:val="20"/>
          <w:szCs w:val="20"/>
        </w:rPr>
        <w:t>Eucalyptus</w:t>
      </w:r>
      <w:r w:rsidR="00793584" w:rsidRPr="00B96D22">
        <w:rPr>
          <w:sz w:val="20"/>
          <w:szCs w:val="20"/>
        </w:rPr>
        <w:t xml:space="preserve"> spp. apresentou menor teor de nitrogênio, diferenciando-se significativamente de </w:t>
      </w:r>
      <w:r w:rsidR="00793584" w:rsidRPr="00B96D22">
        <w:rPr>
          <w:rStyle w:val="nfase"/>
          <w:sz w:val="20"/>
          <w:szCs w:val="20"/>
        </w:rPr>
        <w:t>Acacia mangium</w:t>
      </w:r>
      <w:r w:rsidR="00793584" w:rsidRPr="00B96D22">
        <w:rPr>
          <w:sz w:val="20"/>
          <w:szCs w:val="20"/>
        </w:rPr>
        <w:t xml:space="preserve"> Willd. (p ajustado = 0,0262) e</w:t>
      </w:r>
      <w:r w:rsidR="004975E2">
        <w:rPr>
          <w:sz w:val="20"/>
          <w:szCs w:val="20"/>
        </w:rPr>
        <w:t xml:space="preserve"> a </w:t>
      </w:r>
      <w:r w:rsidR="00365A46" w:rsidRPr="00B96D22">
        <w:rPr>
          <w:sz w:val="20"/>
          <w:szCs w:val="20"/>
        </w:rPr>
        <w:t>N</w:t>
      </w:r>
      <w:r w:rsidR="00793584" w:rsidRPr="00B96D22">
        <w:rPr>
          <w:sz w:val="20"/>
          <w:szCs w:val="20"/>
        </w:rPr>
        <w:t>ativa (p ajustado = 0,0187), enquanto</w:t>
      </w:r>
      <w:r w:rsidR="00B24794">
        <w:rPr>
          <w:sz w:val="20"/>
          <w:szCs w:val="20"/>
        </w:rPr>
        <w:t xml:space="preserve"> a </w:t>
      </w:r>
      <w:r w:rsidR="00E821FB"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="00E821FB" w:rsidRPr="00B96D22">
        <w:rPr>
          <w:sz w:val="20"/>
          <w:szCs w:val="20"/>
          <w:shd w:val="clear" w:color="auto" w:fill="FFFFFF"/>
        </w:rPr>
        <w:t> Benth</w:t>
      </w:r>
      <w:r w:rsidR="00E821FB" w:rsidRPr="00B96D22">
        <w:rPr>
          <w:sz w:val="20"/>
          <w:szCs w:val="20"/>
        </w:rPr>
        <w:t xml:space="preserve"> </w:t>
      </w:r>
      <w:r w:rsidR="00793584" w:rsidRPr="00B96D22">
        <w:rPr>
          <w:sz w:val="20"/>
          <w:szCs w:val="20"/>
        </w:rPr>
        <w:t>não difer</w:t>
      </w:r>
      <w:r w:rsidR="00365A46" w:rsidRPr="00B96D22">
        <w:rPr>
          <w:sz w:val="20"/>
          <w:szCs w:val="20"/>
        </w:rPr>
        <w:t xml:space="preserve">enciou </w:t>
      </w:r>
      <w:r w:rsidR="00365A46" w:rsidRPr="00B96D22">
        <w:rPr>
          <w:bCs/>
          <w:sz w:val="20"/>
          <w:szCs w:val="20"/>
        </w:rPr>
        <w:t xml:space="preserve">(p ajustado = 0.0123). </w:t>
      </w:r>
      <w:r w:rsidR="00793584" w:rsidRPr="00B96D22">
        <w:rPr>
          <w:sz w:val="20"/>
          <w:szCs w:val="20"/>
        </w:rPr>
        <w:t xml:space="preserve">No período chuvoso, </w:t>
      </w:r>
      <w:r w:rsidR="00793584" w:rsidRPr="00B96D22">
        <w:rPr>
          <w:rStyle w:val="nfase"/>
          <w:sz w:val="20"/>
          <w:szCs w:val="20"/>
        </w:rPr>
        <w:t>Eucalyptus</w:t>
      </w:r>
      <w:r w:rsidR="00793584" w:rsidRPr="00B96D22">
        <w:rPr>
          <w:sz w:val="20"/>
          <w:szCs w:val="20"/>
        </w:rPr>
        <w:t xml:space="preserve"> spp. também apresentou menor concentração de nitrogênio em relação a </w:t>
      </w:r>
      <w:r w:rsidR="00E821FB"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="00E821FB" w:rsidRPr="00B96D22">
        <w:rPr>
          <w:sz w:val="20"/>
          <w:szCs w:val="20"/>
          <w:shd w:val="clear" w:color="auto" w:fill="FFFFFF"/>
        </w:rPr>
        <w:t> Benth</w:t>
      </w:r>
      <w:r w:rsidR="00E821FB" w:rsidRPr="00B96D22">
        <w:rPr>
          <w:sz w:val="20"/>
          <w:szCs w:val="20"/>
        </w:rPr>
        <w:t xml:space="preserve"> </w:t>
      </w:r>
      <w:r w:rsidR="00793584" w:rsidRPr="00B96D22">
        <w:rPr>
          <w:sz w:val="20"/>
          <w:szCs w:val="20"/>
        </w:rPr>
        <w:t xml:space="preserve">(p ajustado = 0,0123) e </w:t>
      </w:r>
      <w:r w:rsidR="00365A46" w:rsidRPr="00B96D22">
        <w:rPr>
          <w:sz w:val="20"/>
          <w:szCs w:val="20"/>
        </w:rPr>
        <w:t>N</w:t>
      </w:r>
      <w:r w:rsidR="00793584" w:rsidRPr="00B96D22">
        <w:rPr>
          <w:sz w:val="20"/>
          <w:szCs w:val="20"/>
        </w:rPr>
        <w:t xml:space="preserve">ativas (p ajustado = 0,0123), não havendo diferença em relação à </w:t>
      </w:r>
      <w:r w:rsidR="00793584" w:rsidRPr="00B96D22">
        <w:rPr>
          <w:rStyle w:val="nfase"/>
          <w:sz w:val="20"/>
          <w:szCs w:val="20"/>
        </w:rPr>
        <w:t>Acacia mangium</w:t>
      </w:r>
      <w:r w:rsidR="00793584" w:rsidRPr="00B96D22">
        <w:rPr>
          <w:sz w:val="20"/>
          <w:szCs w:val="20"/>
        </w:rPr>
        <w:t xml:space="preserve"> Willd. (p ajustado = 0,1271).</w:t>
      </w:r>
    </w:p>
    <w:p w14:paraId="58EC9616" w14:textId="731C14CB" w:rsidR="008B47E6" w:rsidRPr="008B47E6" w:rsidRDefault="008B47E6" w:rsidP="004975E2">
      <w:pPr>
        <w:spacing w:after="120"/>
        <w:rPr>
          <w:rStyle w:val="Forte"/>
          <w:b w:val="0"/>
          <w:bCs w:val="0"/>
          <w:sz w:val="20"/>
          <w:szCs w:val="20"/>
        </w:rPr>
      </w:pPr>
      <w:r w:rsidRPr="008B47E6">
        <w:rPr>
          <w:sz w:val="20"/>
          <w:szCs w:val="20"/>
        </w:rPr>
        <w:t xml:space="preserve">Esse teor reduzido na produção de nitrogênio no </w:t>
      </w:r>
      <w:r w:rsidRPr="008B47E6">
        <w:rPr>
          <w:rStyle w:val="nfase"/>
          <w:sz w:val="20"/>
          <w:szCs w:val="20"/>
        </w:rPr>
        <w:t xml:space="preserve">Eucalyptus </w:t>
      </w:r>
      <w:r w:rsidRPr="00CA7CE1">
        <w:rPr>
          <w:rStyle w:val="nfase"/>
          <w:i w:val="0"/>
          <w:iCs w:val="0"/>
          <w:sz w:val="20"/>
          <w:szCs w:val="20"/>
        </w:rPr>
        <w:t>spp</w:t>
      </w:r>
      <w:r w:rsidRPr="008B47E6">
        <w:rPr>
          <w:sz w:val="20"/>
          <w:szCs w:val="20"/>
        </w:rPr>
        <w:t xml:space="preserve"> pode estar relacionado às espécies avaliadas, a </w:t>
      </w:r>
      <w:r w:rsidRPr="008B47E6">
        <w:rPr>
          <w:rStyle w:val="nfase"/>
          <w:sz w:val="20"/>
          <w:szCs w:val="20"/>
        </w:rPr>
        <w:t>Acacia mangium</w:t>
      </w:r>
      <w:r w:rsidRPr="008B47E6">
        <w:rPr>
          <w:sz w:val="20"/>
          <w:szCs w:val="20"/>
        </w:rPr>
        <w:t xml:space="preserve"> Willd. e </w:t>
      </w:r>
      <w:r w:rsidRPr="008B47E6">
        <w:rPr>
          <w:rStyle w:val="nfase"/>
          <w:sz w:val="20"/>
          <w:szCs w:val="20"/>
        </w:rPr>
        <w:t>Mimosa caesalpiniifolia</w:t>
      </w:r>
      <w:r w:rsidRPr="008B47E6">
        <w:rPr>
          <w:sz w:val="20"/>
          <w:szCs w:val="20"/>
        </w:rPr>
        <w:t xml:space="preserve"> Benth. pertencem à família Fabaceae, que possui a capacidade de estabelecer associações simbióticas com bactérias do gênero </w:t>
      </w:r>
      <w:r w:rsidRPr="008B47E6">
        <w:rPr>
          <w:rStyle w:val="nfase"/>
          <w:sz w:val="20"/>
          <w:szCs w:val="20"/>
        </w:rPr>
        <w:t>Rhizobium</w:t>
      </w:r>
      <w:r w:rsidRPr="008B47E6">
        <w:rPr>
          <w:sz w:val="20"/>
          <w:szCs w:val="20"/>
        </w:rPr>
        <w:t>, fixadoras de nitrogênio</w:t>
      </w:r>
      <w:r w:rsidR="00590137">
        <w:rPr>
          <w:sz w:val="20"/>
          <w:szCs w:val="20"/>
        </w:rPr>
        <w:t xml:space="preserve"> </w:t>
      </w:r>
      <w:r w:rsidR="00590137" w:rsidRPr="00590137">
        <w:rPr>
          <w:sz w:val="20"/>
          <w:szCs w:val="20"/>
        </w:rPr>
        <w:t xml:space="preserve">(ZHAO </w:t>
      </w:r>
      <w:r w:rsidR="00590137" w:rsidRPr="00B24794">
        <w:rPr>
          <w:i/>
          <w:iCs/>
          <w:sz w:val="20"/>
          <w:szCs w:val="20"/>
        </w:rPr>
        <w:t>et al</w:t>
      </w:r>
      <w:r w:rsidR="00590137" w:rsidRPr="00590137">
        <w:rPr>
          <w:sz w:val="20"/>
          <w:szCs w:val="20"/>
        </w:rPr>
        <w:t>., 2021</w:t>
      </w:r>
      <w:r w:rsidR="00590137">
        <w:t>)</w:t>
      </w:r>
      <w:r w:rsidRPr="008B47E6">
        <w:rPr>
          <w:sz w:val="20"/>
          <w:szCs w:val="20"/>
        </w:rPr>
        <w:t xml:space="preserve">. </w:t>
      </w:r>
      <w:r w:rsidR="00691F20">
        <w:rPr>
          <w:sz w:val="20"/>
          <w:szCs w:val="20"/>
        </w:rPr>
        <w:t>A</w:t>
      </w:r>
      <w:r w:rsidR="00CA7CE1">
        <w:rPr>
          <w:sz w:val="20"/>
          <w:szCs w:val="20"/>
        </w:rPr>
        <w:t xml:space="preserve"> N</w:t>
      </w:r>
      <w:r w:rsidRPr="008B47E6">
        <w:rPr>
          <w:sz w:val="20"/>
          <w:szCs w:val="20"/>
        </w:rPr>
        <w:t xml:space="preserve">ativa </w:t>
      </w:r>
      <w:r w:rsidR="00691F20">
        <w:rPr>
          <w:sz w:val="20"/>
          <w:szCs w:val="20"/>
        </w:rPr>
        <w:t>teve um maior</w:t>
      </w:r>
      <w:r w:rsidRPr="008B47E6">
        <w:rPr>
          <w:sz w:val="20"/>
          <w:szCs w:val="20"/>
        </w:rPr>
        <w:t xml:space="preserve"> teor de nitrogênio em comparação ao </w:t>
      </w:r>
      <w:r w:rsidRPr="008B47E6">
        <w:rPr>
          <w:rStyle w:val="nfase"/>
          <w:sz w:val="20"/>
          <w:szCs w:val="20"/>
        </w:rPr>
        <w:t xml:space="preserve">Eucalyptus </w:t>
      </w:r>
      <w:r w:rsidRPr="00CA7CE1">
        <w:rPr>
          <w:rStyle w:val="nfase"/>
          <w:i w:val="0"/>
          <w:iCs w:val="0"/>
          <w:sz w:val="20"/>
          <w:szCs w:val="20"/>
        </w:rPr>
        <w:t>spp</w:t>
      </w:r>
      <w:r w:rsidRPr="008B47E6">
        <w:rPr>
          <w:rStyle w:val="nfase"/>
          <w:sz w:val="20"/>
          <w:szCs w:val="20"/>
        </w:rPr>
        <w:t>.</w:t>
      </w:r>
      <w:r w:rsidRPr="008B47E6">
        <w:rPr>
          <w:sz w:val="20"/>
          <w:szCs w:val="20"/>
        </w:rPr>
        <w:t xml:space="preserve">, </w:t>
      </w:r>
      <w:r w:rsidR="00691F20">
        <w:rPr>
          <w:sz w:val="20"/>
          <w:szCs w:val="20"/>
        </w:rPr>
        <w:t xml:space="preserve">esse </w:t>
      </w:r>
      <w:r w:rsidRPr="008B47E6">
        <w:rPr>
          <w:sz w:val="20"/>
          <w:szCs w:val="20"/>
        </w:rPr>
        <w:t>resultado pode ser justificado pelo maior número de espécies da família Fabaceae registrado em áreas de Caatinga com características semelhantes</w:t>
      </w:r>
      <w:r w:rsidR="00691F20">
        <w:rPr>
          <w:sz w:val="20"/>
          <w:szCs w:val="20"/>
        </w:rPr>
        <w:t xml:space="preserve"> ao do estudo</w:t>
      </w:r>
      <w:r w:rsidRPr="008B47E6">
        <w:rPr>
          <w:sz w:val="20"/>
          <w:szCs w:val="20"/>
        </w:rPr>
        <w:t xml:space="preserve">, conforme observado por Dos Reis </w:t>
      </w:r>
      <w:r w:rsidRPr="00B24794">
        <w:rPr>
          <w:i/>
          <w:iCs/>
          <w:sz w:val="20"/>
          <w:szCs w:val="20"/>
        </w:rPr>
        <w:t>et al</w:t>
      </w:r>
      <w:r w:rsidRPr="008B47E6">
        <w:rPr>
          <w:sz w:val="20"/>
          <w:szCs w:val="20"/>
        </w:rPr>
        <w:t>. (2021)</w:t>
      </w:r>
      <w:r w:rsidR="008106DD">
        <w:rPr>
          <w:sz w:val="20"/>
          <w:szCs w:val="20"/>
        </w:rPr>
        <w:t xml:space="preserve"> em um l</w:t>
      </w:r>
      <w:r w:rsidR="008106DD" w:rsidRPr="008106DD">
        <w:rPr>
          <w:sz w:val="20"/>
          <w:szCs w:val="20"/>
        </w:rPr>
        <w:t>evantamento florístico da Caatinga no estado do Ceará</w:t>
      </w:r>
      <w:r w:rsidRPr="008106DD">
        <w:rPr>
          <w:sz w:val="20"/>
          <w:szCs w:val="20"/>
        </w:rPr>
        <w:t>.</w:t>
      </w:r>
    </w:p>
    <w:p w14:paraId="6ACFAA33" w14:textId="64098948" w:rsidR="00E821FB" w:rsidRPr="00B96D22" w:rsidRDefault="00D83AE8" w:rsidP="004975E2">
      <w:pPr>
        <w:spacing w:after="120"/>
        <w:rPr>
          <w:sz w:val="20"/>
          <w:szCs w:val="20"/>
        </w:rPr>
      </w:pPr>
      <w:r w:rsidRPr="00B96D22">
        <w:rPr>
          <w:bCs/>
          <w:sz w:val="20"/>
          <w:szCs w:val="20"/>
        </w:rPr>
        <w:t xml:space="preserve">Na Figura 1B, </w:t>
      </w:r>
      <w:r w:rsidR="008C000C" w:rsidRPr="00B96D22">
        <w:rPr>
          <w:bCs/>
          <w:sz w:val="20"/>
          <w:szCs w:val="20"/>
        </w:rPr>
        <w:t>o</w:t>
      </w:r>
      <w:r w:rsidR="00712AE6">
        <w:rPr>
          <w:bCs/>
          <w:sz w:val="20"/>
          <w:szCs w:val="20"/>
        </w:rPr>
        <w:t>s</w:t>
      </w:r>
      <w:r w:rsidR="008C000C" w:rsidRPr="00B96D22">
        <w:rPr>
          <w:bCs/>
          <w:sz w:val="20"/>
          <w:szCs w:val="20"/>
        </w:rPr>
        <w:t xml:space="preserve"> teor</w:t>
      </w:r>
      <w:r w:rsidR="00712AE6">
        <w:rPr>
          <w:bCs/>
          <w:sz w:val="20"/>
          <w:szCs w:val="20"/>
        </w:rPr>
        <w:t>es</w:t>
      </w:r>
      <w:r w:rsidR="008C000C" w:rsidRPr="00B96D22">
        <w:rPr>
          <w:bCs/>
          <w:sz w:val="20"/>
          <w:szCs w:val="20"/>
        </w:rPr>
        <w:t xml:space="preserve"> de fósforo </w:t>
      </w:r>
      <w:r w:rsidR="00712AE6">
        <w:rPr>
          <w:bCs/>
          <w:sz w:val="20"/>
          <w:szCs w:val="20"/>
        </w:rPr>
        <w:t>n</w:t>
      </w:r>
      <w:r w:rsidR="00A13A4C" w:rsidRPr="00B96D22">
        <w:rPr>
          <w:bCs/>
          <w:sz w:val="20"/>
          <w:szCs w:val="20"/>
        </w:rPr>
        <w:t>as espécies não apresentaram nenhuma diferença</w:t>
      </w:r>
      <w:r w:rsidR="006C0E57" w:rsidRPr="00B96D22">
        <w:rPr>
          <w:bCs/>
          <w:sz w:val="20"/>
          <w:szCs w:val="20"/>
        </w:rPr>
        <w:t xml:space="preserve"> entre os períodos</w:t>
      </w:r>
      <w:r w:rsidR="009C219D" w:rsidRPr="00B96D22">
        <w:rPr>
          <w:bCs/>
          <w:sz w:val="20"/>
          <w:szCs w:val="20"/>
        </w:rPr>
        <w:t xml:space="preserve"> (P = 0.3566), </w:t>
      </w:r>
      <w:r w:rsidR="001A1B96" w:rsidRPr="00B96D22">
        <w:rPr>
          <w:bCs/>
          <w:sz w:val="20"/>
          <w:szCs w:val="20"/>
        </w:rPr>
        <w:t xml:space="preserve">comparando as espécies dentro de cada </w:t>
      </w:r>
      <w:r w:rsidR="00B84A17" w:rsidRPr="00B96D22">
        <w:rPr>
          <w:bCs/>
          <w:sz w:val="20"/>
          <w:szCs w:val="20"/>
        </w:rPr>
        <w:t xml:space="preserve">período observou-se diferença estatística (p = 0.0009), onde a </w:t>
      </w:r>
      <w:r w:rsidR="008F688D"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="008F688D" w:rsidRPr="00B96D22">
        <w:rPr>
          <w:sz w:val="20"/>
          <w:szCs w:val="20"/>
          <w:shd w:val="clear" w:color="auto" w:fill="FFFFFF"/>
        </w:rPr>
        <w:t> Benth</w:t>
      </w:r>
      <w:r w:rsidR="008F688D" w:rsidRPr="00B96D22">
        <w:rPr>
          <w:rStyle w:val="nfase"/>
          <w:i w:val="0"/>
          <w:iCs w:val="0"/>
          <w:sz w:val="20"/>
          <w:szCs w:val="20"/>
        </w:rPr>
        <w:t xml:space="preserve"> </w:t>
      </w:r>
      <w:r w:rsidR="00B84A17" w:rsidRPr="00B96D22">
        <w:rPr>
          <w:rStyle w:val="nfase"/>
          <w:i w:val="0"/>
          <w:iCs w:val="0"/>
          <w:sz w:val="20"/>
          <w:szCs w:val="20"/>
        </w:rPr>
        <w:t>se diferenciou</w:t>
      </w:r>
      <w:r w:rsidR="00B84A17" w:rsidRPr="00B96D22">
        <w:rPr>
          <w:rStyle w:val="nfase"/>
          <w:sz w:val="20"/>
          <w:szCs w:val="20"/>
        </w:rPr>
        <w:t xml:space="preserve"> </w:t>
      </w:r>
      <w:r w:rsidR="00B84A17" w:rsidRPr="00B96D22">
        <w:rPr>
          <w:rStyle w:val="nfase"/>
          <w:i w:val="0"/>
          <w:iCs w:val="0"/>
          <w:sz w:val="20"/>
          <w:szCs w:val="20"/>
        </w:rPr>
        <w:t xml:space="preserve">do </w:t>
      </w:r>
      <w:r w:rsidR="0011676A" w:rsidRPr="00B96D22">
        <w:rPr>
          <w:rStyle w:val="nfase"/>
          <w:sz w:val="20"/>
          <w:szCs w:val="20"/>
        </w:rPr>
        <w:t>Eucalyptus</w:t>
      </w:r>
      <w:r w:rsidR="0011676A" w:rsidRPr="00B96D22">
        <w:rPr>
          <w:sz w:val="20"/>
          <w:szCs w:val="20"/>
        </w:rPr>
        <w:t xml:space="preserve"> spp no período seco (p ajustado = 0.0036)</w:t>
      </w:r>
      <w:r w:rsidR="00922A12" w:rsidRPr="00B96D22">
        <w:rPr>
          <w:sz w:val="20"/>
          <w:szCs w:val="20"/>
        </w:rPr>
        <w:t xml:space="preserve"> e no chuvoso (p = 0.0081), as outras espécies não se diferenciaram.</w:t>
      </w:r>
    </w:p>
    <w:p w14:paraId="4213C549" w14:textId="3EEEB3EC" w:rsidR="00D33D51" w:rsidRPr="00D33D51" w:rsidRDefault="00D33D51" w:rsidP="004975E2">
      <w:pPr>
        <w:spacing w:after="120"/>
        <w:rPr>
          <w:rStyle w:val="Forte"/>
          <w:b w:val="0"/>
          <w:bCs w:val="0"/>
          <w:sz w:val="20"/>
          <w:szCs w:val="20"/>
        </w:rPr>
      </w:pPr>
      <w:r w:rsidRPr="00D33D51">
        <w:rPr>
          <w:sz w:val="20"/>
          <w:szCs w:val="20"/>
        </w:rPr>
        <w:t>O</w:t>
      </w:r>
      <w:r w:rsidR="00712AE6">
        <w:rPr>
          <w:sz w:val="20"/>
          <w:szCs w:val="20"/>
        </w:rPr>
        <w:t>s</w:t>
      </w:r>
      <w:r w:rsidRPr="00D33D51">
        <w:rPr>
          <w:sz w:val="20"/>
          <w:szCs w:val="20"/>
        </w:rPr>
        <w:t xml:space="preserve"> teor</w:t>
      </w:r>
      <w:r w:rsidR="00712AE6">
        <w:rPr>
          <w:sz w:val="20"/>
          <w:szCs w:val="20"/>
        </w:rPr>
        <w:t>es</w:t>
      </w:r>
      <w:r w:rsidRPr="00D33D51">
        <w:rPr>
          <w:sz w:val="20"/>
          <w:szCs w:val="20"/>
        </w:rPr>
        <w:t xml:space="preserve"> de fósforo não apresent</w:t>
      </w:r>
      <w:r w:rsidR="00712AE6">
        <w:rPr>
          <w:sz w:val="20"/>
          <w:szCs w:val="20"/>
        </w:rPr>
        <w:t>am</w:t>
      </w:r>
      <w:r w:rsidRPr="00D33D51">
        <w:rPr>
          <w:sz w:val="20"/>
          <w:szCs w:val="20"/>
        </w:rPr>
        <w:t xml:space="preserve"> diferença entre os períodos, refletindo a alta mobilidade do nutriente que é retranslocado para tecidos ativos antes da senescência foliar (CARVALHO, 2023; NASCIMENTO </w:t>
      </w:r>
      <w:r w:rsidRPr="00B24794">
        <w:rPr>
          <w:i/>
          <w:iCs/>
          <w:sz w:val="20"/>
          <w:szCs w:val="20"/>
        </w:rPr>
        <w:t>et al</w:t>
      </w:r>
      <w:r w:rsidRPr="00D33D51">
        <w:rPr>
          <w:sz w:val="20"/>
          <w:szCs w:val="20"/>
        </w:rPr>
        <w:t xml:space="preserve">., 2018). A diferença entre </w:t>
      </w:r>
      <w:r w:rsidR="00B24794">
        <w:rPr>
          <w:sz w:val="20"/>
          <w:szCs w:val="20"/>
        </w:rPr>
        <w:t xml:space="preserve">a </w:t>
      </w:r>
      <w:r w:rsidRPr="00D33D51">
        <w:rPr>
          <w:rStyle w:val="nfase"/>
          <w:sz w:val="20"/>
          <w:szCs w:val="20"/>
        </w:rPr>
        <w:t>Mimosa caesalpiniifolia</w:t>
      </w:r>
      <w:r w:rsidRPr="00D33D51">
        <w:rPr>
          <w:sz w:val="20"/>
          <w:szCs w:val="20"/>
        </w:rPr>
        <w:t xml:space="preserve"> Benth. e </w:t>
      </w:r>
      <w:r w:rsidRPr="00D33D51">
        <w:rPr>
          <w:rStyle w:val="nfase"/>
          <w:sz w:val="20"/>
          <w:szCs w:val="20"/>
        </w:rPr>
        <w:t xml:space="preserve">Eucalyptus </w:t>
      </w:r>
      <w:r w:rsidRPr="00D33D51">
        <w:rPr>
          <w:rStyle w:val="nfase"/>
          <w:i w:val="0"/>
          <w:iCs w:val="0"/>
          <w:sz w:val="20"/>
          <w:szCs w:val="20"/>
        </w:rPr>
        <w:t>spp</w:t>
      </w:r>
      <w:r w:rsidRPr="00D33D51">
        <w:rPr>
          <w:sz w:val="20"/>
          <w:szCs w:val="20"/>
        </w:rPr>
        <w:t xml:space="preserve"> pode ser explicada pelas distintas características foliares</w:t>
      </w:r>
      <w:r>
        <w:rPr>
          <w:sz w:val="20"/>
          <w:szCs w:val="20"/>
        </w:rPr>
        <w:t xml:space="preserve">, </w:t>
      </w:r>
      <w:r w:rsidR="002B11B3">
        <w:rPr>
          <w:sz w:val="20"/>
          <w:szCs w:val="20"/>
        </w:rPr>
        <w:t>pois,</w:t>
      </w:r>
      <w:r>
        <w:rPr>
          <w:sz w:val="20"/>
          <w:szCs w:val="20"/>
        </w:rPr>
        <w:t xml:space="preserve"> a</w:t>
      </w:r>
      <w:r w:rsidRPr="00D33D51">
        <w:rPr>
          <w:sz w:val="20"/>
          <w:szCs w:val="20"/>
        </w:rPr>
        <w:t xml:space="preserve"> </w:t>
      </w:r>
      <w:r w:rsidRPr="00D33D51">
        <w:rPr>
          <w:rStyle w:val="nfase"/>
          <w:sz w:val="20"/>
          <w:szCs w:val="20"/>
        </w:rPr>
        <w:t>Mimosa caesalpiniifolia</w:t>
      </w:r>
      <w:r w:rsidRPr="00D33D51">
        <w:rPr>
          <w:sz w:val="20"/>
          <w:szCs w:val="20"/>
        </w:rPr>
        <w:t xml:space="preserve"> Benth</w:t>
      </w:r>
      <w:r>
        <w:rPr>
          <w:sz w:val="20"/>
          <w:szCs w:val="20"/>
        </w:rPr>
        <w:t xml:space="preserve"> </w:t>
      </w:r>
      <w:r w:rsidRPr="00D33D51">
        <w:rPr>
          <w:sz w:val="20"/>
          <w:szCs w:val="20"/>
        </w:rPr>
        <w:t xml:space="preserve">possui folhas com menor teor de compostos recalcitrantes, favorecendo a decomposição rápida e a ciclagem eficiente do fósforo, enquanto </w:t>
      </w:r>
      <w:r w:rsidRPr="00D33D51">
        <w:rPr>
          <w:rStyle w:val="nfase"/>
          <w:sz w:val="20"/>
          <w:szCs w:val="20"/>
        </w:rPr>
        <w:t xml:space="preserve">Eucalyptus </w:t>
      </w:r>
      <w:r w:rsidRPr="00D33D51">
        <w:rPr>
          <w:rStyle w:val="nfase"/>
          <w:i w:val="0"/>
          <w:iCs w:val="0"/>
          <w:sz w:val="20"/>
          <w:szCs w:val="20"/>
        </w:rPr>
        <w:t>spp</w:t>
      </w:r>
      <w:r w:rsidRPr="00D33D51">
        <w:rPr>
          <w:rStyle w:val="nfase"/>
          <w:sz w:val="20"/>
          <w:szCs w:val="20"/>
        </w:rPr>
        <w:t>.</w:t>
      </w:r>
      <w:r w:rsidRPr="00D33D51">
        <w:rPr>
          <w:sz w:val="20"/>
          <w:szCs w:val="20"/>
        </w:rPr>
        <w:t xml:space="preserve"> apresenta folhas mais lignificadas e resistentes, retardando a liberação do nutriente</w:t>
      </w:r>
      <w:r w:rsidR="00946EC3">
        <w:rPr>
          <w:sz w:val="20"/>
          <w:szCs w:val="20"/>
        </w:rPr>
        <w:t xml:space="preserve"> </w:t>
      </w:r>
      <w:r w:rsidR="00946EC3" w:rsidRPr="00946EC3">
        <w:rPr>
          <w:sz w:val="20"/>
          <w:szCs w:val="20"/>
        </w:rPr>
        <w:t xml:space="preserve">(PEGORARO </w:t>
      </w:r>
      <w:r w:rsidR="00946EC3" w:rsidRPr="00B24794">
        <w:rPr>
          <w:i/>
          <w:iCs/>
          <w:sz w:val="20"/>
          <w:szCs w:val="20"/>
        </w:rPr>
        <w:t>et al</w:t>
      </w:r>
      <w:r w:rsidR="00946EC3" w:rsidRPr="00946EC3">
        <w:rPr>
          <w:sz w:val="20"/>
          <w:szCs w:val="20"/>
        </w:rPr>
        <w:t>., 2013)</w:t>
      </w:r>
    </w:p>
    <w:p w14:paraId="2C8591FE" w14:textId="7F2237B2" w:rsidR="00E81E1E" w:rsidRPr="00B96D22" w:rsidRDefault="00E821FB" w:rsidP="004975E2">
      <w:pPr>
        <w:spacing w:after="120"/>
        <w:rPr>
          <w:sz w:val="20"/>
          <w:szCs w:val="20"/>
        </w:rPr>
      </w:pPr>
      <w:r w:rsidRPr="00B96D22">
        <w:rPr>
          <w:rStyle w:val="Forte"/>
          <w:b w:val="0"/>
          <w:bCs w:val="0"/>
          <w:sz w:val="20"/>
          <w:szCs w:val="20"/>
          <w:lang w:bidi="ar-SA"/>
        </w:rPr>
        <w:t>Na Figura 1C</w:t>
      </w:r>
      <w:r w:rsidRPr="00B96D22">
        <w:rPr>
          <w:sz w:val="20"/>
          <w:szCs w:val="20"/>
        </w:rPr>
        <w:t>, o potássio apresentou diferença estatística significativa tanto entre os períodos (</w:t>
      </w:r>
      <w:r w:rsidRPr="00B96D22">
        <w:rPr>
          <w:rStyle w:val="nfase"/>
          <w:i w:val="0"/>
          <w:iCs w:val="0"/>
          <w:sz w:val="20"/>
          <w:szCs w:val="20"/>
        </w:rPr>
        <w:t>p</w:t>
      </w:r>
      <w:r w:rsidRPr="00B96D22">
        <w:rPr>
          <w:i/>
          <w:iCs/>
          <w:sz w:val="20"/>
          <w:szCs w:val="20"/>
        </w:rPr>
        <w:t xml:space="preserve"> </w:t>
      </w:r>
      <w:r w:rsidRPr="00B96D22">
        <w:rPr>
          <w:sz w:val="20"/>
          <w:szCs w:val="20"/>
        </w:rPr>
        <w:t>&lt; 0,0001) quanto entre as espécies (</w:t>
      </w:r>
      <w:r w:rsidRPr="00B96D22">
        <w:rPr>
          <w:rStyle w:val="nfase"/>
          <w:i w:val="0"/>
          <w:iCs w:val="0"/>
          <w:sz w:val="20"/>
          <w:szCs w:val="20"/>
        </w:rPr>
        <w:t>p</w:t>
      </w:r>
      <w:r w:rsidRPr="00B96D22">
        <w:rPr>
          <w:sz w:val="20"/>
          <w:szCs w:val="20"/>
        </w:rPr>
        <w:t xml:space="preserve"> = 0,0004). Destaca-se a </w:t>
      </w:r>
      <w:r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Pr="00B96D22">
        <w:rPr>
          <w:sz w:val="20"/>
          <w:szCs w:val="20"/>
          <w:shd w:val="clear" w:color="auto" w:fill="FFFFFF"/>
        </w:rPr>
        <w:t> Benth</w:t>
      </w:r>
      <w:r w:rsidRPr="00B96D22">
        <w:rPr>
          <w:sz w:val="20"/>
          <w:szCs w:val="20"/>
        </w:rPr>
        <w:t xml:space="preserve">, que no período seco mostrou maior acúmulo de potássio, diferenciando-se estatisticamente de </w:t>
      </w:r>
      <w:r w:rsidRPr="00B96D22">
        <w:rPr>
          <w:rStyle w:val="nfase"/>
          <w:sz w:val="20"/>
          <w:szCs w:val="20"/>
        </w:rPr>
        <w:t>Eucalyptus</w:t>
      </w:r>
      <w:r w:rsidRPr="00B96D22">
        <w:rPr>
          <w:sz w:val="20"/>
          <w:szCs w:val="20"/>
        </w:rPr>
        <w:t xml:space="preserve"> spp (</w:t>
      </w:r>
      <w:r w:rsidRPr="00B96D22">
        <w:rPr>
          <w:rStyle w:val="nfase"/>
          <w:i w:val="0"/>
          <w:iCs w:val="0"/>
          <w:sz w:val="20"/>
          <w:szCs w:val="20"/>
        </w:rPr>
        <w:t>p</w:t>
      </w:r>
      <w:r w:rsidRPr="00B96D22">
        <w:rPr>
          <w:sz w:val="20"/>
          <w:szCs w:val="20"/>
        </w:rPr>
        <w:t xml:space="preserve"> ajustado &lt; 0,0001), </w:t>
      </w:r>
      <w:r w:rsidRPr="00B96D22">
        <w:rPr>
          <w:rStyle w:val="nfase"/>
          <w:sz w:val="20"/>
          <w:szCs w:val="20"/>
        </w:rPr>
        <w:t>Acacia mangium</w:t>
      </w:r>
      <w:r w:rsidRPr="00B96D22">
        <w:rPr>
          <w:sz w:val="20"/>
          <w:szCs w:val="20"/>
        </w:rPr>
        <w:t xml:space="preserve"> Willd (</w:t>
      </w:r>
      <w:r w:rsidRPr="00B96D22">
        <w:rPr>
          <w:rStyle w:val="nfase"/>
          <w:i w:val="0"/>
          <w:iCs w:val="0"/>
          <w:sz w:val="20"/>
          <w:szCs w:val="20"/>
        </w:rPr>
        <w:t>p</w:t>
      </w:r>
      <w:r w:rsidRPr="00B96D22">
        <w:rPr>
          <w:i/>
          <w:iCs/>
          <w:sz w:val="20"/>
          <w:szCs w:val="20"/>
        </w:rPr>
        <w:t xml:space="preserve"> </w:t>
      </w:r>
      <w:r w:rsidRPr="00B96D22">
        <w:rPr>
          <w:sz w:val="20"/>
          <w:szCs w:val="20"/>
        </w:rPr>
        <w:t xml:space="preserve">ajustado = 0,0020) e </w:t>
      </w:r>
      <w:r w:rsidR="008F688D" w:rsidRPr="00B96D22">
        <w:rPr>
          <w:sz w:val="20"/>
          <w:szCs w:val="20"/>
        </w:rPr>
        <w:t>N</w:t>
      </w:r>
      <w:r w:rsidRPr="00B96D22">
        <w:rPr>
          <w:sz w:val="20"/>
          <w:szCs w:val="20"/>
        </w:rPr>
        <w:t>ativa (</w:t>
      </w:r>
      <w:r w:rsidRPr="00B96D22">
        <w:rPr>
          <w:rStyle w:val="nfase"/>
          <w:i w:val="0"/>
          <w:iCs w:val="0"/>
          <w:sz w:val="20"/>
          <w:szCs w:val="20"/>
        </w:rPr>
        <w:t>p</w:t>
      </w:r>
      <w:r w:rsidRPr="00B96D22">
        <w:rPr>
          <w:i/>
          <w:iCs/>
          <w:sz w:val="20"/>
          <w:szCs w:val="20"/>
        </w:rPr>
        <w:t xml:space="preserve"> </w:t>
      </w:r>
      <w:r w:rsidRPr="00B96D22">
        <w:rPr>
          <w:sz w:val="20"/>
          <w:szCs w:val="20"/>
        </w:rPr>
        <w:t>ajustado = 0,0057). Já no período chuvoso as espécies não se diferenciaram estatisticamente</w:t>
      </w:r>
      <w:r w:rsidR="00DB5B2B" w:rsidRPr="00B96D22">
        <w:rPr>
          <w:sz w:val="20"/>
          <w:szCs w:val="20"/>
        </w:rPr>
        <w:t>.</w:t>
      </w:r>
    </w:p>
    <w:p w14:paraId="469FAA4F" w14:textId="3CD310C1" w:rsidR="00DB5B2B" w:rsidRPr="00B96D22" w:rsidRDefault="00CA03C5" w:rsidP="004975E2">
      <w:pPr>
        <w:spacing w:after="120"/>
        <w:rPr>
          <w:rStyle w:val="Forte"/>
          <w:b w:val="0"/>
          <w:bCs w:val="0"/>
          <w:sz w:val="20"/>
          <w:szCs w:val="20"/>
          <w:lang w:bidi="ar-SA"/>
        </w:rPr>
      </w:pPr>
      <w:r w:rsidRPr="00B96D22">
        <w:rPr>
          <w:sz w:val="20"/>
          <w:szCs w:val="20"/>
        </w:rPr>
        <w:t xml:space="preserve">A redução do acúmulo de potássio na serrapilheira durante o período chuvoso, em comparação ao seco, está associada a fatores climáticos e fisiológicos. O potássio regula o potencial hídrico celular e o funcionamento estomático, sendo essencial para manter o turgor em condições de estresse hídrico, atuando na abertura e fechamento dos estômatos (TAIZ </w:t>
      </w:r>
      <w:r w:rsidRPr="00B24794">
        <w:rPr>
          <w:i/>
          <w:iCs/>
          <w:sz w:val="20"/>
          <w:szCs w:val="20"/>
        </w:rPr>
        <w:t>et al</w:t>
      </w:r>
      <w:r w:rsidRPr="00B96D22">
        <w:rPr>
          <w:sz w:val="20"/>
          <w:szCs w:val="20"/>
        </w:rPr>
        <w:t xml:space="preserve">., 2017, p. 113). Além disso, sua alta mobilidade, por estar na forma iônica e não integrar estruturas fixas, favorece a lixiviação em períodos de maior precipitação (GOMES </w:t>
      </w:r>
      <w:r w:rsidRPr="00B24794">
        <w:rPr>
          <w:i/>
          <w:iCs/>
          <w:sz w:val="20"/>
          <w:szCs w:val="20"/>
        </w:rPr>
        <w:t>et al</w:t>
      </w:r>
      <w:r w:rsidRPr="00B96D22">
        <w:rPr>
          <w:sz w:val="20"/>
          <w:szCs w:val="20"/>
        </w:rPr>
        <w:t xml:space="preserve">., 2022; FRANÇA </w:t>
      </w:r>
      <w:r w:rsidRPr="00B24794">
        <w:rPr>
          <w:i/>
          <w:iCs/>
          <w:sz w:val="20"/>
          <w:szCs w:val="20"/>
        </w:rPr>
        <w:t>et al</w:t>
      </w:r>
      <w:r w:rsidRPr="00B96D22">
        <w:rPr>
          <w:sz w:val="20"/>
          <w:szCs w:val="20"/>
        </w:rPr>
        <w:t>., 2022).</w:t>
      </w:r>
    </w:p>
    <w:p w14:paraId="21348C7A" w14:textId="5EBFA910" w:rsidR="00B60BED" w:rsidRPr="00B96D22" w:rsidRDefault="00DB5B2B" w:rsidP="004975E2">
      <w:pPr>
        <w:spacing w:after="120"/>
        <w:rPr>
          <w:sz w:val="20"/>
          <w:szCs w:val="20"/>
        </w:rPr>
      </w:pPr>
      <w:r w:rsidRPr="00B96D22">
        <w:rPr>
          <w:rStyle w:val="Forte"/>
          <w:b w:val="0"/>
          <w:bCs w:val="0"/>
          <w:sz w:val="20"/>
          <w:szCs w:val="20"/>
          <w:lang w:bidi="ar-SA"/>
        </w:rPr>
        <w:lastRenderedPageBreak/>
        <w:t xml:space="preserve">Na figura 1D, </w:t>
      </w:r>
      <w:r w:rsidR="0063108F" w:rsidRPr="00B96D22">
        <w:rPr>
          <w:rStyle w:val="Forte"/>
          <w:b w:val="0"/>
          <w:bCs w:val="0"/>
          <w:sz w:val="20"/>
          <w:szCs w:val="20"/>
          <w:lang w:bidi="ar-SA"/>
        </w:rPr>
        <w:t xml:space="preserve">podemos ver que o </w:t>
      </w:r>
      <w:r w:rsidR="00C02F34" w:rsidRPr="00B96D22">
        <w:rPr>
          <w:rStyle w:val="Forte"/>
          <w:b w:val="0"/>
          <w:bCs w:val="0"/>
          <w:sz w:val="20"/>
          <w:szCs w:val="20"/>
          <w:lang w:bidi="ar-SA"/>
        </w:rPr>
        <w:t>teor</w:t>
      </w:r>
      <w:r w:rsidR="0063108F" w:rsidRPr="00B96D22">
        <w:rPr>
          <w:rStyle w:val="Forte"/>
          <w:b w:val="0"/>
          <w:bCs w:val="0"/>
          <w:sz w:val="20"/>
          <w:szCs w:val="20"/>
          <w:lang w:bidi="ar-SA"/>
        </w:rPr>
        <w:t xml:space="preserve"> de magnésio nas espécies </w:t>
      </w:r>
      <w:r w:rsidR="001E7993" w:rsidRPr="00B96D22">
        <w:rPr>
          <w:rStyle w:val="Forte"/>
          <w:b w:val="0"/>
          <w:bCs w:val="0"/>
          <w:sz w:val="20"/>
          <w:szCs w:val="20"/>
          <w:lang w:bidi="ar-SA"/>
        </w:rPr>
        <w:t xml:space="preserve">não se diferenciou dentro dos períodos (p = </w:t>
      </w:r>
      <w:r w:rsidR="00B52F3F" w:rsidRPr="00B96D22">
        <w:rPr>
          <w:rStyle w:val="Forte"/>
          <w:b w:val="0"/>
          <w:bCs w:val="0"/>
          <w:sz w:val="20"/>
          <w:szCs w:val="20"/>
          <w:lang w:bidi="ar-SA"/>
        </w:rPr>
        <w:t xml:space="preserve">0.2230), já entre os períodos a </w:t>
      </w:r>
      <w:r w:rsidR="00B52F3F"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="00B52F3F" w:rsidRPr="00B96D22">
        <w:rPr>
          <w:sz w:val="20"/>
          <w:szCs w:val="20"/>
          <w:shd w:val="clear" w:color="auto" w:fill="FFFFFF"/>
        </w:rPr>
        <w:t xml:space="preserve"> Benth teve uma produção maior no período seco do que a </w:t>
      </w:r>
      <w:r w:rsidR="00826FF3" w:rsidRPr="00B96D22">
        <w:rPr>
          <w:rStyle w:val="nfase"/>
          <w:sz w:val="20"/>
          <w:szCs w:val="20"/>
        </w:rPr>
        <w:t>Acacia mangium</w:t>
      </w:r>
      <w:r w:rsidR="00826FF3" w:rsidRPr="00B96D22">
        <w:rPr>
          <w:sz w:val="20"/>
          <w:szCs w:val="20"/>
        </w:rPr>
        <w:t xml:space="preserve"> Willd no período chuvoso (p ajustado = 0.0247), as demais espécies não apresentaram diferença.</w:t>
      </w:r>
    </w:p>
    <w:p w14:paraId="0A4A9464" w14:textId="5B48596F" w:rsidR="00AC3D4D" w:rsidRPr="00AC3D4D" w:rsidRDefault="00AC3D4D" w:rsidP="004975E2">
      <w:pPr>
        <w:spacing w:after="120"/>
        <w:rPr>
          <w:rStyle w:val="Forte"/>
          <w:b w:val="0"/>
          <w:bCs w:val="0"/>
          <w:sz w:val="20"/>
          <w:szCs w:val="20"/>
        </w:rPr>
      </w:pPr>
      <w:r w:rsidRPr="00AC3D4D">
        <w:rPr>
          <w:sz w:val="20"/>
          <w:szCs w:val="20"/>
        </w:rPr>
        <w:t xml:space="preserve">Esse resultado pode estar relacionado ao papel do magnésio na planta, já que ele compõe a molécula de clorofila e atua na ativação enzimática, sendo essencial para a estabilidade da fotossíntese. No período chuvoso, </w:t>
      </w:r>
      <w:r w:rsidRPr="00AC3D4D">
        <w:rPr>
          <w:rStyle w:val="nfase"/>
          <w:sz w:val="20"/>
          <w:szCs w:val="20"/>
        </w:rPr>
        <w:t>Acacia mangium</w:t>
      </w:r>
      <w:r w:rsidRPr="00AC3D4D">
        <w:rPr>
          <w:sz w:val="20"/>
          <w:szCs w:val="20"/>
        </w:rPr>
        <w:t xml:space="preserve"> Willd. pode ter retido mais magnésio para sustentar a atividade fotossintética, enquanto </w:t>
      </w:r>
      <w:r w:rsidR="00712AE6">
        <w:rPr>
          <w:sz w:val="20"/>
          <w:szCs w:val="20"/>
        </w:rPr>
        <w:t xml:space="preserve">a </w:t>
      </w:r>
      <w:r w:rsidRPr="00B96D22">
        <w:rPr>
          <w:rStyle w:val="nfase"/>
          <w:sz w:val="20"/>
          <w:szCs w:val="20"/>
          <w:shd w:val="clear" w:color="auto" w:fill="FFFFFF"/>
        </w:rPr>
        <w:t>Mimosa caesalpiniifolia</w:t>
      </w:r>
      <w:r w:rsidRPr="00B96D22">
        <w:rPr>
          <w:sz w:val="20"/>
          <w:szCs w:val="20"/>
          <w:shd w:val="clear" w:color="auto" w:fill="FFFFFF"/>
        </w:rPr>
        <w:t> </w:t>
      </w:r>
      <w:r w:rsidRPr="00AC3D4D">
        <w:rPr>
          <w:sz w:val="20"/>
          <w:szCs w:val="20"/>
        </w:rPr>
        <w:t xml:space="preserve">Benth., no período seco adota a perda de folhas como estratégia, resultando em maior aporte de magnésio na serapilheira (NASCIMENTO </w:t>
      </w:r>
      <w:r w:rsidRPr="00B24794">
        <w:rPr>
          <w:i/>
          <w:iCs/>
          <w:sz w:val="20"/>
          <w:szCs w:val="20"/>
        </w:rPr>
        <w:t>et al</w:t>
      </w:r>
      <w:r w:rsidRPr="00AC3D4D">
        <w:rPr>
          <w:sz w:val="20"/>
          <w:szCs w:val="20"/>
        </w:rPr>
        <w:t>., 2018; CARVALHO, 2023).</w:t>
      </w:r>
    </w:p>
    <w:p w14:paraId="6039D036" w14:textId="52373331" w:rsidR="00306554" w:rsidRDefault="00B60BED" w:rsidP="004975E2">
      <w:pPr>
        <w:spacing w:after="120"/>
        <w:rPr>
          <w:sz w:val="20"/>
          <w:szCs w:val="20"/>
        </w:rPr>
      </w:pPr>
      <w:r w:rsidRPr="00B96D22">
        <w:rPr>
          <w:rStyle w:val="Forte"/>
          <w:b w:val="0"/>
          <w:bCs w:val="0"/>
          <w:sz w:val="20"/>
          <w:szCs w:val="20"/>
          <w:lang w:bidi="ar-SA"/>
        </w:rPr>
        <w:t xml:space="preserve">Na figura 1F, o Cálcio mostrou uma diferença significativa </w:t>
      </w:r>
      <w:r w:rsidR="00443152" w:rsidRPr="00B96D22">
        <w:rPr>
          <w:rStyle w:val="Forte"/>
          <w:b w:val="0"/>
          <w:bCs w:val="0"/>
          <w:sz w:val="20"/>
          <w:szCs w:val="20"/>
          <w:lang w:bidi="ar-SA"/>
        </w:rPr>
        <w:t xml:space="preserve">dentro do período chuvoso (p = 0.0008), a Nativa teve uma concentração menor que o </w:t>
      </w:r>
      <w:r w:rsidR="00443152" w:rsidRPr="00B96D22">
        <w:rPr>
          <w:rStyle w:val="nfase"/>
          <w:sz w:val="20"/>
          <w:szCs w:val="20"/>
        </w:rPr>
        <w:t>Eucalyptus</w:t>
      </w:r>
      <w:r w:rsidR="00443152" w:rsidRPr="00B96D22">
        <w:rPr>
          <w:sz w:val="20"/>
          <w:szCs w:val="20"/>
        </w:rPr>
        <w:t xml:space="preserve"> spp</w:t>
      </w:r>
      <w:r w:rsidR="00E82389" w:rsidRPr="00B96D22">
        <w:rPr>
          <w:sz w:val="20"/>
          <w:szCs w:val="20"/>
        </w:rPr>
        <w:t xml:space="preserve"> (p ajustado = 0.0129). Entre os períodos </w:t>
      </w:r>
      <w:r w:rsidR="00735E78">
        <w:rPr>
          <w:sz w:val="20"/>
          <w:szCs w:val="20"/>
        </w:rPr>
        <w:t xml:space="preserve">as </w:t>
      </w:r>
      <w:r w:rsidR="00E82389" w:rsidRPr="00B96D22">
        <w:rPr>
          <w:sz w:val="20"/>
          <w:szCs w:val="20"/>
        </w:rPr>
        <w:t>outras espécies não se diferenciaram estatisticamente (p = 0.5224).</w:t>
      </w:r>
    </w:p>
    <w:p w14:paraId="2824D0FD" w14:textId="43F835F7" w:rsidR="00610D48" w:rsidRPr="00610D48" w:rsidRDefault="00610D48" w:rsidP="004975E2">
      <w:pPr>
        <w:spacing w:after="120"/>
        <w:rPr>
          <w:sz w:val="20"/>
          <w:szCs w:val="20"/>
          <w:lang w:bidi="ar-SA"/>
        </w:rPr>
      </w:pPr>
      <w:r w:rsidRPr="00610D48">
        <w:rPr>
          <w:sz w:val="20"/>
          <w:szCs w:val="20"/>
          <w:lang w:bidi="ar-SA"/>
        </w:rPr>
        <w:t>A maior concentração de cálcio observad</w:t>
      </w:r>
      <w:r w:rsidR="00735E78">
        <w:rPr>
          <w:sz w:val="20"/>
          <w:szCs w:val="20"/>
          <w:lang w:bidi="ar-SA"/>
        </w:rPr>
        <w:t>o</w:t>
      </w:r>
      <w:r w:rsidRPr="00610D48">
        <w:rPr>
          <w:sz w:val="20"/>
          <w:szCs w:val="20"/>
          <w:lang w:bidi="ar-SA"/>
        </w:rPr>
        <w:t xml:space="preserve"> no </w:t>
      </w:r>
      <w:r w:rsidRPr="00610D48">
        <w:rPr>
          <w:i/>
          <w:iCs/>
          <w:sz w:val="20"/>
          <w:szCs w:val="20"/>
          <w:lang w:bidi="ar-SA"/>
        </w:rPr>
        <w:t>Eucalyptus</w:t>
      </w:r>
      <w:r w:rsidRPr="00610D48">
        <w:rPr>
          <w:sz w:val="20"/>
          <w:szCs w:val="20"/>
          <w:lang w:bidi="ar-SA"/>
        </w:rPr>
        <w:t xml:space="preserve"> spp em relação à Nativa no período chuvoso, pode estar associada às funções estruturais e fisiológicas desse nutriente. O cálcio atua não apenas na estabilidade da parede celular, mas também desempenha papel fundamental na divisão e expansão celular (MARQUES, 2020). Essa exigência estrutural pode ser mais expressiva em espécies como </w:t>
      </w:r>
      <w:r w:rsidRPr="00610D48">
        <w:rPr>
          <w:i/>
          <w:iCs/>
          <w:sz w:val="20"/>
          <w:szCs w:val="20"/>
          <w:lang w:bidi="ar-SA"/>
        </w:rPr>
        <w:t>Eucalyptus</w:t>
      </w:r>
      <w:r w:rsidRPr="00610D48">
        <w:rPr>
          <w:sz w:val="20"/>
          <w:szCs w:val="20"/>
          <w:lang w:bidi="ar-SA"/>
        </w:rPr>
        <w:t xml:space="preserve"> spp que possuem maior investimento em tecidos lignificados e crescimento estrutural (PEGORARO </w:t>
      </w:r>
      <w:r w:rsidRPr="00B24794">
        <w:rPr>
          <w:i/>
          <w:iCs/>
          <w:sz w:val="20"/>
          <w:szCs w:val="20"/>
          <w:lang w:bidi="ar-SA"/>
        </w:rPr>
        <w:t>et al</w:t>
      </w:r>
      <w:r w:rsidRPr="00610D48">
        <w:rPr>
          <w:sz w:val="20"/>
          <w:szCs w:val="20"/>
          <w:lang w:bidi="ar-SA"/>
        </w:rPr>
        <w:t>., 2013).</w:t>
      </w:r>
    </w:p>
    <w:p w14:paraId="4F22D15D" w14:textId="406A110D" w:rsidR="005710C5" w:rsidRPr="004975E2" w:rsidRDefault="005710C5" w:rsidP="004975E2">
      <w:pPr>
        <w:tabs>
          <w:tab w:val="left" w:pos="851"/>
        </w:tabs>
        <w:spacing w:before="120"/>
        <w:ind w:left="851" w:hanging="851"/>
        <w:rPr>
          <w:b/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inline distT="0" distB="0" distL="0" distR="0" wp14:anchorId="41D250ED" wp14:editId="52A1C6D2">
            <wp:extent cx="5760720" cy="2818130"/>
            <wp:effectExtent l="0" t="0" r="0" b="1270"/>
            <wp:docPr id="19904192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4B" w:rsidRPr="0074694B">
        <w:t xml:space="preserve"> </w:t>
      </w:r>
      <w:r w:rsidR="0074694B" w:rsidRPr="004975E2">
        <w:rPr>
          <w:rStyle w:val="Forte"/>
          <w:sz w:val="20"/>
          <w:szCs w:val="20"/>
        </w:rPr>
        <w:t>Figura 1.</w:t>
      </w:r>
      <w:r w:rsidR="0074694B" w:rsidRPr="004975E2">
        <w:rPr>
          <w:sz w:val="20"/>
          <w:szCs w:val="20"/>
        </w:rPr>
        <w:t xml:space="preserve"> Teores de macronutrientes (g·kg⁻¹) na serrapilheira acumulada sob diferentes coberturas florestais nos períodos seco e chuvoso. (A) Nitrogênio; (B) Fósforo; (C) Potássio; (D) Magnésio; (E) Cálcio. Letras maiúsculas iguais indicam que não há diferença significativa. Análise realizada por ANOVA fatorial, seguida do teste de Tukey, a 5% de significância</w:t>
      </w:r>
    </w:p>
    <w:p w14:paraId="5EDAE14F" w14:textId="31FC8003" w:rsidR="00C802EF" w:rsidRDefault="00000000" w:rsidP="00ED683A">
      <w:pPr>
        <w:spacing w:before="240" w:after="240"/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CONCLUSÕES</w:t>
      </w:r>
      <w:r w:rsidR="00A36273">
        <w:rPr>
          <w:b/>
          <w:sz w:val="20"/>
          <w:szCs w:val="20"/>
        </w:rPr>
        <w:t xml:space="preserve"> </w:t>
      </w:r>
    </w:p>
    <w:p w14:paraId="58F04A03" w14:textId="1C1E62DD" w:rsidR="005763C1" w:rsidRDefault="008C24A4" w:rsidP="00ED683A">
      <w:pPr>
        <w:spacing w:before="240" w:after="240"/>
        <w:ind w:firstLine="0"/>
        <w:rPr>
          <w:sz w:val="20"/>
          <w:szCs w:val="20"/>
        </w:rPr>
      </w:pPr>
      <w:r>
        <w:rPr>
          <w:b/>
          <w:sz w:val="20"/>
          <w:szCs w:val="20"/>
        </w:rPr>
        <w:tab/>
      </w:r>
      <w:r w:rsidR="006E132C" w:rsidRPr="006E132C">
        <w:rPr>
          <w:sz w:val="20"/>
          <w:szCs w:val="20"/>
        </w:rPr>
        <w:t xml:space="preserve">Concluímos que os períodos apresentam forte impacto no conteúdo nutricional das </w:t>
      </w:r>
      <w:r w:rsidR="00361D38">
        <w:rPr>
          <w:sz w:val="20"/>
          <w:szCs w:val="20"/>
        </w:rPr>
        <w:t>coberturas florestais</w:t>
      </w:r>
      <w:r w:rsidR="006E132C" w:rsidRPr="006E132C">
        <w:rPr>
          <w:sz w:val="20"/>
          <w:szCs w:val="20"/>
        </w:rPr>
        <w:t xml:space="preserve">, devido às estratégias adaptativas específicas de cada uma. O </w:t>
      </w:r>
      <w:r w:rsidR="006E132C" w:rsidRPr="00B71AD8">
        <w:rPr>
          <w:i/>
          <w:iCs/>
          <w:sz w:val="20"/>
          <w:szCs w:val="20"/>
        </w:rPr>
        <w:t>Eucalyptus spp</w:t>
      </w:r>
      <w:r w:rsidR="006E132C" w:rsidRPr="006E132C">
        <w:rPr>
          <w:sz w:val="20"/>
          <w:szCs w:val="20"/>
        </w:rPr>
        <w:t xml:space="preserve">. apresentou menor </w:t>
      </w:r>
      <w:r w:rsidR="00361D38">
        <w:rPr>
          <w:sz w:val="20"/>
          <w:szCs w:val="20"/>
        </w:rPr>
        <w:t xml:space="preserve"> concentração</w:t>
      </w:r>
      <w:r w:rsidR="006E132C" w:rsidRPr="006E132C">
        <w:rPr>
          <w:sz w:val="20"/>
          <w:szCs w:val="20"/>
        </w:rPr>
        <w:t xml:space="preserve"> de nitrogênio, fósforo e potássio em relação às outras </w:t>
      </w:r>
      <w:r w:rsidR="00361D38">
        <w:rPr>
          <w:sz w:val="20"/>
          <w:szCs w:val="20"/>
        </w:rPr>
        <w:t>áreas</w:t>
      </w:r>
      <w:r w:rsidR="006E132C" w:rsidRPr="006E132C">
        <w:rPr>
          <w:sz w:val="20"/>
          <w:szCs w:val="20"/>
        </w:rPr>
        <w:t xml:space="preserve">. Já a </w:t>
      </w:r>
      <w:r w:rsidR="006E132C" w:rsidRPr="00361D38">
        <w:rPr>
          <w:i/>
          <w:iCs/>
          <w:sz w:val="20"/>
          <w:szCs w:val="20"/>
        </w:rPr>
        <w:t xml:space="preserve">Mimosa caesalpiniifolia </w:t>
      </w:r>
      <w:r w:rsidR="006E132C" w:rsidRPr="006E132C">
        <w:rPr>
          <w:sz w:val="20"/>
          <w:szCs w:val="20"/>
        </w:rPr>
        <w:t>Benth foi a espécie que manteve maior constância na ciclagem de nutrientes</w:t>
      </w:r>
      <w:r w:rsidR="006E132C">
        <w:rPr>
          <w:sz w:val="20"/>
          <w:szCs w:val="20"/>
        </w:rPr>
        <w:t>.</w:t>
      </w:r>
    </w:p>
    <w:p w14:paraId="1FE0D0C1" w14:textId="74441659" w:rsidR="00407BC9" w:rsidRPr="006E132C" w:rsidRDefault="00407BC9" w:rsidP="00407BC9">
      <w:pPr>
        <w:spacing w:before="240" w:after="240"/>
        <w:ind w:firstLine="720"/>
        <w:rPr>
          <w:sz w:val="20"/>
          <w:szCs w:val="20"/>
        </w:rPr>
      </w:pPr>
      <w:r w:rsidRPr="00407BC9">
        <w:rPr>
          <w:sz w:val="20"/>
          <w:szCs w:val="20"/>
        </w:rPr>
        <w:t xml:space="preserve">Esses resultados reforçam que a composição da serrapilheira e </w:t>
      </w:r>
      <w:r>
        <w:rPr>
          <w:sz w:val="20"/>
          <w:szCs w:val="20"/>
        </w:rPr>
        <w:t xml:space="preserve">as </w:t>
      </w:r>
      <w:r w:rsidRPr="00407BC9">
        <w:rPr>
          <w:sz w:val="20"/>
          <w:szCs w:val="20"/>
        </w:rPr>
        <w:t>espécies</w:t>
      </w:r>
      <w:r>
        <w:rPr>
          <w:sz w:val="20"/>
          <w:szCs w:val="20"/>
        </w:rPr>
        <w:t xml:space="preserve">, </w:t>
      </w:r>
      <w:r w:rsidRPr="00407BC9">
        <w:rPr>
          <w:sz w:val="20"/>
          <w:szCs w:val="20"/>
        </w:rPr>
        <w:t xml:space="preserve">influenciam diretamente </w:t>
      </w:r>
      <w:r>
        <w:rPr>
          <w:sz w:val="20"/>
          <w:szCs w:val="20"/>
        </w:rPr>
        <w:t>n</w:t>
      </w:r>
      <w:r w:rsidRPr="00407BC9">
        <w:rPr>
          <w:sz w:val="20"/>
          <w:szCs w:val="20"/>
        </w:rPr>
        <w:t xml:space="preserve">a ciclagem de nutrientes e </w:t>
      </w:r>
      <w:r>
        <w:rPr>
          <w:sz w:val="20"/>
          <w:szCs w:val="20"/>
        </w:rPr>
        <w:t>n</w:t>
      </w:r>
      <w:r w:rsidRPr="00407BC9">
        <w:rPr>
          <w:sz w:val="20"/>
          <w:szCs w:val="20"/>
        </w:rPr>
        <w:t xml:space="preserve">a fertilidade do solo, sendo fatores </w:t>
      </w:r>
      <w:r>
        <w:rPr>
          <w:sz w:val="20"/>
          <w:szCs w:val="20"/>
        </w:rPr>
        <w:t>essenciais</w:t>
      </w:r>
      <w:r w:rsidRPr="00407BC9">
        <w:rPr>
          <w:sz w:val="20"/>
          <w:szCs w:val="20"/>
        </w:rPr>
        <w:t xml:space="preserve"> para o manejo</w:t>
      </w:r>
      <w:r>
        <w:rPr>
          <w:sz w:val="20"/>
          <w:szCs w:val="20"/>
        </w:rPr>
        <w:t xml:space="preserve"> </w:t>
      </w:r>
      <w:r w:rsidRPr="00407BC9">
        <w:rPr>
          <w:sz w:val="20"/>
          <w:szCs w:val="20"/>
        </w:rPr>
        <w:t>florestal sustentável em ecossistemas semiáridos.</w:t>
      </w:r>
    </w:p>
    <w:p w14:paraId="5EF47B4D" w14:textId="54632344" w:rsidR="00641B0F" w:rsidRDefault="00000000" w:rsidP="00641B0F">
      <w:pPr>
        <w:ind w:firstLine="0"/>
        <w:rPr>
          <w:b/>
          <w:sz w:val="20"/>
          <w:szCs w:val="20"/>
        </w:rPr>
      </w:pPr>
      <w:r>
        <w:rPr>
          <w:b/>
          <w:sz w:val="20"/>
          <w:szCs w:val="20"/>
        </w:rPr>
        <w:t>REFERÊNCIAS</w:t>
      </w:r>
      <w:r w:rsidR="00A36273">
        <w:rPr>
          <w:b/>
          <w:sz w:val="20"/>
          <w:szCs w:val="20"/>
        </w:rPr>
        <w:t xml:space="preserve"> </w:t>
      </w:r>
    </w:p>
    <w:p w14:paraId="5FB4B78C" w14:textId="77777777" w:rsidR="00F15FB6" w:rsidRDefault="00F15FB6" w:rsidP="00641B0F">
      <w:pPr>
        <w:ind w:firstLine="0"/>
        <w:rPr>
          <w:b/>
          <w:sz w:val="20"/>
          <w:szCs w:val="20"/>
        </w:rPr>
      </w:pPr>
    </w:p>
    <w:p w14:paraId="384B2C73" w14:textId="06EFDABA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BRAINER, M. S. C. P. </w:t>
      </w:r>
      <w:r w:rsidRPr="00E14A8C">
        <w:rPr>
          <w:b/>
          <w:bCs/>
          <w:sz w:val="20"/>
          <w:szCs w:val="20"/>
        </w:rPr>
        <w:t>Silvicultura</w:t>
      </w:r>
      <w:r w:rsidRPr="00FF65C4">
        <w:rPr>
          <w:sz w:val="20"/>
          <w:szCs w:val="20"/>
        </w:rPr>
        <w:t xml:space="preserve">. Caderno Setorial ETENE, Fortaleza, v. 6, n. 154, 2024. Disponível em: </w:t>
      </w:r>
      <w:hyperlink r:id="rId10" w:tgtFrame="_new" w:history="1">
        <w:r w:rsidRPr="00FF65C4">
          <w:rPr>
            <w:rStyle w:val="Hyperlink"/>
            <w:sz w:val="20"/>
            <w:szCs w:val="20"/>
          </w:rPr>
          <w:t>https://www.bnb.gov.br/revista/cse/article/view/2777</w:t>
        </w:r>
      </w:hyperlink>
      <w:r w:rsidRPr="00FF65C4">
        <w:rPr>
          <w:sz w:val="20"/>
          <w:szCs w:val="20"/>
        </w:rPr>
        <w:t xml:space="preserve">. </w:t>
      </w:r>
    </w:p>
    <w:p w14:paraId="36F51A4F" w14:textId="3AA6D5D5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lastRenderedPageBreak/>
        <w:t xml:space="preserve">CARVALHO, L. de L. </w:t>
      </w:r>
      <w:r w:rsidRPr="00E14A8C">
        <w:rPr>
          <w:b/>
          <w:bCs/>
          <w:sz w:val="20"/>
          <w:szCs w:val="20"/>
        </w:rPr>
        <w:t>Produção de serrapilheira e retranslocação de nutrientes foliares em grupos funcionais arbóreos em floresta de terra firme na Amazônia Central</w:t>
      </w:r>
      <w:r w:rsidRPr="00FF65C4">
        <w:rPr>
          <w:sz w:val="20"/>
          <w:szCs w:val="20"/>
        </w:rPr>
        <w:t xml:space="preserve">. 2023. Dissertação (Mestrado em Biologia Tropical e Recursos Naturais) – Instituto Nacional de Pesquisas da Amazônia, Manaus, 2023. Disponível em: </w:t>
      </w:r>
      <w:hyperlink r:id="rId11" w:tgtFrame="_new" w:history="1">
        <w:r w:rsidRPr="00FF65C4">
          <w:rPr>
            <w:rStyle w:val="Hyperlink"/>
            <w:sz w:val="20"/>
            <w:szCs w:val="20"/>
          </w:rPr>
          <w:t>https://repositorio.inpa.gov.br/handle/1/40359</w:t>
        </w:r>
      </w:hyperlink>
      <w:r w:rsidRPr="00FF65C4">
        <w:rPr>
          <w:sz w:val="20"/>
          <w:szCs w:val="20"/>
        </w:rPr>
        <w:t xml:space="preserve">. </w:t>
      </w:r>
    </w:p>
    <w:p w14:paraId="73FF1D11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DOS REIS, A. P. L.; SILVA, M. A. F. de S.; MAIA, A. L. V.; JÚNIOR, J. M. T. da S.; SABÓIA, L. R. M. de. Levantamento florístico das espécies nativas da caatinga do estado do Ceará / Floristic survey of native species of caatinga in the state of Ceará. </w:t>
      </w:r>
      <w:r w:rsidRPr="00E14A8C">
        <w:rPr>
          <w:b/>
          <w:bCs/>
          <w:sz w:val="20"/>
          <w:szCs w:val="20"/>
          <w:lang w:val="en-US"/>
        </w:rPr>
        <w:t>Brazilian Journal of Animal and Environmental Research,</w:t>
      </w:r>
      <w:r w:rsidRPr="00D87407">
        <w:rPr>
          <w:sz w:val="20"/>
          <w:szCs w:val="20"/>
          <w:lang w:val="en-US"/>
        </w:rPr>
        <w:t xml:space="preserve"> [S. l.], v. 4, n. 3, p. 3060–3078, 2021. </w:t>
      </w:r>
      <w:r w:rsidRPr="00FF65C4">
        <w:rPr>
          <w:sz w:val="20"/>
          <w:szCs w:val="20"/>
        </w:rPr>
        <w:t xml:space="preserve">DOI: </w:t>
      </w:r>
      <w:hyperlink r:id="rId12" w:tgtFrame="_new" w:history="1">
        <w:r w:rsidRPr="00FF65C4">
          <w:rPr>
            <w:rStyle w:val="Hyperlink"/>
            <w:sz w:val="20"/>
            <w:szCs w:val="20"/>
          </w:rPr>
          <w:t>https://doi.org/10.34188/bjaerv4n3-023</w:t>
        </w:r>
      </w:hyperlink>
      <w:r w:rsidRPr="00FF65C4">
        <w:rPr>
          <w:sz w:val="20"/>
          <w:szCs w:val="20"/>
        </w:rPr>
        <w:t xml:space="preserve">. Disponível em: </w:t>
      </w:r>
      <w:hyperlink r:id="rId13" w:tgtFrame="_new" w:history="1">
        <w:r w:rsidRPr="00FF65C4">
          <w:rPr>
            <w:rStyle w:val="Hyperlink"/>
            <w:sz w:val="20"/>
            <w:szCs w:val="20"/>
          </w:rPr>
          <w:t>https://ojs.brazilianjournals.com.br/ojs/index.php/BJAER/article/view/33146</w:t>
        </w:r>
      </w:hyperlink>
      <w:r w:rsidRPr="00FF65C4">
        <w:rPr>
          <w:sz w:val="20"/>
          <w:szCs w:val="20"/>
        </w:rPr>
        <w:t>. Acesso em: 29 maio 2025.</w:t>
      </w:r>
    </w:p>
    <w:p w14:paraId="1D0B033F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>FRANÇA, G. M. de; FREIRE, A. L. de O.; BATISTA, A. W.; FERREIRA, C. D.; FERREIRA, D. R. dos S. O potássio atenua os efeitos do déficit hídrico em mudas de pereiro (</w:t>
      </w:r>
      <w:proofErr w:type="spellStart"/>
      <w:r w:rsidRPr="00FF65C4">
        <w:rPr>
          <w:i/>
          <w:iCs/>
          <w:sz w:val="20"/>
          <w:szCs w:val="20"/>
        </w:rPr>
        <w:t>Aspidosperma</w:t>
      </w:r>
      <w:proofErr w:type="spellEnd"/>
      <w:r w:rsidRPr="00FF65C4">
        <w:rPr>
          <w:i/>
          <w:iCs/>
          <w:sz w:val="20"/>
          <w:szCs w:val="20"/>
        </w:rPr>
        <w:t xml:space="preserve"> </w:t>
      </w:r>
      <w:proofErr w:type="spellStart"/>
      <w:r w:rsidRPr="00FF65C4">
        <w:rPr>
          <w:i/>
          <w:iCs/>
          <w:sz w:val="20"/>
          <w:szCs w:val="20"/>
        </w:rPr>
        <w:t>pyrifolium</w:t>
      </w:r>
      <w:proofErr w:type="spellEnd"/>
      <w:r w:rsidRPr="00FF65C4">
        <w:rPr>
          <w:sz w:val="20"/>
          <w:szCs w:val="20"/>
        </w:rPr>
        <w:t xml:space="preserve"> Mart. &amp; Zucc.). </w:t>
      </w:r>
      <w:r w:rsidRPr="00E14A8C">
        <w:rPr>
          <w:b/>
          <w:bCs/>
          <w:sz w:val="20"/>
          <w:szCs w:val="20"/>
        </w:rPr>
        <w:t>Conjeturas</w:t>
      </w:r>
      <w:r w:rsidRPr="00FF65C4">
        <w:rPr>
          <w:sz w:val="20"/>
          <w:szCs w:val="20"/>
        </w:rPr>
        <w:t xml:space="preserve">, [S. l.], v. 22, n. 2, p. 266–277, 2022. DOI: </w:t>
      </w:r>
      <w:hyperlink r:id="rId14" w:tgtFrame="_new" w:history="1">
        <w:r w:rsidRPr="00FF65C4">
          <w:rPr>
            <w:rStyle w:val="Hyperlink"/>
            <w:sz w:val="20"/>
            <w:szCs w:val="20"/>
          </w:rPr>
          <w:t>https://doi.org/10.53660/conj-662-701</w:t>
        </w:r>
      </w:hyperlink>
      <w:r w:rsidRPr="00FF65C4">
        <w:rPr>
          <w:sz w:val="20"/>
          <w:szCs w:val="20"/>
        </w:rPr>
        <w:t>.</w:t>
      </w:r>
    </w:p>
    <w:p w14:paraId="4A885B48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GOMES, M. de P.; REZENDE, C. H. S.; SOUZA, J. A.; ROCHA, G. C. Lixiviação de potássio em um Latossolo cultivado com café. </w:t>
      </w:r>
      <w:r w:rsidRPr="00E14A8C">
        <w:rPr>
          <w:b/>
          <w:bCs/>
          <w:sz w:val="20"/>
          <w:szCs w:val="20"/>
        </w:rPr>
        <w:t>Irriga</w:t>
      </w:r>
      <w:r w:rsidRPr="00FF65C4">
        <w:rPr>
          <w:sz w:val="20"/>
          <w:szCs w:val="20"/>
        </w:rPr>
        <w:t xml:space="preserve">, [S. l.], v. 27, n. 3, p. 597–606, 2022. DOI: </w:t>
      </w:r>
      <w:hyperlink r:id="rId15" w:tgtFrame="_new" w:history="1">
        <w:r w:rsidRPr="00FF65C4">
          <w:rPr>
            <w:rStyle w:val="Hyperlink"/>
            <w:sz w:val="20"/>
            <w:szCs w:val="20"/>
          </w:rPr>
          <w:t>https://doi.org/10.15809/irriga.2022v27n3p597-606</w:t>
        </w:r>
      </w:hyperlink>
      <w:r w:rsidRPr="00FF65C4">
        <w:rPr>
          <w:sz w:val="20"/>
          <w:szCs w:val="20"/>
        </w:rPr>
        <w:t>.</w:t>
      </w:r>
    </w:p>
    <w:p w14:paraId="6C22B95D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MARQUES, M. O íon cálcio (Ca²⁺) na célula vegetal. </w:t>
      </w:r>
      <w:r w:rsidRPr="00D87407">
        <w:rPr>
          <w:b/>
          <w:bCs/>
          <w:sz w:val="20"/>
          <w:szCs w:val="20"/>
        </w:rPr>
        <w:t>Revista Terra &amp; Cultura: Cadernos de Ensino e Pesquisa</w:t>
      </w:r>
      <w:r w:rsidRPr="00FF65C4">
        <w:rPr>
          <w:sz w:val="20"/>
          <w:szCs w:val="20"/>
        </w:rPr>
        <w:t xml:space="preserve">, Londrina, v. 36, n. 71, p. 194–201, 2020. Disponível em: </w:t>
      </w:r>
      <w:hyperlink r:id="rId16" w:tgtFrame="_new" w:history="1">
        <w:r w:rsidRPr="00FF65C4">
          <w:rPr>
            <w:rStyle w:val="Hyperlink"/>
            <w:sz w:val="20"/>
            <w:szCs w:val="20"/>
          </w:rPr>
          <w:t>http://periodicos.unifil.br/index.php/Revistateste/article/view/1114/1343</w:t>
        </w:r>
      </w:hyperlink>
      <w:r w:rsidRPr="00FF65C4">
        <w:rPr>
          <w:sz w:val="20"/>
          <w:szCs w:val="20"/>
        </w:rPr>
        <w:t>. Acesso em: 29 maio 2025.</w:t>
      </w:r>
    </w:p>
    <w:p w14:paraId="0B2E0752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NASCIMENTO, A. F. de J.; MEDEIROS, S. S.; SOUSA, T. N. de; SILVA, A. G. da. Produção e aporte de carbono, nitrogênio e fósforo na serapilheira foliar do Parque Nacional Serra de Itabaiana. </w:t>
      </w:r>
      <w:r w:rsidRPr="00D87407">
        <w:rPr>
          <w:b/>
          <w:bCs/>
          <w:sz w:val="20"/>
          <w:szCs w:val="20"/>
        </w:rPr>
        <w:t>Ciência Florestal</w:t>
      </w:r>
      <w:r w:rsidRPr="00FF65C4">
        <w:rPr>
          <w:sz w:val="20"/>
          <w:szCs w:val="20"/>
        </w:rPr>
        <w:t xml:space="preserve">, [S. l.], v. 28, n. 1, p. 35–46, 2018. DOI: </w:t>
      </w:r>
      <w:hyperlink r:id="rId17" w:tgtFrame="_new" w:history="1">
        <w:r w:rsidRPr="00FF65C4">
          <w:rPr>
            <w:rStyle w:val="Hyperlink"/>
            <w:sz w:val="20"/>
            <w:szCs w:val="20"/>
          </w:rPr>
          <w:t>https://doi.org/10.5902/1980509831573</w:t>
        </w:r>
      </w:hyperlink>
      <w:r w:rsidRPr="00FF65C4">
        <w:rPr>
          <w:sz w:val="20"/>
          <w:szCs w:val="20"/>
        </w:rPr>
        <w:t>.</w:t>
      </w:r>
    </w:p>
    <w:p w14:paraId="7FDB82DE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PEGORARO, R. F.; SILVA, I. R.; NOVAIS, R. F.; BARROS, N. F.; FONSECA, S. Fenóis derivados da lignina, carboidratos e aminoaçúcares em serapilheira e solos cultivados com eucalipto em sistemas convencional e fertirrigado. </w:t>
      </w:r>
      <w:r w:rsidRPr="00D87407">
        <w:rPr>
          <w:b/>
          <w:bCs/>
          <w:sz w:val="20"/>
          <w:szCs w:val="20"/>
        </w:rPr>
        <w:t>Revista Árvore</w:t>
      </w:r>
      <w:r w:rsidRPr="00FF65C4">
        <w:rPr>
          <w:sz w:val="20"/>
          <w:szCs w:val="20"/>
        </w:rPr>
        <w:t xml:space="preserve">, Viçosa, v. 37, n. 3, p. 519–529, maio 2013. DOI: </w:t>
      </w:r>
      <w:hyperlink r:id="rId18" w:tgtFrame="_new" w:history="1">
        <w:r w:rsidRPr="00FF65C4">
          <w:rPr>
            <w:rStyle w:val="Hyperlink"/>
            <w:sz w:val="20"/>
            <w:szCs w:val="20"/>
          </w:rPr>
          <w:t>https://doi.org/10.1590/S0100-67622013000300015</w:t>
        </w:r>
      </w:hyperlink>
      <w:r w:rsidRPr="00FF65C4">
        <w:rPr>
          <w:sz w:val="20"/>
          <w:szCs w:val="20"/>
        </w:rPr>
        <w:t>.</w:t>
      </w:r>
    </w:p>
    <w:p w14:paraId="233873B0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SILVA, S. F. da; LIMA, R. R.; FREITAS, R. C. de; AMARAL, J. S. do. Estoque de biomassa e carbono em serrapilheira na floresta secundária do Parque Zoobotânico da Universidade Federal do Acre. </w:t>
      </w:r>
      <w:r w:rsidRPr="00FF65C4">
        <w:rPr>
          <w:i/>
          <w:iCs/>
          <w:sz w:val="20"/>
          <w:szCs w:val="20"/>
        </w:rPr>
        <w:t>Revista Delos</w:t>
      </w:r>
      <w:r w:rsidRPr="00FF65C4">
        <w:rPr>
          <w:sz w:val="20"/>
          <w:szCs w:val="20"/>
        </w:rPr>
        <w:t xml:space="preserve">, [S. l.], v. 17, n. 62, p. e3059, 2024. DOI: </w:t>
      </w:r>
      <w:hyperlink r:id="rId19" w:tgtFrame="_new" w:history="1">
        <w:r w:rsidRPr="00FF65C4">
          <w:rPr>
            <w:rStyle w:val="Hyperlink"/>
            <w:sz w:val="20"/>
            <w:szCs w:val="20"/>
          </w:rPr>
          <w:t>https://doi.org/10.55905/rdelosv17.n62-043</w:t>
        </w:r>
      </w:hyperlink>
      <w:r w:rsidRPr="00FF65C4">
        <w:rPr>
          <w:sz w:val="20"/>
          <w:szCs w:val="20"/>
        </w:rPr>
        <w:t>.</w:t>
      </w:r>
    </w:p>
    <w:p w14:paraId="47BAF649" w14:textId="77777777" w:rsidR="00FF65C4" w:rsidRPr="00FF65C4" w:rsidRDefault="00FF65C4" w:rsidP="00FF65C4">
      <w:pPr>
        <w:shd w:val="clear" w:color="auto" w:fill="FFFFFF"/>
        <w:spacing w:after="120"/>
        <w:ind w:firstLine="0"/>
        <w:rPr>
          <w:sz w:val="20"/>
          <w:szCs w:val="20"/>
        </w:rPr>
      </w:pPr>
      <w:r w:rsidRPr="00FF65C4">
        <w:rPr>
          <w:sz w:val="20"/>
          <w:szCs w:val="20"/>
        </w:rPr>
        <w:t xml:space="preserve">SOUZA, S. D. G. de; SOUZA, A. C. N. de; SOUSA, M. L. M. de. Disponibilidade hídrica e a dinâmica urbano-regional do semiárido brasileiro. </w:t>
      </w:r>
      <w:r w:rsidRPr="00D87407">
        <w:rPr>
          <w:b/>
          <w:bCs/>
          <w:sz w:val="20"/>
          <w:szCs w:val="20"/>
        </w:rPr>
        <w:t>Confins</w:t>
      </w:r>
      <w:r w:rsidRPr="00FF65C4">
        <w:rPr>
          <w:sz w:val="20"/>
          <w:szCs w:val="20"/>
        </w:rPr>
        <w:t xml:space="preserve">, n. 57, 2022. DOI: </w:t>
      </w:r>
      <w:hyperlink r:id="rId20" w:tgtFrame="_new" w:history="1">
        <w:r w:rsidRPr="00FF65C4">
          <w:rPr>
            <w:rStyle w:val="Hyperlink"/>
            <w:sz w:val="20"/>
            <w:szCs w:val="20"/>
          </w:rPr>
          <w:t>https://doi.org/10.4000/confins.50094</w:t>
        </w:r>
      </w:hyperlink>
      <w:r w:rsidRPr="00FF65C4">
        <w:rPr>
          <w:sz w:val="20"/>
          <w:szCs w:val="20"/>
        </w:rPr>
        <w:t>.</w:t>
      </w:r>
    </w:p>
    <w:p w14:paraId="6A873611" w14:textId="77777777" w:rsidR="00FF65C4" w:rsidRPr="00D87407" w:rsidRDefault="00FF65C4" w:rsidP="00FF65C4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  <w:r w:rsidRPr="00FF65C4">
        <w:rPr>
          <w:sz w:val="20"/>
          <w:szCs w:val="20"/>
        </w:rPr>
        <w:t xml:space="preserve">TAIZ, L.; ZEIGER, E.; MOLLER, I. M.; MURPHY, A. </w:t>
      </w:r>
      <w:r w:rsidRPr="00D87407">
        <w:rPr>
          <w:b/>
          <w:bCs/>
          <w:sz w:val="20"/>
          <w:szCs w:val="20"/>
        </w:rPr>
        <w:t>Fisiologia e desenvolvimento vegetal</w:t>
      </w:r>
      <w:r w:rsidRPr="00FF65C4">
        <w:rPr>
          <w:sz w:val="20"/>
          <w:szCs w:val="20"/>
        </w:rPr>
        <w:t xml:space="preserve">. </w:t>
      </w:r>
      <w:r w:rsidRPr="00D87407">
        <w:rPr>
          <w:sz w:val="20"/>
          <w:szCs w:val="20"/>
          <w:lang w:val="en-US"/>
        </w:rPr>
        <w:t xml:space="preserve">6. ed. Porto Alegre: </w:t>
      </w:r>
      <w:proofErr w:type="spellStart"/>
      <w:r w:rsidRPr="00D87407">
        <w:rPr>
          <w:sz w:val="20"/>
          <w:szCs w:val="20"/>
          <w:lang w:val="en-US"/>
        </w:rPr>
        <w:t>Artmed</w:t>
      </w:r>
      <w:proofErr w:type="spellEnd"/>
      <w:r w:rsidRPr="00D87407">
        <w:rPr>
          <w:sz w:val="20"/>
          <w:szCs w:val="20"/>
          <w:lang w:val="en-US"/>
        </w:rPr>
        <w:t>, 2017. Cap. 4, p. 113.</w:t>
      </w:r>
    </w:p>
    <w:p w14:paraId="60322B6D" w14:textId="77777777" w:rsidR="00FF65C4" w:rsidRPr="00D87407" w:rsidRDefault="00FF65C4" w:rsidP="00FF65C4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  <w:r w:rsidRPr="00D87407">
        <w:rPr>
          <w:sz w:val="20"/>
          <w:szCs w:val="20"/>
          <w:lang w:val="en-US"/>
        </w:rPr>
        <w:t xml:space="preserve">TESHOME, D. T.; ZHARARE, G. E.; NAIDOO, S. The threat of the combined effect of biotic and abiotic stress factors in forestry under a changing climate. </w:t>
      </w:r>
      <w:r w:rsidRPr="00D87407">
        <w:rPr>
          <w:b/>
          <w:bCs/>
          <w:sz w:val="20"/>
          <w:szCs w:val="20"/>
          <w:lang w:val="en-US"/>
        </w:rPr>
        <w:t>Frontiers in Plant Science</w:t>
      </w:r>
      <w:r w:rsidRPr="00D87407">
        <w:rPr>
          <w:sz w:val="20"/>
          <w:szCs w:val="20"/>
          <w:lang w:val="en-US"/>
        </w:rPr>
        <w:t xml:space="preserve">, v. 11, p. 601009, 2020. DOI: </w:t>
      </w:r>
      <w:hyperlink r:id="rId21" w:tgtFrame="_new" w:history="1">
        <w:r w:rsidRPr="00D87407">
          <w:rPr>
            <w:rStyle w:val="Hyperlink"/>
            <w:sz w:val="20"/>
            <w:szCs w:val="20"/>
            <w:lang w:val="en-US"/>
          </w:rPr>
          <w:t>https://doi.org/10.3389/fpls.2020.601009</w:t>
        </w:r>
      </w:hyperlink>
      <w:r w:rsidRPr="00D87407">
        <w:rPr>
          <w:sz w:val="20"/>
          <w:szCs w:val="20"/>
          <w:lang w:val="en-US"/>
        </w:rPr>
        <w:t>.</w:t>
      </w:r>
    </w:p>
    <w:p w14:paraId="7FB8DB19" w14:textId="77777777" w:rsidR="00FF65C4" w:rsidRPr="00D87407" w:rsidRDefault="00FF65C4" w:rsidP="00FF65C4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  <w:r w:rsidRPr="00D87407">
        <w:rPr>
          <w:sz w:val="20"/>
          <w:szCs w:val="20"/>
          <w:lang w:val="en-US"/>
        </w:rPr>
        <w:t xml:space="preserve">VIVANCO, L.; AUSTIN, A. T. The importance of macro- and micro-nutrients over climate for leaf litter decomposition and nutrient release in Patagonian temperate forests. </w:t>
      </w:r>
      <w:r w:rsidRPr="00D87407">
        <w:rPr>
          <w:b/>
          <w:bCs/>
          <w:sz w:val="20"/>
          <w:szCs w:val="20"/>
          <w:lang w:val="en-US"/>
        </w:rPr>
        <w:t>Forest Ecology and Management</w:t>
      </w:r>
      <w:r w:rsidRPr="00D87407">
        <w:rPr>
          <w:sz w:val="20"/>
          <w:szCs w:val="20"/>
          <w:lang w:val="en-US"/>
        </w:rPr>
        <w:t xml:space="preserve">, v. 441, p. 144–154, 2019. DOI: </w:t>
      </w:r>
      <w:hyperlink r:id="rId22" w:tgtFrame="_new" w:history="1">
        <w:r w:rsidRPr="00D87407">
          <w:rPr>
            <w:rStyle w:val="Hyperlink"/>
            <w:sz w:val="20"/>
            <w:szCs w:val="20"/>
            <w:lang w:val="en-US"/>
          </w:rPr>
          <w:t>https://doi.org/10.1016/j.foreco.2019.03.019</w:t>
        </w:r>
      </w:hyperlink>
      <w:r w:rsidRPr="00D87407">
        <w:rPr>
          <w:sz w:val="20"/>
          <w:szCs w:val="20"/>
          <w:lang w:val="en-US"/>
        </w:rPr>
        <w:t>.</w:t>
      </w:r>
    </w:p>
    <w:p w14:paraId="71BA3A80" w14:textId="77777777" w:rsidR="00FF65C4" w:rsidRPr="00D87407" w:rsidRDefault="00FF65C4" w:rsidP="00FF65C4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  <w:r w:rsidRPr="00D87407">
        <w:rPr>
          <w:sz w:val="20"/>
          <w:szCs w:val="20"/>
          <w:lang w:val="en-US"/>
        </w:rPr>
        <w:t xml:space="preserve">ZHAO, Y.; SHAO, J.; WU, X.; YU, H.; ZHANG, W.; LI, Y.; LIU, C.; YUAN, Y. Nuclear </w:t>
      </w:r>
      <w:proofErr w:type="spellStart"/>
      <w:r w:rsidRPr="00D87407">
        <w:rPr>
          <w:sz w:val="20"/>
          <w:szCs w:val="20"/>
          <w:lang w:val="en-US"/>
        </w:rPr>
        <w:t>phylotranscriptomics</w:t>
      </w:r>
      <w:proofErr w:type="spellEnd"/>
      <w:r w:rsidRPr="00D87407">
        <w:rPr>
          <w:sz w:val="20"/>
          <w:szCs w:val="20"/>
          <w:lang w:val="en-US"/>
        </w:rPr>
        <w:t xml:space="preserve"> and </w:t>
      </w:r>
      <w:proofErr w:type="spellStart"/>
      <w:r w:rsidRPr="00D87407">
        <w:rPr>
          <w:sz w:val="20"/>
          <w:szCs w:val="20"/>
          <w:lang w:val="en-US"/>
        </w:rPr>
        <w:t>phylogenomics</w:t>
      </w:r>
      <w:proofErr w:type="spellEnd"/>
      <w:r w:rsidRPr="00D87407">
        <w:rPr>
          <w:sz w:val="20"/>
          <w:szCs w:val="20"/>
          <w:lang w:val="en-US"/>
        </w:rPr>
        <w:t xml:space="preserve"> support numerous polyploidization events and hypotheses for the evolution of </w:t>
      </w:r>
      <w:proofErr w:type="spellStart"/>
      <w:r w:rsidRPr="00D87407">
        <w:rPr>
          <w:sz w:val="20"/>
          <w:szCs w:val="20"/>
          <w:lang w:val="en-US"/>
        </w:rPr>
        <w:t>rhizobial</w:t>
      </w:r>
      <w:proofErr w:type="spellEnd"/>
      <w:r w:rsidRPr="00D87407">
        <w:rPr>
          <w:sz w:val="20"/>
          <w:szCs w:val="20"/>
          <w:lang w:val="en-US"/>
        </w:rPr>
        <w:t xml:space="preserve"> nitrogen-fixing symbiosis in Fabaceae. </w:t>
      </w:r>
      <w:r w:rsidRPr="00D87407">
        <w:rPr>
          <w:b/>
          <w:bCs/>
          <w:sz w:val="20"/>
          <w:szCs w:val="20"/>
          <w:lang w:val="en-US"/>
        </w:rPr>
        <w:t>Molecular Plant</w:t>
      </w:r>
      <w:r w:rsidRPr="00D87407">
        <w:rPr>
          <w:sz w:val="20"/>
          <w:szCs w:val="20"/>
          <w:lang w:val="en-US"/>
        </w:rPr>
        <w:t xml:space="preserve">, v. 14, n. 4, p. 586–599, 2021. DOI: </w:t>
      </w:r>
      <w:hyperlink r:id="rId23" w:tgtFrame="_new" w:history="1">
        <w:r w:rsidRPr="00D87407">
          <w:rPr>
            <w:rStyle w:val="Hyperlink"/>
            <w:sz w:val="20"/>
            <w:szCs w:val="20"/>
            <w:lang w:val="en-US"/>
          </w:rPr>
          <w:t>https://doi.org/10.1016/j.molp.2021.02.006</w:t>
        </w:r>
      </w:hyperlink>
      <w:r w:rsidRPr="00D87407">
        <w:rPr>
          <w:sz w:val="20"/>
          <w:szCs w:val="20"/>
          <w:lang w:val="en-US"/>
        </w:rPr>
        <w:t>.</w:t>
      </w:r>
    </w:p>
    <w:p w14:paraId="5BFC7CC1" w14:textId="596A58AC" w:rsidR="00121935" w:rsidRPr="00D87407" w:rsidRDefault="00121935" w:rsidP="0042018A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</w:p>
    <w:p w14:paraId="08F3AF07" w14:textId="77777777" w:rsidR="00FF65C4" w:rsidRPr="00D87407" w:rsidRDefault="00FF65C4" w:rsidP="0042018A">
      <w:pPr>
        <w:shd w:val="clear" w:color="auto" w:fill="FFFFFF"/>
        <w:spacing w:after="120"/>
        <w:ind w:firstLine="0"/>
        <w:rPr>
          <w:sz w:val="20"/>
          <w:szCs w:val="20"/>
          <w:lang w:val="en-US"/>
        </w:rPr>
      </w:pPr>
    </w:p>
    <w:sectPr w:rsidR="00FF65C4" w:rsidRPr="00D87407" w:rsidSect="001A2861">
      <w:headerReference w:type="default" r:id="rId24"/>
      <w:footerReference w:type="default" r:id="rId25"/>
      <w:headerReference w:type="first" r:id="rId26"/>
      <w:pgSz w:w="11910" w:h="16840"/>
      <w:pgMar w:top="1911" w:right="1134" w:bottom="1134" w:left="1701" w:header="1418" w:footer="14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66408" w14:textId="77777777" w:rsidR="007D69E5" w:rsidRDefault="007D69E5">
      <w:r>
        <w:separator/>
      </w:r>
    </w:p>
  </w:endnote>
  <w:endnote w:type="continuationSeparator" w:id="0">
    <w:p w14:paraId="7D8431D9" w14:textId="77777777" w:rsidR="007D69E5" w:rsidRDefault="007D6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9D6923E-013B-4060-8A05-D8323B5E4F33}"/>
    <w:embedItalic r:id="rId2" w:fontKey="{7EC3156C-420B-499C-8AD8-C3CF6AA306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B319E54-5A50-4B06-A9CC-F234DC4F1C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799AD5-0DE5-4D5C-947F-79A37A917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8AC64" w14:textId="77777777" w:rsidR="007D69E5" w:rsidRDefault="007D69E5">
      <w:r>
        <w:separator/>
      </w:r>
    </w:p>
  </w:footnote>
  <w:footnote w:type="continuationSeparator" w:id="0">
    <w:p w14:paraId="7A567E3B" w14:textId="77777777" w:rsidR="007D69E5" w:rsidRDefault="007D6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FAEDF" w14:textId="77777777" w:rsidR="001A2861" w:rsidRDefault="001A2861" w:rsidP="001A2861">
    <w:pPr>
      <w:pStyle w:val="Cabealho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21D0"/>
    <w:rsid w:val="00032917"/>
    <w:rsid w:val="00033C1A"/>
    <w:rsid w:val="0004624F"/>
    <w:rsid w:val="00052220"/>
    <w:rsid w:val="00052828"/>
    <w:rsid w:val="0005322E"/>
    <w:rsid w:val="00053A37"/>
    <w:rsid w:val="00064A66"/>
    <w:rsid w:val="000745E1"/>
    <w:rsid w:val="00076C40"/>
    <w:rsid w:val="00085604"/>
    <w:rsid w:val="00090A90"/>
    <w:rsid w:val="00092608"/>
    <w:rsid w:val="0009397A"/>
    <w:rsid w:val="000A727E"/>
    <w:rsid w:val="000B6729"/>
    <w:rsid w:val="000C5C60"/>
    <w:rsid w:val="000C5FF0"/>
    <w:rsid w:val="000D0FC7"/>
    <w:rsid w:val="000E048D"/>
    <w:rsid w:val="000F4847"/>
    <w:rsid w:val="00101C80"/>
    <w:rsid w:val="0011676A"/>
    <w:rsid w:val="00121935"/>
    <w:rsid w:val="00122BB4"/>
    <w:rsid w:val="00136F42"/>
    <w:rsid w:val="0013774A"/>
    <w:rsid w:val="0016150F"/>
    <w:rsid w:val="00162C2E"/>
    <w:rsid w:val="00163FE8"/>
    <w:rsid w:val="0016761C"/>
    <w:rsid w:val="00171B9C"/>
    <w:rsid w:val="001A1B96"/>
    <w:rsid w:val="001A2861"/>
    <w:rsid w:val="001C1122"/>
    <w:rsid w:val="001D53B6"/>
    <w:rsid w:val="001E1A91"/>
    <w:rsid w:val="001E2655"/>
    <w:rsid w:val="001E7993"/>
    <w:rsid w:val="001F5AAF"/>
    <w:rsid w:val="001F7914"/>
    <w:rsid w:val="002027FE"/>
    <w:rsid w:val="0020612C"/>
    <w:rsid w:val="00211A7F"/>
    <w:rsid w:val="00217B55"/>
    <w:rsid w:val="00235431"/>
    <w:rsid w:val="00243BFE"/>
    <w:rsid w:val="002530C9"/>
    <w:rsid w:val="00255068"/>
    <w:rsid w:val="00261810"/>
    <w:rsid w:val="00263E60"/>
    <w:rsid w:val="002716EC"/>
    <w:rsid w:val="002B025D"/>
    <w:rsid w:val="002B11B3"/>
    <w:rsid w:val="002C2B08"/>
    <w:rsid w:val="002C4F9E"/>
    <w:rsid w:val="002C5A72"/>
    <w:rsid w:val="002D2F16"/>
    <w:rsid w:val="002E3519"/>
    <w:rsid w:val="002E6056"/>
    <w:rsid w:val="002E6979"/>
    <w:rsid w:val="002F3CCB"/>
    <w:rsid w:val="002F784E"/>
    <w:rsid w:val="00306554"/>
    <w:rsid w:val="00310A16"/>
    <w:rsid w:val="00322F77"/>
    <w:rsid w:val="003354AB"/>
    <w:rsid w:val="003360D1"/>
    <w:rsid w:val="0033715D"/>
    <w:rsid w:val="003545C2"/>
    <w:rsid w:val="003579C3"/>
    <w:rsid w:val="00361D38"/>
    <w:rsid w:val="00363E65"/>
    <w:rsid w:val="00365A46"/>
    <w:rsid w:val="003812EB"/>
    <w:rsid w:val="00382999"/>
    <w:rsid w:val="0039316B"/>
    <w:rsid w:val="00395B9F"/>
    <w:rsid w:val="003A20EB"/>
    <w:rsid w:val="003A612C"/>
    <w:rsid w:val="003B4BEE"/>
    <w:rsid w:val="00401E18"/>
    <w:rsid w:val="00402D65"/>
    <w:rsid w:val="00407BC9"/>
    <w:rsid w:val="004138C5"/>
    <w:rsid w:val="00417344"/>
    <w:rsid w:val="0042018A"/>
    <w:rsid w:val="00424B1B"/>
    <w:rsid w:val="0042654C"/>
    <w:rsid w:val="004275E7"/>
    <w:rsid w:val="004337A0"/>
    <w:rsid w:val="00437E63"/>
    <w:rsid w:val="00443152"/>
    <w:rsid w:val="00460D98"/>
    <w:rsid w:val="0046440B"/>
    <w:rsid w:val="00492EA1"/>
    <w:rsid w:val="00493688"/>
    <w:rsid w:val="00496CA7"/>
    <w:rsid w:val="004975E2"/>
    <w:rsid w:val="004A3366"/>
    <w:rsid w:val="004A7258"/>
    <w:rsid w:val="004C24AF"/>
    <w:rsid w:val="004C4A4F"/>
    <w:rsid w:val="004E09A6"/>
    <w:rsid w:val="004E3BE5"/>
    <w:rsid w:val="004F1334"/>
    <w:rsid w:val="004F3596"/>
    <w:rsid w:val="00501039"/>
    <w:rsid w:val="005034E7"/>
    <w:rsid w:val="00505441"/>
    <w:rsid w:val="00505CA2"/>
    <w:rsid w:val="00512FBE"/>
    <w:rsid w:val="0052077A"/>
    <w:rsid w:val="00522BC8"/>
    <w:rsid w:val="00527194"/>
    <w:rsid w:val="00534249"/>
    <w:rsid w:val="00535A71"/>
    <w:rsid w:val="00541CED"/>
    <w:rsid w:val="00564654"/>
    <w:rsid w:val="005710C5"/>
    <w:rsid w:val="00574FFC"/>
    <w:rsid w:val="005763C1"/>
    <w:rsid w:val="00576FF3"/>
    <w:rsid w:val="00584BC7"/>
    <w:rsid w:val="00590137"/>
    <w:rsid w:val="00590B6E"/>
    <w:rsid w:val="005925B4"/>
    <w:rsid w:val="0059382C"/>
    <w:rsid w:val="005A2B5C"/>
    <w:rsid w:val="005B5324"/>
    <w:rsid w:val="005B73D6"/>
    <w:rsid w:val="005C05C0"/>
    <w:rsid w:val="005E7F83"/>
    <w:rsid w:val="00606E63"/>
    <w:rsid w:val="00607D9C"/>
    <w:rsid w:val="00610D48"/>
    <w:rsid w:val="00612586"/>
    <w:rsid w:val="0063108F"/>
    <w:rsid w:val="00632CA9"/>
    <w:rsid w:val="00641B0F"/>
    <w:rsid w:val="006628F9"/>
    <w:rsid w:val="00673D21"/>
    <w:rsid w:val="00681CBA"/>
    <w:rsid w:val="006862CE"/>
    <w:rsid w:val="00691F20"/>
    <w:rsid w:val="006C0E57"/>
    <w:rsid w:val="006D1B0C"/>
    <w:rsid w:val="006E132C"/>
    <w:rsid w:val="006E2091"/>
    <w:rsid w:val="006F1198"/>
    <w:rsid w:val="006F6676"/>
    <w:rsid w:val="00700194"/>
    <w:rsid w:val="00707A56"/>
    <w:rsid w:val="00712AE6"/>
    <w:rsid w:val="00735426"/>
    <w:rsid w:val="00735E78"/>
    <w:rsid w:val="0074572A"/>
    <w:rsid w:val="00745916"/>
    <w:rsid w:val="0074694B"/>
    <w:rsid w:val="007516DF"/>
    <w:rsid w:val="00753306"/>
    <w:rsid w:val="00757614"/>
    <w:rsid w:val="00760D93"/>
    <w:rsid w:val="00767E90"/>
    <w:rsid w:val="00781F76"/>
    <w:rsid w:val="00793584"/>
    <w:rsid w:val="0079562D"/>
    <w:rsid w:val="007A7E71"/>
    <w:rsid w:val="007C0C32"/>
    <w:rsid w:val="007D37EE"/>
    <w:rsid w:val="007D69E5"/>
    <w:rsid w:val="007D700B"/>
    <w:rsid w:val="007D7A5D"/>
    <w:rsid w:val="007E2292"/>
    <w:rsid w:val="007F6F13"/>
    <w:rsid w:val="00803C57"/>
    <w:rsid w:val="008106DD"/>
    <w:rsid w:val="0081260C"/>
    <w:rsid w:val="00825A9E"/>
    <w:rsid w:val="00826FF3"/>
    <w:rsid w:val="0083251D"/>
    <w:rsid w:val="00837154"/>
    <w:rsid w:val="008379B6"/>
    <w:rsid w:val="00841236"/>
    <w:rsid w:val="0085109E"/>
    <w:rsid w:val="008615D8"/>
    <w:rsid w:val="00862049"/>
    <w:rsid w:val="00881C28"/>
    <w:rsid w:val="0089270E"/>
    <w:rsid w:val="008944D1"/>
    <w:rsid w:val="00896891"/>
    <w:rsid w:val="008A1E25"/>
    <w:rsid w:val="008A30C7"/>
    <w:rsid w:val="008A3FDE"/>
    <w:rsid w:val="008A4F52"/>
    <w:rsid w:val="008A6957"/>
    <w:rsid w:val="008B47E6"/>
    <w:rsid w:val="008C000C"/>
    <w:rsid w:val="008C124F"/>
    <w:rsid w:val="008C24A4"/>
    <w:rsid w:val="008C2D35"/>
    <w:rsid w:val="008D1847"/>
    <w:rsid w:val="008D2622"/>
    <w:rsid w:val="008D28E1"/>
    <w:rsid w:val="008F688D"/>
    <w:rsid w:val="0091104A"/>
    <w:rsid w:val="00914F01"/>
    <w:rsid w:val="00922A12"/>
    <w:rsid w:val="00924AD8"/>
    <w:rsid w:val="009327C7"/>
    <w:rsid w:val="0093296E"/>
    <w:rsid w:val="00932DFA"/>
    <w:rsid w:val="00944010"/>
    <w:rsid w:val="00946EC3"/>
    <w:rsid w:val="00971B34"/>
    <w:rsid w:val="00972823"/>
    <w:rsid w:val="00987143"/>
    <w:rsid w:val="00993621"/>
    <w:rsid w:val="009B2827"/>
    <w:rsid w:val="009C219D"/>
    <w:rsid w:val="009C7EBB"/>
    <w:rsid w:val="009D1084"/>
    <w:rsid w:val="009F4E3D"/>
    <w:rsid w:val="00A0507C"/>
    <w:rsid w:val="00A11D2A"/>
    <w:rsid w:val="00A13A4C"/>
    <w:rsid w:val="00A13CD7"/>
    <w:rsid w:val="00A13DEF"/>
    <w:rsid w:val="00A1645A"/>
    <w:rsid w:val="00A17F70"/>
    <w:rsid w:val="00A20D42"/>
    <w:rsid w:val="00A26860"/>
    <w:rsid w:val="00A36273"/>
    <w:rsid w:val="00A516DD"/>
    <w:rsid w:val="00A613C9"/>
    <w:rsid w:val="00A762A4"/>
    <w:rsid w:val="00A80EF1"/>
    <w:rsid w:val="00A82536"/>
    <w:rsid w:val="00A82800"/>
    <w:rsid w:val="00AA23B9"/>
    <w:rsid w:val="00AB35D2"/>
    <w:rsid w:val="00AC3D4D"/>
    <w:rsid w:val="00AC418E"/>
    <w:rsid w:val="00AD6FAA"/>
    <w:rsid w:val="00AE1540"/>
    <w:rsid w:val="00AE257E"/>
    <w:rsid w:val="00AE3361"/>
    <w:rsid w:val="00AF1A6D"/>
    <w:rsid w:val="00AF6B54"/>
    <w:rsid w:val="00B117BD"/>
    <w:rsid w:val="00B24794"/>
    <w:rsid w:val="00B27C55"/>
    <w:rsid w:val="00B3651B"/>
    <w:rsid w:val="00B446EC"/>
    <w:rsid w:val="00B47031"/>
    <w:rsid w:val="00B509B9"/>
    <w:rsid w:val="00B52752"/>
    <w:rsid w:val="00B52D19"/>
    <w:rsid w:val="00B52F3F"/>
    <w:rsid w:val="00B538D9"/>
    <w:rsid w:val="00B53EB1"/>
    <w:rsid w:val="00B565A5"/>
    <w:rsid w:val="00B60BED"/>
    <w:rsid w:val="00B62869"/>
    <w:rsid w:val="00B63348"/>
    <w:rsid w:val="00B65AB1"/>
    <w:rsid w:val="00B71AD8"/>
    <w:rsid w:val="00B71EC4"/>
    <w:rsid w:val="00B72A94"/>
    <w:rsid w:val="00B84A17"/>
    <w:rsid w:val="00B84A84"/>
    <w:rsid w:val="00B96D22"/>
    <w:rsid w:val="00BA6EE4"/>
    <w:rsid w:val="00BD11D3"/>
    <w:rsid w:val="00BD610C"/>
    <w:rsid w:val="00BD6D70"/>
    <w:rsid w:val="00BE077D"/>
    <w:rsid w:val="00BF1214"/>
    <w:rsid w:val="00C0270F"/>
    <w:rsid w:val="00C02F34"/>
    <w:rsid w:val="00C03FCF"/>
    <w:rsid w:val="00C07B2B"/>
    <w:rsid w:val="00C11F30"/>
    <w:rsid w:val="00C14B35"/>
    <w:rsid w:val="00C327C9"/>
    <w:rsid w:val="00C32965"/>
    <w:rsid w:val="00C40619"/>
    <w:rsid w:val="00C40B50"/>
    <w:rsid w:val="00C42D3E"/>
    <w:rsid w:val="00C55B35"/>
    <w:rsid w:val="00C56256"/>
    <w:rsid w:val="00C75CD3"/>
    <w:rsid w:val="00C76344"/>
    <w:rsid w:val="00C802EF"/>
    <w:rsid w:val="00C80656"/>
    <w:rsid w:val="00C859EF"/>
    <w:rsid w:val="00C93E50"/>
    <w:rsid w:val="00C97659"/>
    <w:rsid w:val="00CA03C5"/>
    <w:rsid w:val="00CA1E7C"/>
    <w:rsid w:val="00CA7CE1"/>
    <w:rsid w:val="00CB28D0"/>
    <w:rsid w:val="00CB7045"/>
    <w:rsid w:val="00CC16BF"/>
    <w:rsid w:val="00CE2F3D"/>
    <w:rsid w:val="00CE53EF"/>
    <w:rsid w:val="00CF2A08"/>
    <w:rsid w:val="00CF3EDB"/>
    <w:rsid w:val="00D018E8"/>
    <w:rsid w:val="00D01BC4"/>
    <w:rsid w:val="00D03BEB"/>
    <w:rsid w:val="00D14E0B"/>
    <w:rsid w:val="00D21EAA"/>
    <w:rsid w:val="00D33D51"/>
    <w:rsid w:val="00D35B14"/>
    <w:rsid w:val="00D35C46"/>
    <w:rsid w:val="00D36F81"/>
    <w:rsid w:val="00D45ECA"/>
    <w:rsid w:val="00D46D4D"/>
    <w:rsid w:val="00D51B1D"/>
    <w:rsid w:val="00D57529"/>
    <w:rsid w:val="00D62BDB"/>
    <w:rsid w:val="00D836E6"/>
    <w:rsid w:val="00D83AE8"/>
    <w:rsid w:val="00D84150"/>
    <w:rsid w:val="00D87407"/>
    <w:rsid w:val="00D91300"/>
    <w:rsid w:val="00D93CED"/>
    <w:rsid w:val="00D94A1F"/>
    <w:rsid w:val="00DA358B"/>
    <w:rsid w:val="00DB5B2B"/>
    <w:rsid w:val="00DB6FAE"/>
    <w:rsid w:val="00DC1F49"/>
    <w:rsid w:val="00DC64C1"/>
    <w:rsid w:val="00DD5E30"/>
    <w:rsid w:val="00DF0BDB"/>
    <w:rsid w:val="00DF7DD2"/>
    <w:rsid w:val="00E14A8C"/>
    <w:rsid w:val="00E16517"/>
    <w:rsid w:val="00E22A76"/>
    <w:rsid w:val="00E37693"/>
    <w:rsid w:val="00E4579E"/>
    <w:rsid w:val="00E45F12"/>
    <w:rsid w:val="00E5343D"/>
    <w:rsid w:val="00E73F02"/>
    <w:rsid w:val="00E80C04"/>
    <w:rsid w:val="00E80E55"/>
    <w:rsid w:val="00E81E1E"/>
    <w:rsid w:val="00E821FB"/>
    <w:rsid w:val="00E82389"/>
    <w:rsid w:val="00E83496"/>
    <w:rsid w:val="00E83592"/>
    <w:rsid w:val="00E83961"/>
    <w:rsid w:val="00E86897"/>
    <w:rsid w:val="00EA7608"/>
    <w:rsid w:val="00EB2215"/>
    <w:rsid w:val="00EB3243"/>
    <w:rsid w:val="00EB39C0"/>
    <w:rsid w:val="00EC0E01"/>
    <w:rsid w:val="00EC560C"/>
    <w:rsid w:val="00ED2826"/>
    <w:rsid w:val="00ED683A"/>
    <w:rsid w:val="00EE543E"/>
    <w:rsid w:val="00EE71FE"/>
    <w:rsid w:val="00EF1889"/>
    <w:rsid w:val="00EF44EE"/>
    <w:rsid w:val="00F01FB8"/>
    <w:rsid w:val="00F059CF"/>
    <w:rsid w:val="00F07F05"/>
    <w:rsid w:val="00F15FB6"/>
    <w:rsid w:val="00F26981"/>
    <w:rsid w:val="00F40FC5"/>
    <w:rsid w:val="00F46A07"/>
    <w:rsid w:val="00FA573E"/>
    <w:rsid w:val="00FC4260"/>
    <w:rsid w:val="00FE4265"/>
    <w:rsid w:val="00FF65C4"/>
    <w:rsid w:val="00F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5E7"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rPr>
      <w:lang w:bidi="pt-BR"/>
    </w:rPr>
  </w:style>
  <w:style w:type="character" w:styleId="Forte">
    <w:name w:val="Strong"/>
    <w:basedOn w:val="Fontepargpadro"/>
    <w:uiPriority w:val="22"/>
    <w:qFormat/>
    <w:rsid w:val="00745916"/>
    <w:rPr>
      <w:b/>
      <w:bCs/>
    </w:rPr>
  </w:style>
  <w:style w:type="character" w:customStyle="1" w:styleId="relative">
    <w:name w:val="relative"/>
    <w:basedOn w:val="Fontepargpadro"/>
    <w:rsid w:val="00745916"/>
  </w:style>
  <w:style w:type="character" w:styleId="MenoPendente">
    <w:name w:val="Unresolved Mention"/>
    <w:basedOn w:val="Fontepargpadro"/>
    <w:uiPriority w:val="99"/>
    <w:semiHidden/>
    <w:unhideWhenUsed/>
    <w:rsid w:val="00E45F12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45F12"/>
    <w:rPr>
      <w:color w:val="800080" w:themeColor="followedHyperlink"/>
      <w:u w:val="single"/>
    </w:rPr>
  </w:style>
  <w:style w:type="character" w:customStyle="1" w:styleId="anchor-text">
    <w:name w:val="anchor-text"/>
    <w:basedOn w:val="Fontepargpadro"/>
    <w:rsid w:val="00D836E6"/>
  </w:style>
  <w:style w:type="character" w:customStyle="1" w:styleId="separator">
    <w:name w:val="_separator"/>
    <w:basedOn w:val="Fontepargpadro"/>
    <w:rsid w:val="00D836E6"/>
  </w:style>
  <w:style w:type="character" w:styleId="Refdecomentrio">
    <w:name w:val="annotation reference"/>
    <w:basedOn w:val="Fontepargpadro"/>
    <w:uiPriority w:val="99"/>
    <w:semiHidden/>
    <w:unhideWhenUsed/>
    <w:rsid w:val="005034E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34E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34E7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34E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34E7"/>
    <w:rPr>
      <w:b/>
      <w:bCs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rael.almeida@alunos.ufersa.edu.br" TargetMode="External"/><Relationship Id="rId13" Type="http://schemas.openxmlformats.org/officeDocument/2006/relationships/hyperlink" Target="https://ojs.brazilianjournals.com.br/ojs/index.php/BJAER/article/view/33146" TargetMode="External"/><Relationship Id="rId18" Type="http://schemas.openxmlformats.org/officeDocument/2006/relationships/hyperlink" Target="https://doi.org/10.1590/S0100-67622013000300015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doi.org/10.3389/fpls.2020.60100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oi.org/10.34188/bjaerv4n3-023" TargetMode="External"/><Relationship Id="rId17" Type="http://schemas.openxmlformats.org/officeDocument/2006/relationships/hyperlink" Target="https://doi.org/10.5902/1980509831573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eriodicos.unifil.br/index.php/Revistateste/article/view/1114/1343" TargetMode="External"/><Relationship Id="rId20" Type="http://schemas.openxmlformats.org/officeDocument/2006/relationships/hyperlink" Target="https://doi.org/10.4000/confins.500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positorio.inpa.gov.br/handle/1/40359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5809/irriga.2022v27n3p597-606" TargetMode="External"/><Relationship Id="rId23" Type="http://schemas.openxmlformats.org/officeDocument/2006/relationships/hyperlink" Target="https://doi.org/10.1016/j.molp.2021.02.006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nb.gov.br/revista/cse/article/view/2777" TargetMode="External"/><Relationship Id="rId19" Type="http://schemas.openxmlformats.org/officeDocument/2006/relationships/hyperlink" Target="https://doi.org/10.55905/rdelosv17.n62-0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i.org/10.53660/conj-662-701" TargetMode="External"/><Relationship Id="rId22" Type="http://schemas.openxmlformats.org/officeDocument/2006/relationships/hyperlink" Target="https://doi.org/10.1016/j.foreco.2019.03.019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3346</TotalTime>
  <Pages>4</Pages>
  <Words>2580</Words>
  <Characters>13938</Characters>
  <Application>Microsoft Office Word</Application>
  <DocSecurity>0</DocSecurity>
  <Lines>116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Liana Oliveira Costa</dc:creator>
  <cp:lastModifiedBy>Marcos Ilson</cp:lastModifiedBy>
  <cp:revision>7</cp:revision>
  <cp:lastPrinted>2025-05-13T01:55:00Z</cp:lastPrinted>
  <dcterms:created xsi:type="dcterms:W3CDTF">2025-05-31T12:25:00Z</dcterms:created>
  <dcterms:modified xsi:type="dcterms:W3CDTF">2025-06-03T00:07:00Z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