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02">
      <w:pPr>
        <w:spacing w:line="360" w:lineRule="auto"/>
        <w:jc w:val="center"/>
        <w:rPr>
          <w:b w:val="1"/>
          <w:bCs w:val="1"/>
          <w:sz w:val="24"/>
          <w:szCs w:val="24"/>
        </w:rPr>
      </w:pPr>
      <w:r w:rsidDel="00000000" w:rsidR="00000000" w:rsidRPr="00000000">
        <w:rPr>
          <w:b w:val="1"/>
          <w:bCs w:val="1"/>
          <w:sz w:val="24"/>
          <w:szCs w:val="24"/>
          <w:rtl w:val="0"/>
        </w:rPr>
        <w:t xml:space="preserve">Cânula Nasal de Alto Fluxo versus Ventilação Não Invasiva no Manejo da Bronquiolite Pediátrica: uma Revisão Integrativa</w:t>
      </w:r>
    </w:p>
    <w:p w:rsidR="00000000" w:rsidDel="00000000" w:rsidP="00000000" w:rsidRDefault="00000000" w:rsidRPr="00000000" w14:paraId="00000003">
      <w:pPr>
        <w:tabs>
          <w:tab w:val="left" w:leader="none" w:pos="15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4">
      <w:pPr>
        <w:tabs>
          <w:tab w:val="left" w:leader="none" w:pos="1540"/>
        </w:tabs>
        <w:spacing w:line="360" w:lineRule="auto"/>
        <w:ind w:left="-360" w:firstLine="0"/>
        <w:jc w:val="right"/>
        <w:rPr>
          <w:sz w:val="24"/>
          <w:szCs w:val="24"/>
        </w:rPr>
      </w:pPr>
      <w:r w:rsidDel="00000000" w:rsidR="00000000" w:rsidRPr="00000000">
        <w:rPr>
          <w:sz w:val="24"/>
          <w:szCs w:val="24"/>
          <w:rtl w:val="0"/>
        </w:rPr>
        <w:t xml:space="preserve">Rayanne Alves Pereira</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5">
      <w:pPr>
        <w:tabs>
          <w:tab w:val="left" w:leader="none" w:pos="2060"/>
        </w:tabs>
        <w:spacing w:line="360" w:lineRule="auto"/>
        <w:ind w:left="-360" w:firstLine="0"/>
        <w:jc w:val="right"/>
        <w:rPr>
          <w:sz w:val="24"/>
          <w:szCs w:val="24"/>
        </w:rPr>
      </w:pPr>
      <w:r w:rsidDel="00000000" w:rsidR="00000000" w:rsidRPr="00000000">
        <w:rPr>
          <w:sz w:val="24"/>
          <w:szCs w:val="24"/>
          <w:rtl w:val="0"/>
        </w:rPr>
        <w:t xml:space="preserve">Enock dos Santos Melo¹</w:t>
      </w:r>
    </w:p>
    <w:p w:rsidR="00000000" w:rsidDel="00000000" w:rsidP="00000000" w:rsidRDefault="00000000" w:rsidRPr="00000000" w14:paraId="00000006">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Lumara Macedo Viana¹</w:t>
      </w:r>
    </w:p>
    <w:p w:rsidR="00000000" w:rsidDel="00000000" w:rsidP="00000000" w:rsidRDefault="00000000" w:rsidRPr="00000000" w14:paraId="00000007">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Vitoria Mariana Pereira de Sousa¹</w:t>
      </w:r>
    </w:p>
    <w:p w:rsidR="00000000" w:rsidDel="00000000" w:rsidP="00000000" w:rsidRDefault="00000000" w:rsidRPr="00000000" w14:paraId="00000008">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 Maria das Graças Silva Soares²</w:t>
      </w:r>
    </w:p>
    <w:p w:rsidR="00000000" w:rsidDel="00000000" w:rsidP="00000000" w:rsidRDefault="00000000" w:rsidRPr="00000000" w14:paraId="00000009">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A">
      <w:pPr>
        <w:spacing w:line="360" w:lineRule="auto"/>
        <w:jc w:val="center"/>
        <w:rPr>
          <w:sz w:val="24"/>
          <w:szCs w:val="24"/>
        </w:rPr>
      </w:pPr>
      <w:r w:rsidDel="00000000" w:rsidR="00000000" w:rsidRPr="00000000">
        <w:rPr>
          <w:b w:val="1"/>
          <w:bCs w:val="1"/>
          <w:sz w:val="24"/>
          <w:szCs w:val="24"/>
          <w:rtl w:val="0"/>
        </w:rPr>
        <w:t xml:space="preserve">RESUMO</w:t>
      </w:r>
      <w:r w:rsidDel="00000000" w:rsidR="00000000" w:rsidRPr="00000000">
        <w:rPr>
          <w:rtl w:val="0"/>
        </w:rPr>
      </w:r>
    </w:p>
    <w:p w:rsidR="00000000" w:rsidDel="00000000" w:rsidP="00000000" w:rsidRDefault="00000000" w:rsidRPr="00000000" w14:paraId="0000000B">
      <w:pPr>
        <w:spacing w:after="240" w:before="240" w:line="360" w:lineRule="auto"/>
        <w:jc w:val="both"/>
        <w:rPr>
          <w:sz w:val="24"/>
          <w:szCs w:val="24"/>
        </w:rPr>
      </w:pPr>
      <w:r w:rsidDel="00000000" w:rsidR="00000000" w:rsidRPr="00000000">
        <w:rPr>
          <w:sz w:val="24"/>
          <w:szCs w:val="24"/>
          <w:rtl w:val="0"/>
        </w:rPr>
        <w:t xml:space="preserve">A bronquiolite viral é uma das principais causas de comprometimento respiratório em crianças, podendo evoluir para insuficiência respiratória aguda e demandar diferentes estratégias de suporte ventilatório. Entre as modalidades utilizadas, destacam-se a cânula nasal de alto fluxo (CNAF) e a ventilação não invasiva (VNI). O presente estudo teve como objetivo comparar o uso da CNAF e da VNI no manejo de crianças com bronquiolite. Trata-se de uma revisão integrativa da literatura, realizada em agosto de 2026, nas bases de dados PubMed Central, PEDro e SciELO. Os resultados demonstraram que não há evidências suficientes para determinar uma modalidade universalmente superior. A VNI, apresentou maior potencial de sucesso em pacientes com maior comprometimento respiratório, enquanto a CNAF demonstrou eficácia semelhante em determinados contextos clínicos. Conclui-se que ambas as estratégias apresentam importância no suporte respiratório pediátrico, devendo a escolha terapêutica ser individualizada conforme a gravidade do quadro clínico, a necessidade de suporte ventilatório e a resposta do paciente ao tratamento.</w:t>
      </w:r>
    </w:p>
    <w:p w:rsidR="00000000" w:rsidDel="00000000" w:rsidP="00000000" w:rsidRDefault="00000000" w:rsidRPr="00000000" w14:paraId="0000000C">
      <w:pPr>
        <w:spacing w:after="240" w:before="240" w:line="360" w:lineRule="auto"/>
        <w:jc w:val="both"/>
        <w:rPr>
          <w:sz w:val="24"/>
          <w:szCs w:val="24"/>
        </w:rPr>
      </w:pPr>
      <w:r w:rsidDel="00000000" w:rsidR="00000000" w:rsidRPr="00000000">
        <w:rPr>
          <w:b w:val="1"/>
          <w:bCs w:val="1"/>
          <w:sz w:val="24"/>
          <w:szCs w:val="24"/>
          <w:rtl w:val="0"/>
        </w:rPr>
        <w:t xml:space="preserve">Palavras-chave:</w:t>
      </w:r>
      <w:r w:rsidDel="00000000" w:rsidR="00000000" w:rsidRPr="00000000">
        <w:rPr>
          <w:sz w:val="24"/>
          <w:szCs w:val="24"/>
          <w:rtl w:val="0"/>
        </w:rPr>
        <w:t xml:space="preserve"> Bronquiolite. Cânula nasal de alto fluxo. Ventilação não invasiva. Pediatria. Insuficiência respiratória.</w:t>
      </w:r>
    </w:p>
    <w:p w:rsidR="00000000" w:rsidDel="00000000" w:rsidP="00000000" w:rsidRDefault="00000000" w:rsidRPr="00000000" w14:paraId="0000000D">
      <w:pPr>
        <w:spacing w:line="360" w:lineRule="auto"/>
        <w:jc w:val="center"/>
        <w:rPr>
          <w:i w:val="1"/>
          <w:iCs w:val="1"/>
          <w:sz w:val="24"/>
          <w:szCs w:val="24"/>
        </w:rPr>
      </w:pPr>
      <w:r w:rsidDel="00000000" w:rsidR="00000000" w:rsidRPr="00000000">
        <w:rPr>
          <w:rtl w:val="0"/>
        </w:rPr>
      </w:r>
    </w:p>
    <w:p w:rsidR="00000000" w:rsidDel="00000000" w:rsidP="00000000" w:rsidRDefault="00000000" w:rsidRPr="00000000" w14:paraId="0000000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0F">
      <w:pPr>
        <w:spacing w:line="360" w:lineRule="auto"/>
        <w:rPr>
          <w:b w:val="1"/>
          <w:bCs w:val="1"/>
          <w:sz w:val="24"/>
          <w:szCs w:val="24"/>
        </w:rPr>
      </w:pPr>
      <w:r w:rsidDel="00000000" w:rsidR="00000000" w:rsidRPr="00000000">
        <w:rPr>
          <w:rtl w:val="0"/>
        </w:rPr>
      </w:r>
    </w:p>
    <w:bookmarkStart w:colFirst="0" w:colLast="0" w:name="bookmark=id.phmkipjfod9o" w:id="0"/>
    <w:bookmarkEnd w:id="0"/>
    <w:p w:rsidR="00000000" w:rsidDel="00000000" w:rsidP="00000000" w:rsidRDefault="00000000" w:rsidRPr="00000000" w14:paraId="00000010">
      <w:pPr>
        <w:spacing w:line="360" w:lineRule="auto"/>
        <w:rPr>
          <w:color w:val="1b1b1b"/>
          <w:sz w:val="24"/>
          <w:szCs w:val="24"/>
        </w:rPr>
      </w:pPr>
      <w:r w:rsidDel="00000000" w:rsidR="00000000" w:rsidRPr="00000000">
        <w:rPr>
          <w:b w:val="1"/>
          <w:bCs w:val="1"/>
          <w:sz w:val="24"/>
          <w:szCs w:val="24"/>
          <w:rtl w:val="0"/>
        </w:rPr>
        <w:t xml:space="preserve">1 INTRODUÇÃO</w:t>
      </w:r>
      <w:r w:rsidDel="00000000" w:rsidR="00000000" w:rsidRPr="00000000">
        <w:rPr>
          <w:color w:val="1b1b1b"/>
          <w:sz w:val="24"/>
          <w:szCs w:val="24"/>
          <w:rtl w:val="0"/>
        </w:rPr>
        <w:t xml:space="preserve"> </w:t>
      </w:r>
    </w:p>
    <w:p w:rsidR="00000000" w:rsidDel="00000000" w:rsidP="00000000" w:rsidRDefault="00000000" w:rsidRPr="00000000" w14:paraId="00000011">
      <w:pPr>
        <w:spacing w:line="360" w:lineRule="auto"/>
        <w:ind w:firstLine="720"/>
        <w:jc w:val="both"/>
        <w:rPr>
          <w:color w:val="1b1b1b"/>
          <w:sz w:val="24"/>
          <w:szCs w:val="24"/>
        </w:rPr>
      </w:pPr>
      <w:r w:rsidDel="00000000" w:rsidR="00000000" w:rsidRPr="00000000">
        <w:rPr>
          <w:color w:val="1b1b1b"/>
          <w:sz w:val="24"/>
          <w:szCs w:val="24"/>
          <w:rtl w:val="0"/>
        </w:rPr>
        <w:t xml:space="preserve"> A bronquiolite viral é a infecção do trato respiratório inferior, </w:t>
      </w:r>
      <w:r w:rsidDel="00000000" w:rsidR="00000000" w:rsidRPr="00000000">
        <w:rPr>
          <w:color w:val="393939"/>
          <w:sz w:val="24"/>
          <w:szCs w:val="24"/>
          <w:rtl w:val="0"/>
        </w:rPr>
        <w:t xml:space="preserve">causada principalmente pelo vírus sincicial respiratório (VSR)</w:t>
      </w:r>
      <w:r w:rsidDel="00000000" w:rsidR="00000000" w:rsidRPr="00000000">
        <w:rPr>
          <w:color w:val="1b1b1b"/>
          <w:sz w:val="24"/>
          <w:szCs w:val="24"/>
          <w:rtl w:val="0"/>
        </w:rPr>
        <w:t xml:space="preserve">, apresentando manifestações que variam de quadros leves a graves e podendo evoluir para insuficiência respiratória aguda. A infecção provoca necrose do epitélio respiratório, perda de células ciliadas, edema e inflamação, como acúmulo de secreções e detritos celulares, levando a obstrução dos bronquíolos. Esse processo contribui para a hipoxemia e aumento do esforço respiratório (Green</w:t>
      </w:r>
      <w:r w:rsidDel="00000000" w:rsidR="00000000" w:rsidRPr="00000000">
        <w:rPr>
          <w:i w:val="1"/>
          <w:iCs w:val="1"/>
          <w:color w:val="1b1b1b"/>
          <w:sz w:val="24"/>
          <w:szCs w:val="24"/>
          <w:rtl w:val="0"/>
        </w:rPr>
        <w:t xml:space="preserve"> et al</w:t>
      </w:r>
      <w:r w:rsidDel="00000000" w:rsidR="00000000" w:rsidRPr="00000000">
        <w:rPr>
          <w:color w:val="1b1b1b"/>
          <w:sz w:val="24"/>
          <w:szCs w:val="24"/>
          <w:rtl w:val="0"/>
        </w:rPr>
        <w:t xml:space="preserve">., 2017).</w:t>
      </w:r>
    </w:p>
    <w:p w:rsidR="00000000" w:rsidDel="00000000" w:rsidP="00000000" w:rsidRDefault="00000000" w:rsidRPr="00000000" w14:paraId="00000012">
      <w:pPr>
        <w:spacing w:line="360" w:lineRule="auto"/>
        <w:ind w:firstLine="720"/>
        <w:jc w:val="both"/>
        <w:rPr>
          <w:color w:val="1b1b1b"/>
          <w:sz w:val="24"/>
          <w:szCs w:val="24"/>
        </w:rPr>
      </w:pPr>
      <w:r w:rsidDel="00000000" w:rsidR="00000000" w:rsidRPr="00000000">
        <w:rPr>
          <w:color w:val="1b1b1b"/>
          <w:sz w:val="24"/>
          <w:szCs w:val="24"/>
          <w:rtl w:val="0"/>
        </w:rPr>
        <w:t xml:space="preserve">De modo geral, o diagnóstico de bronquiolite é essencialmente clínico e, na ausência de um tratamento etiológico específico, a abordagem terapêutica  consiste principalmente em medidas de suporte destinadas ao controle dos sintomas respiratórios e sistêmicos. Manti </w:t>
      </w:r>
      <w:r w:rsidDel="00000000" w:rsidR="00000000" w:rsidRPr="00000000">
        <w:rPr>
          <w:i w:val="1"/>
          <w:iCs w:val="1"/>
          <w:color w:val="1b1b1b"/>
          <w:sz w:val="24"/>
          <w:szCs w:val="24"/>
          <w:rtl w:val="0"/>
        </w:rPr>
        <w:t xml:space="preserve">et al.</w:t>
      </w:r>
      <w:r w:rsidDel="00000000" w:rsidR="00000000" w:rsidRPr="00000000">
        <w:rPr>
          <w:color w:val="1b1b1b"/>
          <w:sz w:val="24"/>
          <w:szCs w:val="24"/>
          <w:rtl w:val="0"/>
        </w:rPr>
        <w:t xml:space="preserve"> (2023) afirma que</w:t>
      </w:r>
      <w:r w:rsidDel="00000000" w:rsidR="00000000" w:rsidRPr="00000000">
        <w:rPr>
          <w:color w:val="990000"/>
          <w:sz w:val="24"/>
          <w:szCs w:val="24"/>
          <w:rtl w:val="0"/>
        </w:rPr>
        <w:t xml:space="preserve"> </w:t>
      </w:r>
      <w:r w:rsidDel="00000000" w:rsidR="00000000" w:rsidRPr="00000000">
        <w:rPr>
          <w:color w:val="1b1b1b"/>
          <w:sz w:val="24"/>
          <w:szCs w:val="24"/>
          <w:rtl w:val="0"/>
        </w:rPr>
        <w:t xml:space="preserve">o tratamento de bronquiolite é direcionado principalmente ao controle do comprometimento respiratório, sendo necessário, nos casos de hipoxemia, a utilização de estratégias que se adequam a boa oxigenação. Entre elas, a oxigenioterapia destaca-se como um dos principais recursos de assistência respiratória pediátrica. </w:t>
      </w:r>
    </w:p>
    <w:p w:rsidR="00000000" w:rsidDel="00000000" w:rsidP="00000000" w:rsidRDefault="00000000" w:rsidRPr="00000000" w14:paraId="00000013">
      <w:pPr>
        <w:spacing w:line="360" w:lineRule="auto"/>
        <w:ind w:firstLine="720"/>
        <w:jc w:val="both"/>
        <w:rPr>
          <w:color w:val="980000"/>
          <w:sz w:val="24"/>
          <w:szCs w:val="24"/>
        </w:rPr>
      </w:pPr>
      <w:r w:rsidDel="00000000" w:rsidR="00000000" w:rsidRPr="00000000">
        <w:rPr>
          <w:color w:val="1b1b1b"/>
          <w:sz w:val="24"/>
          <w:szCs w:val="24"/>
          <w:rtl w:val="0"/>
        </w:rPr>
        <w:t xml:space="preserve">De acordo com Souza </w:t>
      </w:r>
      <w:r w:rsidDel="00000000" w:rsidR="00000000" w:rsidRPr="00000000">
        <w:rPr>
          <w:i w:val="1"/>
          <w:iCs w:val="1"/>
          <w:color w:val="1b1b1b"/>
          <w:sz w:val="24"/>
          <w:szCs w:val="24"/>
          <w:rtl w:val="0"/>
        </w:rPr>
        <w:t xml:space="preserve">et al. </w:t>
      </w:r>
      <w:r w:rsidDel="00000000" w:rsidR="00000000" w:rsidRPr="00000000">
        <w:rPr>
          <w:color w:val="1b1b1b"/>
          <w:sz w:val="24"/>
          <w:szCs w:val="24"/>
          <w:rtl w:val="0"/>
        </w:rPr>
        <w:t xml:space="preserve">(2024) os  primeiros  registros  do  uso  da  oxigenoterapia  são  de  1780, quando  Chaussier  empregou  o  oxigênio  em  recém-nascidos com dificuldade  respiratória.  Inicialmente, a administração era realizada por meio de máscaras anestésicas ou dispositivos bucais. Posteriormente, no século XX começou a ser administrado diretamente pela via nasofaríngea, utilizando cateteres de borracha de pequeno diâmetro, representando um avanço no suporte respiratório pediátrico.    </w:t>
      </w:r>
      <w:r w:rsidDel="00000000" w:rsidR="00000000" w:rsidRPr="00000000">
        <w:rPr>
          <w:rtl w:val="0"/>
        </w:rPr>
      </w:r>
    </w:p>
    <w:p w:rsidR="00000000" w:rsidDel="00000000" w:rsidP="00000000" w:rsidRDefault="00000000" w:rsidRPr="00000000" w14:paraId="00000014">
      <w:pPr>
        <w:spacing w:line="360" w:lineRule="auto"/>
        <w:jc w:val="both"/>
        <w:rPr>
          <w:color w:val="274e13"/>
          <w:sz w:val="24"/>
          <w:szCs w:val="24"/>
        </w:rPr>
      </w:pPr>
      <w:r w:rsidDel="00000000" w:rsidR="00000000" w:rsidRPr="00000000">
        <w:rPr>
          <w:color w:val="1b1b1b"/>
          <w:sz w:val="24"/>
          <w:szCs w:val="24"/>
          <w:rtl w:val="0"/>
        </w:rPr>
        <w:t xml:space="preserve">   </w:t>
        <w:tab/>
        <w:t xml:space="preserve"> A Cânula Nasal de Alto Fluxo (CNAF) consiste na administração da mistura de oxigênio e ar comprimido, aquecida e umidificada, que possibilita a oferta de concentrações elevadas de oxigênio e fluxos de até 60 L/min. Seu uso promove a redução do espaço morto nasofaríngeo e da resistência das vias aéreas, além de favorecer a complacência pulmonar, e a geração de uma pressão positiva ao final da expiração (Souza </w:t>
      </w:r>
      <w:r w:rsidDel="00000000" w:rsidR="00000000" w:rsidRPr="00000000">
        <w:rPr>
          <w:i w:val="1"/>
          <w:iCs w:val="1"/>
          <w:color w:val="1b1b1b"/>
          <w:sz w:val="24"/>
          <w:szCs w:val="24"/>
          <w:rtl w:val="0"/>
        </w:rPr>
        <w:t xml:space="preserve">et al. </w:t>
      </w:r>
      <w:r w:rsidDel="00000000" w:rsidR="00000000" w:rsidRPr="00000000">
        <w:rPr>
          <w:color w:val="1b1b1b"/>
          <w:sz w:val="24"/>
          <w:szCs w:val="24"/>
          <w:rtl w:val="0"/>
        </w:rPr>
        <w:t xml:space="preserve">2024).</w:t>
      </w:r>
      <w:r w:rsidDel="00000000" w:rsidR="00000000" w:rsidRPr="00000000">
        <w:rPr>
          <w:rtl w:val="0"/>
        </w:rPr>
      </w:r>
    </w:p>
    <w:p w:rsidR="00000000" w:rsidDel="00000000" w:rsidP="00000000" w:rsidRDefault="00000000" w:rsidRPr="00000000" w14:paraId="00000015">
      <w:pPr>
        <w:spacing w:line="360" w:lineRule="auto"/>
        <w:ind w:firstLine="720"/>
        <w:jc w:val="both"/>
        <w:rPr>
          <w:color w:val="1b1b1b"/>
          <w:sz w:val="24"/>
          <w:szCs w:val="24"/>
        </w:rPr>
      </w:pPr>
      <w:r w:rsidDel="00000000" w:rsidR="00000000" w:rsidRPr="00000000">
        <w:rPr>
          <w:color w:val="1b1b1b"/>
          <w:sz w:val="24"/>
          <w:szCs w:val="24"/>
          <w:rtl w:val="0"/>
        </w:rPr>
        <w:t xml:space="preserve">Morris </w:t>
      </w:r>
      <w:r w:rsidDel="00000000" w:rsidR="00000000" w:rsidRPr="00000000">
        <w:rPr>
          <w:i w:val="1"/>
          <w:iCs w:val="1"/>
          <w:color w:val="1b1b1b"/>
          <w:sz w:val="24"/>
          <w:szCs w:val="24"/>
          <w:rtl w:val="0"/>
        </w:rPr>
        <w:t xml:space="preserve">et al.</w:t>
      </w:r>
      <w:r w:rsidDel="00000000" w:rsidR="00000000" w:rsidRPr="00000000">
        <w:rPr>
          <w:color w:val="1b1b1b"/>
          <w:sz w:val="24"/>
          <w:szCs w:val="24"/>
          <w:rtl w:val="0"/>
        </w:rPr>
        <w:t xml:space="preserve"> (2017) afirma que a ventilação não invasiva (VNI) tem apresentado crescente utilização na população pediátrica, essa modalidade consiste na aplicação de pressão positiva nas vias aéreas por meio de uma interface, sem necessidade de uma via aérea artificial. Entre suas principais modalidades estão a pressão positiva contínua nas vias aéreas (CPAP) e a pressão positiva em dois níveis (BiPAP). Além de favorecer as trocas gasosas pulmonares, a VNI pode reduzir o desconforto respiratório e evitar complicações por intubação, como trauma das vias aéreas e lesões pulmonares. </w:t>
      </w:r>
    </w:p>
    <w:p w:rsidR="00000000" w:rsidDel="00000000" w:rsidP="00000000" w:rsidRDefault="00000000" w:rsidRPr="00000000" w14:paraId="00000016">
      <w:pPr>
        <w:spacing w:line="360" w:lineRule="auto"/>
        <w:ind w:firstLine="720"/>
        <w:jc w:val="both"/>
        <w:rPr>
          <w:color w:val="980000"/>
          <w:sz w:val="24"/>
          <w:szCs w:val="24"/>
        </w:rPr>
      </w:pPr>
      <w:r w:rsidDel="00000000" w:rsidR="00000000" w:rsidRPr="00000000">
        <w:rPr>
          <w:color w:val="1b1b1b"/>
          <w:sz w:val="24"/>
          <w:szCs w:val="24"/>
          <w:rtl w:val="0"/>
        </w:rPr>
        <w:t xml:space="preserve">As doenças respiratórias constituem uma das principais causas de hospitalização em UTIP, podendo demandar suporte ventilatório invasivo ou não invasivo. Nesse contexto, a VNI destaca-se como estratégia capaz de oferecer suporte respiratório sem a necessidade de intubação, enquanto a CNAF tem ganhado espaço como alternativa terapêutica. Inicialmente empregada em prematuros, a CNAF teve sua aplicação ampliada para diferentes condições respiratórias pediátricas e ambientes hospitalares (Venanzi </w:t>
      </w:r>
      <w:r w:rsidDel="00000000" w:rsidR="00000000" w:rsidRPr="00000000">
        <w:rPr>
          <w:i w:val="1"/>
          <w:iCs w:val="1"/>
          <w:color w:val="1b1b1b"/>
          <w:sz w:val="24"/>
          <w:szCs w:val="24"/>
          <w:rtl w:val="0"/>
        </w:rPr>
        <w:t xml:space="preserve">et al. </w:t>
      </w:r>
      <w:r w:rsidDel="00000000" w:rsidR="00000000" w:rsidRPr="00000000">
        <w:rPr>
          <w:color w:val="1b1b1b"/>
          <w:sz w:val="24"/>
          <w:szCs w:val="24"/>
          <w:rtl w:val="0"/>
        </w:rPr>
        <w:t xml:space="preserve">2022).</w:t>
      </w:r>
      <w:r w:rsidDel="00000000" w:rsidR="00000000" w:rsidRPr="00000000">
        <w:rPr>
          <w:rtl w:val="0"/>
        </w:rPr>
      </w:r>
    </w:p>
    <w:p w:rsidR="00000000" w:rsidDel="00000000" w:rsidP="00000000" w:rsidRDefault="00000000" w:rsidRPr="00000000" w14:paraId="00000017">
      <w:pPr>
        <w:spacing w:line="360" w:lineRule="auto"/>
        <w:ind w:firstLine="720"/>
        <w:jc w:val="both"/>
        <w:rPr>
          <w:color w:val="1b1b1b"/>
          <w:sz w:val="24"/>
          <w:szCs w:val="24"/>
        </w:rPr>
      </w:pPr>
      <w:r w:rsidDel="00000000" w:rsidR="00000000" w:rsidRPr="00000000">
        <w:rPr>
          <w:color w:val="1b1b1b"/>
          <w:sz w:val="24"/>
          <w:szCs w:val="24"/>
          <w:rtl w:val="0"/>
        </w:rPr>
        <w:t xml:space="preserve">Slain, Shein e Rotta (2017) discutem sobre a exposição prolongada ao oxigênio sem adequada umidificação pode favorecer o ressecamento e irritação das membranas mucosas. Dessa forma, a escolha de estratégias de suporte respiratório deve considerar não apenas a correção da hipoxemia, mas também conforto e segurança das condições das vias aéreas. Assim, é importante avaliar qual modalidade apresenta maior eficácia no suporte respiratório, associado à menor grau de invasividade e a redução de intervenções mais agressivas.</w:t>
      </w:r>
    </w:p>
    <w:p w:rsidR="00000000" w:rsidDel="00000000" w:rsidP="00000000" w:rsidRDefault="00000000" w:rsidRPr="00000000" w14:paraId="00000018">
      <w:pPr>
        <w:spacing w:line="360" w:lineRule="auto"/>
        <w:ind w:firstLine="720"/>
        <w:jc w:val="both"/>
        <w:rPr>
          <w:sz w:val="24"/>
          <w:szCs w:val="24"/>
        </w:rPr>
      </w:pPr>
      <w:r w:rsidDel="00000000" w:rsidR="00000000" w:rsidRPr="00000000">
        <w:rPr>
          <w:color w:val="1b1b1b"/>
          <w:sz w:val="24"/>
          <w:szCs w:val="24"/>
          <w:rtl w:val="0"/>
        </w:rPr>
        <w:t xml:space="preserve">Apesar da utilização crescente da CENAF e da VNI no suporte respiratório de crianças com bronquiolite, ainda existem questionamentos quanto à escolha da estratégia mais adequada diante da insuficiência respiratória aguda. A comparação entre essas modalidades é relevante uma vez que ambas podem ser utilizadas como alternativas ao suporte invasivo, porém apresentam diferenças relacionadas à necessidade de suporte e tolerabilidade. Dessa forma, torna-se importante analisar a eficácia e a segurança dessas estratégias, considerando também o grau de invasividade e o conforto proporcionado à criança, a fim de contribuir para a escolha da modalidade mais adequada, conforme a gravidade e as necessidades clínicas do paciente.</w:t>
        <w:tab/>
      </w:r>
      <w:r w:rsidDel="00000000" w:rsidR="00000000" w:rsidRPr="00000000">
        <w:rPr>
          <w:rtl w:val="0"/>
        </w:rPr>
      </w:r>
    </w:p>
    <w:p w:rsidR="00000000" w:rsidDel="00000000" w:rsidP="00000000" w:rsidRDefault="00000000" w:rsidRPr="00000000" w14:paraId="0000001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1A">
      <w:pPr>
        <w:spacing w:line="360" w:lineRule="auto"/>
        <w:rPr>
          <w:b w:val="1"/>
          <w:bCs w:val="1"/>
          <w:sz w:val="24"/>
          <w:szCs w:val="24"/>
        </w:rPr>
      </w:pPr>
      <w:r w:rsidDel="00000000" w:rsidR="00000000" w:rsidRPr="00000000">
        <w:rPr>
          <w:b w:val="1"/>
          <w:bCs w:val="1"/>
          <w:sz w:val="24"/>
          <w:szCs w:val="24"/>
          <w:rtl w:val="0"/>
        </w:rPr>
        <w:t xml:space="preserve">2 OBJETIVO</w:t>
      </w:r>
    </w:p>
    <w:p w:rsidR="00000000" w:rsidDel="00000000" w:rsidP="00000000" w:rsidRDefault="00000000" w:rsidRPr="00000000" w14:paraId="0000001B">
      <w:pPr>
        <w:spacing w:line="360" w:lineRule="auto"/>
        <w:ind w:firstLine="720"/>
        <w:jc w:val="both"/>
        <w:rPr>
          <w:b w:val="1"/>
          <w:bCs w:val="1"/>
          <w:sz w:val="24"/>
          <w:szCs w:val="24"/>
        </w:rPr>
      </w:pPr>
      <w:r w:rsidDel="00000000" w:rsidR="00000000" w:rsidRPr="00000000">
        <w:rPr>
          <w:sz w:val="24"/>
          <w:szCs w:val="24"/>
          <w:rtl w:val="0"/>
        </w:rPr>
        <w:t xml:space="preserve">Comparar, por meio de revisão integrativa, a eficácia e a segurança da ventilação não invasiva (VNI) e da cânula nasal de alto fluxo (CNAF) no manejo de crianças com bronquiolite associada à insuficiência respiratória aguda, considerando sua efetividade, tolerabilidade e grau de invasividade.</w:t>
      </w:r>
      <w:r w:rsidDel="00000000" w:rsidR="00000000" w:rsidRPr="00000000">
        <w:rPr>
          <w:b w:val="1"/>
          <w:bCs w:val="1"/>
          <w:sz w:val="24"/>
          <w:szCs w:val="24"/>
          <w:rtl w:val="0"/>
        </w:rPr>
        <w:tab/>
      </w:r>
    </w:p>
    <w:p w:rsidR="00000000" w:rsidDel="00000000" w:rsidP="00000000" w:rsidRDefault="00000000" w:rsidRPr="00000000" w14:paraId="0000001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1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1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1F">
      <w:pPr>
        <w:spacing w:line="360" w:lineRule="auto"/>
        <w:rPr>
          <w:sz w:val="24"/>
          <w:szCs w:val="24"/>
        </w:rPr>
      </w:pPr>
      <w:r w:rsidDel="00000000" w:rsidR="00000000" w:rsidRPr="00000000">
        <w:rPr>
          <w:b w:val="1"/>
          <w:bCs w:val="1"/>
          <w:sz w:val="24"/>
          <w:szCs w:val="24"/>
          <w:rtl w:val="0"/>
        </w:rPr>
        <w:t xml:space="preserve">3 MÉTODO</w:t>
      </w:r>
      <w:r w:rsidDel="00000000" w:rsidR="00000000" w:rsidRPr="00000000">
        <w:rPr>
          <w:rtl w:val="0"/>
        </w:rPr>
      </w:r>
    </w:p>
    <w:p w:rsidR="00000000" w:rsidDel="00000000" w:rsidP="00000000" w:rsidRDefault="00000000" w:rsidRPr="00000000" w14:paraId="00000020">
      <w:pPr>
        <w:spacing w:line="360" w:lineRule="auto"/>
        <w:ind w:firstLine="720"/>
        <w:jc w:val="both"/>
        <w:rPr>
          <w:sz w:val="24"/>
          <w:szCs w:val="24"/>
          <w:highlight w:val="green"/>
        </w:rPr>
      </w:pPr>
      <w:r w:rsidDel="00000000" w:rsidR="00000000" w:rsidRPr="00000000">
        <w:rPr>
          <w:sz w:val="24"/>
          <w:szCs w:val="24"/>
          <w:rtl w:val="0"/>
        </w:rPr>
        <w:t xml:space="preserve">Trata-se de uma revisão integrativa da literatura, realizada em agosto de 2026, com o objetivo de identificar e analisar evidências acerca do uso da CNAF e da VNI em pacientes pediátricos com bronquiolite. A busca bibliográfica foi realizada nas bases de dados PubMed Central (PMC), PEDro e SciELO. Foram incluídos artigos científicos disponíveis na íntegra, publicados entre 2017 e 2026, nos idiomas português e inglês. Foram descartados artigos duplicados, estudos que não abordavam diretamente a comparação entre CNAF e VNI em crianças com bronquiolite e aqueles que não atendiam aos critérios de elegibilidade estabelecidos. Os descritores utilizados na estratégia de busca foram: “bronquiolite” AND “cânula nasal de alto fluxo” AND “ventilação não invasiva” AND “pediátrica”. Inicialmente, foi aplicado o filtro referente ao período de publicação nas bases consultadas. Em seguida, realizou-se a triagem dos estudos por meio da leitura dos títulos e resumos, sendo selecionados aqueles que abordavam o uso de terapias de alto fluxo e/ou ventilação não invasiva no tratamento da bronquiolite em pacientes pediátricos. Posteriormente, os artigos considerados pertinentes foram submetidos à leitura na íntegra para análise e seleção final dos estudos incluídos na revisão. A busca inicial identificou 20 estudos potencialmente relevantes. Após leitura de títulos e resumos, 7 foram excluídos por não estarem dentro da abordagem do tema. Dos 13 artigos elegíveis, 5 foram excluídos após leitura completa por apresentarem dados redundantes ou não dialogarem com o foco temático. Assim, 8 estudos compuseram a versão final desta revisão.</w:t>
      </w:r>
      <w:r w:rsidDel="00000000" w:rsidR="00000000" w:rsidRPr="00000000">
        <w:rPr>
          <w:rtl w:val="0"/>
        </w:rPr>
      </w:r>
    </w:p>
    <w:p w:rsidR="00000000" w:rsidDel="00000000" w:rsidP="00000000" w:rsidRDefault="00000000" w:rsidRPr="00000000" w14:paraId="00000021">
      <w:pPr>
        <w:spacing w:line="360" w:lineRule="auto"/>
        <w:rPr>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7434583</wp:posOffset>
                </wp:positionH>
                <wp:positionV relativeFrom="paragraph">
                  <wp:posOffset>229325</wp:posOffset>
                </wp:positionV>
                <wp:extent cx="113025" cy="179275"/>
                <wp:effectExtent b="0" l="0" r="0" t="0"/>
                <wp:wrapNone/>
                <wp:docPr id="9" name=""/>
                <a:graphic>
                  <a:graphicData uri="http://schemas.microsoft.com/office/word/2010/wordprocessingShape">
                    <wps:wsp>
                      <wps:cNvSpPr/>
                      <wps:cNvPr id="6" name="Shape 6"/>
                      <wps:spPr>
                        <a:xfrm>
                          <a:off x="5294250" y="3695125"/>
                          <a:ext cx="103500" cy="169750"/>
                        </a:xfrm>
                        <a:custGeom>
                          <a:rect b="b" l="l" r="r" t="t"/>
                          <a:pathLst>
                            <a:path extrusionOk="0" h="6790" w="4140">
                              <a:moveTo>
                                <a:pt x="330" y="0"/>
                              </a:moveTo>
                              <a:lnTo>
                                <a:pt x="0" y="191"/>
                              </a:lnTo>
                              <a:lnTo>
                                <a:pt x="3810" y="6790"/>
                              </a:lnTo>
                              <a:lnTo>
                                <a:pt x="4140" y="6599"/>
                              </a:lnTo>
                              <a:lnTo>
                                <a:pt x="330" y="0"/>
                              </a:lnTo>
                              <a:close/>
                            </a:path>
                          </a:pathLst>
                        </a:custGeom>
                        <a:solidFill>
                          <a:srgbClr val="00B0FF">
                            <a:alpha val="40000"/>
                          </a:srgbClr>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7434583</wp:posOffset>
                </wp:positionH>
                <wp:positionV relativeFrom="paragraph">
                  <wp:posOffset>229325</wp:posOffset>
                </wp:positionV>
                <wp:extent cx="113025" cy="179275"/>
                <wp:effectExtent b="0" l="0" r="0" t="0"/>
                <wp:wrapNone/>
                <wp:docPr id="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13025" cy="179275"/>
                        </a:xfrm>
                        <a:prstGeom prst="rect"/>
                        <a:ln/>
                      </pic:spPr>
                    </pic:pic>
                  </a:graphicData>
                </a:graphic>
              </wp:anchor>
            </w:drawing>
          </mc:Fallback>
        </mc:AlternateContent>
      </w:r>
    </w:p>
    <w:p w:rsidR="00000000" w:rsidDel="00000000" w:rsidP="00000000" w:rsidRDefault="00000000" w:rsidRPr="00000000" w14:paraId="00000022">
      <w:pPr>
        <w:spacing w:line="360" w:lineRule="auto"/>
        <w:rPr>
          <w:b w:val="1"/>
          <w:bCs w:val="1"/>
          <w:sz w:val="24"/>
          <w:szCs w:val="24"/>
        </w:rPr>
      </w:pPr>
      <w:r w:rsidDel="00000000" w:rsidR="00000000" w:rsidRPr="00000000">
        <w:rPr>
          <w:b w:val="1"/>
          <w:bCs w:val="1"/>
          <w:sz w:val="24"/>
          <w:szCs w:val="24"/>
          <w:rtl w:val="0"/>
        </w:rPr>
        <w:t xml:space="preserve">4 RESULTADOS E DISCUSSÃO</w:t>
      </w:r>
    </w:p>
    <w:p w:rsidR="00000000" w:rsidDel="00000000" w:rsidP="00000000" w:rsidRDefault="00000000" w:rsidRPr="00000000" w14:paraId="0000002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4">
      <w:pPr>
        <w:spacing w:line="360" w:lineRule="auto"/>
        <w:jc w:val="center"/>
        <w:rPr>
          <w:sz w:val="24"/>
          <w:szCs w:val="24"/>
        </w:rPr>
      </w:pPr>
      <w:r w:rsidDel="00000000" w:rsidR="00000000" w:rsidRPr="00000000">
        <w:rPr>
          <w:b w:val="1"/>
          <w:bCs w:val="1"/>
          <w:sz w:val="24"/>
          <w:szCs w:val="24"/>
          <w:rtl w:val="0"/>
        </w:rPr>
        <w:t xml:space="preserve">Quadro 1 – </w:t>
      </w:r>
      <w:r w:rsidDel="00000000" w:rsidR="00000000" w:rsidRPr="00000000">
        <w:rPr>
          <w:sz w:val="24"/>
          <w:szCs w:val="24"/>
          <w:rtl w:val="0"/>
        </w:rPr>
        <w:t xml:space="preserve">Descrição resumida dos artigos selecionados e analisados na pesquisa, de acordo com os autores, ano, tipo de estudo, amostra e resultado.</w:t>
      </w:r>
    </w:p>
    <w:p w:rsidR="00000000" w:rsidDel="00000000" w:rsidP="00000000" w:rsidRDefault="00000000" w:rsidRPr="00000000" w14:paraId="00000025">
      <w:pPr>
        <w:spacing w:line="360" w:lineRule="auto"/>
        <w:rPr>
          <w:b w:val="1"/>
          <w:bCs w:val="1"/>
          <w:sz w:val="24"/>
          <w:szCs w:val="24"/>
        </w:rPr>
      </w:pPr>
      <w:r w:rsidDel="00000000" w:rsidR="00000000" w:rsidRPr="00000000">
        <w:rPr>
          <w:rtl w:val="0"/>
        </w:rPr>
      </w:r>
    </w:p>
    <w:tbl>
      <w:tblPr>
        <w:tblStyle w:val="Table1"/>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2070"/>
        <w:gridCol w:w="1245"/>
        <w:gridCol w:w="1530"/>
        <w:gridCol w:w="2205"/>
        <w:tblGridChange w:id="0">
          <w:tblGrid>
            <w:gridCol w:w="2025"/>
            <w:gridCol w:w="2070"/>
            <w:gridCol w:w="1245"/>
            <w:gridCol w:w="1530"/>
            <w:gridCol w:w="2205"/>
          </w:tblGrid>
        </w:tblGridChange>
      </w:tblGrid>
      <w:tr>
        <w:trPr>
          <w:cantSplit w:val="0"/>
          <w:tblHeader w:val="0"/>
        </w:trPr>
        <w:tc>
          <w:tcPr>
            <w:shd w:fill="8db3e2"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b w:val="1"/>
                <w:bCs w:val="1"/>
                <w:sz w:val="24"/>
                <w:szCs w:val="24"/>
              </w:rPr>
            </w:pPr>
            <w:r w:rsidDel="00000000" w:rsidR="00000000" w:rsidRPr="00000000">
              <w:rPr>
                <w:b w:val="1"/>
                <w:bCs w:val="1"/>
                <w:sz w:val="24"/>
                <w:szCs w:val="24"/>
                <w:rtl w:val="0"/>
              </w:rPr>
              <w:t xml:space="preserve">Autor Ano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9848670</wp:posOffset>
                      </wp:positionH>
                      <wp:positionV relativeFrom="paragraph">
                        <wp:posOffset>-23866</wp:posOffset>
                      </wp:positionV>
                      <wp:extent cx="128550" cy="1064425"/>
                      <wp:effectExtent b="0" l="0" r="0" t="0"/>
                      <wp:wrapNone/>
                      <wp:docPr id="8" name=""/>
                      <a:graphic>
                        <a:graphicData uri="http://schemas.microsoft.com/office/word/2010/wordprocessingGroup">
                          <wpg:wgp>
                            <wpg:cNvGrpSpPr/>
                            <wpg:grpSpPr>
                              <a:xfrm>
                                <a:off x="5131200" y="3247750"/>
                                <a:ext cx="128550" cy="1064425"/>
                                <a:chOff x="5131200" y="3247750"/>
                                <a:chExt cx="367300" cy="1600250"/>
                              </a:xfrm>
                            </wpg:grpSpPr>
                            <wpg:grpSp>
                              <wpg:cNvGrpSpPr/>
                              <wpg:grpSpPr>
                                <a:xfrm>
                                  <a:off x="5131221" y="3247769"/>
                                  <a:ext cx="367275" cy="1600238"/>
                                  <a:chOff x="7537896" y="-23869"/>
                                  <a:chExt cx="367275" cy="1600238"/>
                                </a:xfrm>
                              </wpg:grpSpPr>
                              <wps:wsp>
                                <wps:cNvSpPr/>
                                <wps:cNvPr id="3" name="Shape 3"/>
                                <wps:spPr>
                                  <a:xfrm>
                                    <a:off x="7688400" y="-23850"/>
                                    <a:ext cx="128550" cy="1064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7688400" y="-23869"/>
                                    <a:ext cx="128550" cy="1064425"/>
                                  </a:xfrm>
                                  <a:custGeom>
                                    <a:rect b="b" l="l" r="r" t="t"/>
                                    <a:pathLst>
                                      <a:path extrusionOk="0" h="42577" w="5142">
                                        <a:moveTo>
                                          <a:pt x="1331" y="0"/>
                                        </a:moveTo>
                                        <a:lnTo>
                                          <a:pt x="1001" y="187"/>
                                        </a:lnTo>
                                        <a:lnTo>
                                          <a:pt x="756" y="10886"/>
                                        </a:lnTo>
                                        <a:lnTo>
                                          <a:pt x="0" y="35974"/>
                                        </a:lnTo>
                                        <a:lnTo>
                                          <a:pt x="3810" y="42576"/>
                                        </a:lnTo>
                                        <a:lnTo>
                                          <a:pt x="4140" y="42389"/>
                                        </a:lnTo>
                                        <a:lnTo>
                                          <a:pt x="4895" y="17290"/>
                                        </a:lnTo>
                                        <a:lnTo>
                                          <a:pt x="5141" y="6602"/>
                                        </a:lnTo>
                                        <a:lnTo>
                                          <a:pt x="1331" y="0"/>
                                        </a:lnTo>
                                        <a:close/>
                                      </a:path>
                                    </a:pathLst>
                                  </a:custGeom>
                                  <a:solidFill>
                                    <a:srgbClr val="00B0FF">
                                      <a:alpha val="40000"/>
                                    </a:srgbClr>
                                  </a:solidFill>
                                  <a:ln>
                                    <a:noFill/>
                                  </a:ln>
                                </wps:spPr>
                                <wps:bodyPr anchorCtr="0" anchor="ctr" bIns="91425" lIns="91425" spcFirstLastPara="1" rIns="91425" wrap="square" tIns="91425">
                                  <a:noAutofit/>
                                </wps:bodyPr>
                              </wps:wsp>
                              <wps:wsp>
                                <wps:cNvSpPr/>
                                <wps:cNvPr id="5" name="Shape 5"/>
                                <wps:spPr>
                                  <a:xfrm>
                                    <a:off x="7537896" y="347969"/>
                                    <a:ext cx="367275" cy="1228400"/>
                                  </a:xfrm>
                                  <a:custGeom>
                                    <a:rect b="b" l="l" r="r" t="t"/>
                                    <a:pathLst>
                                      <a:path extrusionOk="0" h="49136" w="14691">
                                        <a:moveTo>
                                          <a:pt x="10881" y="0"/>
                                        </a:moveTo>
                                        <a:lnTo>
                                          <a:pt x="10551" y="192"/>
                                        </a:lnTo>
                                        <a:lnTo>
                                          <a:pt x="7996" y="11819"/>
                                        </a:lnTo>
                                        <a:lnTo>
                                          <a:pt x="6138" y="19474"/>
                                        </a:lnTo>
                                        <a:lnTo>
                                          <a:pt x="1331" y="37724"/>
                                        </a:lnTo>
                                        <a:lnTo>
                                          <a:pt x="0" y="42536"/>
                                        </a:lnTo>
                                        <a:lnTo>
                                          <a:pt x="3810" y="49135"/>
                                        </a:lnTo>
                                        <a:lnTo>
                                          <a:pt x="4140" y="48943"/>
                                        </a:lnTo>
                                        <a:lnTo>
                                          <a:pt x="5471" y="44132"/>
                                        </a:lnTo>
                                        <a:lnTo>
                                          <a:pt x="10278" y="25881"/>
                                        </a:lnTo>
                                        <a:lnTo>
                                          <a:pt x="12136" y="18226"/>
                                        </a:lnTo>
                                        <a:lnTo>
                                          <a:pt x="14691" y="6599"/>
                                        </a:lnTo>
                                        <a:lnTo>
                                          <a:pt x="10881" y="0"/>
                                        </a:lnTo>
                                        <a:close/>
                                      </a:path>
                                    </a:pathLst>
                                  </a:custGeom>
                                  <a:solidFill>
                                    <a:srgbClr val="00B0FF">
                                      <a:alpha val="40000"/>
                                    </a:srgbClr>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9848670</wp:posOffset>
                      </wp:positionH>
                      <wp:positionV relativeFrom="paragraph">
                        <wp:posOffset>-23866</wp:posOffset>
                      </wp:positionV>
                      <wp:extent cx="128550" cy="1064425"/>
                      <wp:effectExtent b="0" l="0" r="0" t="0"/>
                      <wp:wrapNone/>
                      <wp:docPr id="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28550" cy="1064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9613760</wp:posOffset>
                      </wp:positionH>
                      <wp:positionV relativeFrom="paragraph">
                        <wp:posOffset>314920</wp:posOffset>
                      </wp:positionV>
                      <wp:extent cx="113025" cy="179275"/>
                      <wp:effectExtent b="0" l="0" r="0" t="0"/>
                      <wp:wrapNone/>
                      <wp:docPr id="11" name=""/>
                      <a:graphic>
                        <a:graphicData uri="http://schemas.microsoft.com/office/word/2010/wordprocessingShape">
                          <wps:wsp>
                            <wps:cNvSpPr/>
                            <wps:cNvPr id="8" name="Shape 8"/>
                            <wps:spPr>
                              <a:xfrm>
                                <a:off x="5294250" y="3695125"/>
                                <a:ext cx="103500" cy="169750"/>
                              </a:xfrm>
                              <a:custGeom>
                                <a:rect b="b" l="l" r="r" t="t"/>
                                <a:pathLst>
                                  <a:path extrusionOk="0" h="6790" w="4140">
                                    <a:moveTo>
                                      <a:pt x="330" y="0"/>
                                    </a:moveTo>
                                    <a:lnTo>
                                      <a:pt x="0" y="191"/>
                                    </a:lnTo>
                                    <a:lnTo>
                                      <a:pt x="3810" y="6790"/>
                                    </a:lnTo>
                                    <a:lnTo>
                                      <a:pt x="4140" y="6599"/>
                                    </a:lnTo>
                                    <a:lnTo>
                                      <a:pt x="330" y="0"/>
                                    </a:lnTo>
                                    <a:close/>
                                  </a:path>
                                </a:pathLst>
                              </a:custGeom>
                              <a:solidFill>
                                <a:srgbClr val="00B0FF">
                                  <a:alpha val="40000"/>
                                </a:srgbClr>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9613760</wp:posOffset>
                      </wp:positionH>
                      <wp:positionV relativeFrom="paragraph">
                        <wp:posOffset>314920</wp:posOffset>
                      </wp:positionV>
                      <wp:extent cx="113025" cy="179275"/>
                      <wp:effectExtent b="0" l="0" r="0" t="0"/>
                      <wp:wrapNone/>
                      <wp:docPr id="11"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13025" cy="1792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9946512</wp:posOffset>
                      </wp:positionH>
                      <wp:positionV relativeFrom="paragraph">
                        <wp:posOffset>-79048</wp:posOffset>
                      </wp:positionV>
                      <wp:extent cx="344275" cy="1301025"/>
                      <wp:effectExtent b="0" l="0" r="0" t="0"/>
                      <wp:wrapNone/>
                      <wp:docPr id="10" name=""/>
                      <a:graphic>
                        <a:graphicData uri="http://schemas.microsoft.com/office/word/2010/wordprocessingShape">
                          <wps:wsp>
                            <wps:cNvSpPr/>
                            <wps:cNvPr id="7" name="Shape 7"/>
                            <wps:spPr>
                              <a:xfrm>
                                <a:off x="5178625" y="3134250"/>
                                <a:ext cx="334750" cy="1291500"/>
                              </a:xfrm>
                              <a:custGeom>
                                <a:rect b="b" l="l" r="r" t="t"/>
                                <a:pathLst>
                                  <a:path extrusionOk="0" h="51660" w="13390">
                                    <a:moveTo>
                                      <a:pt x="9580" y="0"/>
                                    </a:moveTo>
                                    <a:lnTo>
                                      <a:pt x="9250" y="189"/>
                                    </a:lnTo>
                                    <a:lnTo>
                                      <a:pt x="8946" y="4655"/>
                                    </a:lnTo>
                                    <a:lnTo>
                                      <a:pt x="8681" y="7229"/>
                                    </a:lnTo>
                                    <a:lnTo>
                                      <a:pt x="8236" y="10382"/>
                                    </a:lnTo>
                                    <a:lnTo>
                                      <a:pt x="7583" y="14028"/>
                                    </a:lnTo>
                                    <a:lnTo>
                                      <a:pt x="6687" y="18330"/>
                                    </a:lnTo>
                                    <a:lnTo>
                                      <a:pt x="4352" y="28246"/>
                                    </a:lnTo>
                                    <a:lnTo>
                                      <a:pt x="844" y="41984"/>
                                    </a:lnTo>
                                    <a:lnTo>
                                      <a:pt x="0" y="45062"/>
                                    </a:lnTo>
                                    <a:lnTo>
                                      <a:pt x="3809" y="51660"/>
                                    </a:lnTo>
                                    <a:lnTo>
                                      <a:pt x="4139" y="51470"/>
                                    </a:lnTo>
                                    <a:lnTo>
                                      <a:pt x="4983" y="48392"/>
                                    </a:lnTo>
                                    <a:lnTo>
                                      <a:pt x="8491" y="34654"/>
                                    </a:lnTo>
                                    <a:lnTo>
                                      <a:pt x="10826" y="24739"/>
                                    </a:lnTo>
                                    <a:lnTo>
                                      <a:pt x="11725" y="20437"/>
                                    </a:lnTo>
                                    <a:lnTo>
                                      <a:pt x="12376" y="16791"/>
                                    </a:lnTo>
                                    <a:lnTo>
                                      <a:pt x="12821" y="13637"/>
                                    </a:lnTo>
                                    <a:lnTo>
                                      <a:pt x="13089" y="11064"/>
                                    </a:lnTo>
                                    <a:lnTo>
                                      <a:pt x="13390" y="6598"/>
                                    </a:lnTo>
                                    <a:lnTo>
                                      <a:pt x="9580" y="0"/>
                                    </a:lnTo>
                                    <a:close/>
                                  </a:path>
                                </a:pathLst>
                              </a:custGeom>
                              <a:solidFill>
                                <a:srgbClr val="00B0FF">
                                  <a:alpha val="40000"/>
                                </a:srgbClr>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9946512</wp:posOffset>
                      </wp:positionH>
                      <wp:positionV relativeFrom="paragraph">
                        <wp:posOffset>-79048</wp:posOffset>
                      </wp:positionV>
                      <wp:extent cx="344275" cy="1301025"/>
                      <wp:effectExtent b="0" l="0" r="0" t="0"/>
                      <wp:wrapNone/>
                      <wp:docPr id="10"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44275" cy="1301025"/>
                              </a:xfrm>
                              <a:prstGeom prst="rect"/>
                              <a:ln/>
                            </pic:spPr>
                          </pic:pic>
                        </a:graphicData>
                      </a:graphic>
                    </wp:anchor>
                  </w:drawing>
                </mc:Fallback>
              </mc:AlternateContent>
            </w:r>
          </w:p>
        </w:tc>
        <w:tc>
          <w:tcPr>
            <w:shd w:fill="8db3e2"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b w:val="1"/>
                <w:bCs w:val="1"/>
                <w:sz w:val="24"/>
                <w:szCs w:val="24"/>
              </w:rPr>
            </w:pPr>
            <w:r w:rsidDel="00000000" w:rsidR="00000000" w:rsidRPr="00000000">
              <w:rPr>
                <w:b w:val="1"/>
                <w:bCs w:val="1"/>
                <w:sz w:val="24"/>
                <w:szCs w:val="24"/>
                <w:rtl w:val="0"/>
              </w:rPr>
              <w:t xml:space="preserve">Tipo de estudo</w:t>
            </w:r>
          </w:p>
        </w:tc>
        <w:tc>
          <w:tcPr>
            <w:shd w:fill="8db3e2"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b w:val="1"/>
                <w:bCs w:val="1"/>
                <w:sz w:val="24"/>
                <w:szCs w:val="24"/>
              </w:rPr>
            </w:pPr>
            <w:r w:rsidDel="00000000" w:rsidR="00000000" w:rsidRPr="00000000">
              <w:rPr>
                <w:b w:val="1"/>
                <w:bCs w:val="1"/>
                <w:sz w:val="24"/>
                <w:szCs w:val="24"/>
                <w:rtl w:val="0"/>
              </w:rPr>
              <w:t xml:space="preserve">Modo de suporte respiratório </w:t>
            </w:r>
          </w:p>
        </w:tc>
        <w:tc>
          <w:tcPr>
            <w:shd w:fill="8db3e2" w:val="clea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b w:val="1"/>
                <w:bCs w:val="1"/>
                <w:sz w:val="24"/>
                <w:szCs w:val="24"/>
              </w:rPr>
            </w:pPr>
            <w:r w:rsidDel="00000000" w:rsidR="00000000" w:rsidRPr="00000000">
              <w:rPr>
                <w:b w:val="1"/>
                <w:bCs w:val="1"/>
                <w:sz w:val="24"/>
                <w:szCs w:val="24"/>
                <w:rtl w:val="0"/>
              </w:rPr>
              <w:t xml:space="preserve">Amostra</w:t>
            </w:r>
          </w:p>
        </w:tc>
        <w:tc>
          <w:tcPr>
            <w:shd w:fill="8db3e2"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b w:val="1"/>
                <w:bCs w:val="1"/>
                <w:sz w:val="24"/>
                <w:szCs w:val="24"/>
              </w:rPr>
            </w:pPr>
            <w:r w:rsidDel="00000000" w:rsidR="00000000" w:rsidRPr="00000000">
              <w:rPr>
                <w:b w:val="1"/>
                <w:bCs w:val="1"/>
                <w:sz w:val="24"/>
                <w:szCs w:val="24"/>
                <w:rtl w:val="0"/>
              </w:rPr>
              <w:t xml:space="preserve">Resultado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Milési </w:t>
            </w:r>
            <w:r w:rsidDel="00000000" w:rsidR="00000000" w:rsidRPr="00000000">
              <w:rPr>
                <w:i w:val="1"/>
                <w:iCs w:val="1"/>
                <w:sz w:val="24"/>
                <w:szCs w:val="24"/>
                <w:rtl w:val="0"/>
              </w:rPr>
              <w:t xml:space="preserve">et al., </w:t>
            </w:r>
            <w:r w:rsidDel="00000000" w:rsidR="00000000" w:rsidRPr="00000000">
              <w:rPr>
                <w:sz w:val="24"/>
                <w:szCs w:val="24"/>
                <w:rtl w:val="0"/>
              </w:rPr>
              <w:t xml:space="preserve">2017</w:t>
            </w:r>
          </w:p>
        </w:tc>
        <w:tc>
          <w:tcP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Ensaio clínico randomizado multicêntrico</w:t>
            </w:r>
          </w:p>
        </w:tc>
        <w:tc>
          <w:tcP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CNAF x CPAP</w:t>
            </w:r>
          </w:p>
        </w:tc>
        <w:tc>
          <w:tcP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sz w:val="24"/>
                <w:szCs w:val="24"/>
              </w:rPr>
            </w:pPr>
            <w:sdt>
              <w:sdtPr>
                <w:id w:val="1089569632"/>
                <w:tag w:val="goog_rdk_0"/>
              </w:sdtPr>
              <w:sdtContent>
                <w:r w:rsidDel="00000000" w:rsidR="00000000" w:rsidRPr="00000000">
                  <w:rPr>
                    <w:rFonts w:ascii="Gungsuh" w:cs="Gungsuh" w:eastAsia="Gungsuh" w:hAnsi="Gungsuh"/>
                    <w:sz w:val="24"/>
                    <w:szCs w:val="24"/>
                    <w:rtl w:val="0"/>
                  </w:rPr>
                  <w:t xml:space="preserve">142 lactentes, ≤6 meses</w:t>
                </w:r>
              </w:sdtContent>
            </w:sdt>
          </w:p>
        </w:tc>
        <w:tc>
          <w:tcPr>
            <w:tcMar>
              <w:top w:w="100.0" w:type="dxa"/>
              <w:left w:w="100.0" w:type="dxa"/>
              <w:bottom w:w="100.0" w:type="dxa"/>
              <w:right w:w="100.0" w:type="dxa"/>
            </w:tcMar>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A falha terapêutica foi maior com CNAF (50,7%) do que com CPAP (31,0%), indicando maior eficácia do CPAP como suporte inicial.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Pedersen e Vahkvist, 2017</w:t>
            </w:r>
          </w:p>
        </w:tc>
        <w:tc>
          <w:tcP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Estudo retrospectivo</w:t>
            </w:r>
          </w:p>
        </w:tc>
        <w:tc>
          <w:tcPr>
            <w:tcMar>
              <w:top w:w="100.0" w:type="dxa"/>
              <w:left w:w="100.0" w:type="dxa"/>
              <w:bottom w:w="100.0" w:type="dxa"/>
              <w:right w:w="100.0" w:type="dxa"/>
            </w:tcMar>
          </w:tcPr>
          <w:p w:rsidR="00000000" w:rsidDel="00000000" w:rsidP="00000000" w:rsidRDefault="00000000" w:rsidRPr="00000000" w14:paraId="00000032">
            <w:pPr>
              <w:widowControl w:val="0"/>
              <w:rPr>
                <w:b w:val="1"/>
                <w:bCs w:val="1"/>
                <w:sz w:val="24"/>
                <w:szCs w:val="24"/>
              </w:rPr>
            </w:pPr>
            <w:r w:rsidDel="00000000" w:rsidR="00000000" w:rsidRPr="00000000">
              <w:rPr>
                <w:sz w:val="24"/>
                <w:szCs w:val="24"/>
                <w:rtl w:val="0"/>
              </w:rPr>
              <w:t xml:space="preserve">CNAF x CPAP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49 crianças </w:t>
            </w:r>
          </w:p>
        </w:tc>
        <w:tc>
          <w:tcP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O CPAP apresentou maior redução da frequência respiratória e da necessidade de O2, enquanto não houve diferença no tempo de tratamento, hospitalização ou transferência para UTI.</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i w:val="1"/>
                <w:iCs w:val="1"/>
                <w:sz w:val="24"/>
                <w:szCs w:val="24"/>
              </w:rPr>
            </w:pPr>
            <w:r w:rsidDel="00000000" w:rsidR="00000000" w:rsidRPr="00000000">
              <w:rPr>
                <w:sz w:val="24"/>
                <w:szCs w:val="24"/>
                <w:rtl w:val="0"/>
              </w:rPr>
              <w:t xml:space="preserve">Sarkar </w:t>
            </w:r>
            <w:r w:rsidDel="00000000" w:rsidR="00000000" w:rsidRPr="00000000">
              <w:rPr>
                <w:i w:val="1"/>
                <w:iCs w:val="1"/>
                <w:sz w:val="24"/>
                <w:szCs w:val="24"/>
                <w:rtl w:val="0"/>
              </w:rPr>
              <w:t xml:space="preserve">et al., 2018</w:t>
            </w:r>
          </w:p>
        </w:tc>
        <w:tc>
          <w:tcPr>
            <w:tcMar>
              <w:top w:w="100.0" w:type="dxa"/>
              <w:left w:w="100.0" w:type="dxa"/>
              <w:bottom w:w="100.0" w:type="dxa"/>
              <w:right w:w="100.0" w:type="dxa"/>
            </w:tcMar>
          </w:tcPr>
          <w:p w:rsidR="00000000" w:rsidDel="00000000" w:rsidP="00000000" w:rsidRDefault="00000000" w:rsidRPr="00000000" w14:paraId="00000036">
            <w:pPr>
              <w:widowControl w:val="0"/>
              <w:rPr>
                <w:b w:val="1"/>
                <w:bCs w:val="1"/>
                <w:sz w:val="24"/>
                <w:szCs w:val="24"/>
              </w:rPr>
            </w:pPr>
            <w:r w:rsidDel="00000000" w:rsidR="00000000" w:rsidRPr="00000000">
              <w:rPr>
                <w:sz w:val="24"/>
                <w:szCs w:val="24"/>
                <w:rtl w:val="0"/>
              </w:rPr>
              <w:t xml:space="preserve">Ensaio clínico randomizado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7">
            <w:pPr>
              <w:widowControl w:val="0"/>
              <w:rPr>
                <w:b w:val="1"/>
                <w:bCs w:val="1"/>
                <w:sz w:val="24"/>
                <w:szCs w:val="24"/>
              </w:rPr>
            </w:pPr>
            <w:r w:rsidDel="00000000" w:rsidR="00000000" w:rsidRPr="00000000">
              <w:rPr>
                <w:sz w:val="24"/>
                <w:szCs w:val="24"/>
                <w:rtl w:val="0"/>
              </w:rPr>
              <w:t xml:space="preserve">CNAF x CPAP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31 lactentes</w:t>
            </w:r>
          </w:p>
        </w:tc>
        <w:tc>
          <w:tcP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Houve falha terapêutica semelhante entre CNAF (7%) e CPAP (6%). Ambos apresentam resultados semelhantes nos parâmetros respiratórios, porém lesões nasais foram mais frequentes com CPAP.</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i w:val="1"/>
                <w:iCs w:val="1"/>
                <w:sz w:val="24"/>
                <w:szCs w:val="24"/>
              </w:rPr>
            </w:pPr>
            <w:r w:rsidDel="00000000" w:rsidR="00000000" w:rsidRPr="00000000">
              <w:rPr>
                <w:sz w:val="24"/>
                <w:szCs w:val="24"/>
                <w:rtl w:val="0"/>
              </w:rPr>
              <w:t xml:space="preserve">Cesar </w:t>
            </w:r>
            <w:r w:rsidDel="00000000" w:rsidR="00000000" w:rsidRPr="00000000">
              <w:rPr>
                <w:i w:val="1"/>
                <w:iCs w:val="1"/>
                <w:sz w:val="24"/>
                <w:szCs w:val="24"/>
                <w:rtl w:val="0"/>
              </w:rPr>
              <w:t xml:space="preserve">et al., 2020</w:t>
            </w:r>
          </w:p>
        </w:tc>
        <w:tc>
          <w:tcPr>
            <w:tcMar>
              <w:top w:w="100.0" w:type="dxa"/>
              <w:left w:w="100.0" w:type="dxa"/>
              <w:bottom w:w="100.0" w:type="dxa"/>
              <w:right w:w="100.0" w:type="dxa"/>
            </w:tcMar>
          </w:tcPr>
          <w:p w:rsidR="00000000" w:rsidDel="00000000" w:rsidP="00000000" w:rsidRDefault="00000000" w:rsidRPr="00000000" w14:paraId="0000003B">
            <w:pPr>
              <w:widowControl w:val="0"/>
              <w:rPr>
                <w:b w:val="1"/>
                <w:bCs w:val="1"/>
                <w:sz w:val="24"/>
                <w:szCs w:val="24"/>
              </w:rPr>
            </w:pPr>
            <w:r w:rsidDel="00000000" w:rsidR="00000000" w:rsidRPr="00000000">
              <w:rPr>
                <w:sz w:val="24"/>
                <w:szCs w:val="24"/>
                <w:rtl w:val="0"/>
              </w:rPr>
              <w:t xml:space="preserve">Ensaio clínico randomizado piloto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C">
            <w:pPr>
              <w:widowControl w:val="0"/>
              <w:rPr>
                <w:b w:val="1"/>
                <w:bCs w:val="1"/>
                <w:sz w:val="24"/>
                <w:szCs w:val="24"/>
              </w:rPr>
            </w:pPr>
            <w:r w:rsidDel="00000000" w:rsidR="00000000" w:rsidRPr="00000000">
              <w:rPr>
                <w:sz w:val="24"/>
                <w:szCs w:val="24"/>
                <w:rtl w:val="0"/>
              </w:rPr>
              <w:t xml:space="preserve">CNAF x CPAP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63 lactentes</w:t>
            </w:r>
          </w:p>
        </w:tc>
        <w:tc>
          <w:tcP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Não houve diferença significativa na falha terapêutica: 37,1% com CNAF e 35,7% com CPAP. O tempo de permanência na UTI também foi semelhante.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i w:val="1"/>
                <w:iCs w:val="1"/>
                <w:sz w:val="24"/>
                <w:szCs w:val="24"/>
              </w:rPr>
            </w:pPr>
            <w:r w:rsidDel="00000000" w:rsidR="00000000" w:rsidRPr="00000000">
              <w:rPr>
                <w:sz w:val="24"/>
                <w:szCs w:val="24"/>
                <w:rtl w:val="0"/>
              </w:rPr>
              <w:t xml:space="preserve">Vahlkvist </w:t>
            </w:r>
            <w:r w:rsidDel="00000000" w:rsidR="00000000" w:rsidRPr="00000000">
              <w:rPr>
                <w:i w:val="1"/>
                <w:iCs w:val="1"/>
                <w:sz w:val="24"/>
                <w:szCs w:val="24"/>
                <w:rtl w:val="0"/>
              </w:rPr>
              <w:t xml:space="preserve">et al., 2020</w:t>
            </w:r>
          </w:p>
        </w:tc>
        <w:tc>
          <w:tcPr>
            <w:tcMar>
              <w:top w:w="100.0" w:type="dxa"/>
              <w:left w:w="100.0" w:type="dxa"/>
              <w:bottom w:w="100.0" w:type="dxa"/>
              <w:right w:w="100.0" w:type="dxa"/>
            </w:tcMar>
          </w:tcPr>
          <w:p w:rsidR="00000000" w:rsidDel="00000000" w:rsidP="00000000" w:rsidRDefault="00000000" w:rsidRPr="00000000" w14:paraId="00000040">
            <w:pPr>
              <w:widowControl w:val="0"/>
              <w:rPr>
                <w:b w:val="1"/>
                <w:bCs w:val="1"/>
                <w:sz w:val="24"/>
                <w:szCs w:val="24"/>
              </w:rPr>
            </w:pPr>
            <w:r w:rsidDel="00000000" w:rsidR="00000000" w:rsidRPr="00000000">
              <w:rPr>
                <w:sz w:val="24"/>
                <w:szCs w:val="24"/>
                <w:rtl w:val="0"/>
              </w:rPr>
              <w:t xml:space="preserve">Ensaio clínico randomizado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1">
            <w:pPr>
              <w:widowControl w:val="0"/>
              <w:rPr>
                <w:b w:val="1"/>
                <w:bCs w:val="1"/>
                <w:sz w:val="24"/>
                <w:szCs w:val="24"/>
              </w:rPr>
            </w:pPr>
            <w:r w:rsidDel="00000000" w:rsidR="00000000" w:rsidRPr="00000000">
              <w:rPr>
                <w:sz w:val="24"/>
                <w:szCs w:val="24"/>
                <w:rtl w:val="0"/>
              </w:rPr>
              <w:t xml:space="preserve">CNAF x CPAP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50 crianças </w:t>
            </w:r>
          </w:p>
        </w:tc>
        <w:tc>
          <w:tcP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A falha terapêutica foi semelhante entre (9%) e CPAP (14%), sem diferenças relevantes no tempo de tratamento ou hospitalização.</w:t>
            </w:r>
          </w:p>
        </w:tc>
      </w:tr>
      <w:tr>
        <w:trPr>
          <w:cantSplit w:val="0"/>
          <w:trHeight w:val="735" w:hRule="atLeast"/>
          <w:tblHeader w:val="0"/>
        </w:trPr>
        <w:tc>
          <w:tcP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Borgi </w:t>
            </w:r>
            <w:r w:rsidDel="00000000" w:rsidR="00000000" w:rsidRPr="00000000">
              <w:rPr>
                <w:i w:val="1"/>
                <w:iCs w:val="1"/>
                <w:sz w:val="24"/>
                <w:szCs w:val="24"/>
                <w:rtl w:val="0"/>
              </w:rPr>
              <w:t xml:space="preserve">et al., </w:t>
            </w:r>
            <w:r w:rsidDel="00000000" w:rsidR="00000000" w:rsidRPr="00000000">
              <w:rPr>
                <w:sz w:val="24"/>
                <w:szCs w:val="24"/>
                <w:rtl w:val="0"/>
              </w:rPr>
              <w:t xml:space="preserve">2021</w:t>
            </w:r>
          </w:p>
        </w:tc>
        <w:tc>
          <w:tcPr>
            <w:tcMar>
              <w:top w:w="100.0" w:type="dxa"/>
              <w:left w:w="100.0" w:type="dxa"/>
              <w:bottom w:w="100.0" w:type="dxa"/>
              <w:right w:w="100.0" w:type="dxa"/>
            </w:tcMar>
          </w:tcPr>
          <w:p w:rsidR="00000000" w:rsidDel="00000000" w:rsidP="00000000" w:rsidRDefault="00000000" w:rsidRPr="00000000" w14:paraId="00000045">
            <w:pPr>
              <w:widowControl w:val="0"/>
              <w:rPr>
                <w:b w:val="1"/>
                <w:bCs w:val="1"/>
                <w:sz w:val="24"/>
                <w:szCs w:val="24"/>
              </w:rPr>
            </w:pPr>
            <w:r w:rsidDel="00000000" w:rsidR="00000000" w:rsidRPr="00000000">
              <w:rPr>
                <w:sz w:val="24"/>
                <w:szCs w:val="24"/>
                <w:rtl w:val="0"/>
              </w:rPr>
              <w:t xml:space="preserve">Ensaio clínico randomizado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6">
            <w:pPr>
              <w:widowControl w:val="0"/>
              <w:rPr>
                <w:b w:val="1"/>
                <w:bCs w:val="1"/>
                <w:sz w:val="24"/>
                <w:szCs w:val="24"/>
              </w:rPr>
            </w:pPr>
            <w:r w:rsidDel="00000000" w:rsidR="00000000" w:rsidRPr="00000000">
              <w:rPr>
                <w:sz w:val="24"/>
                <w:szCs w:val="24"/>
                <w:rtl w:val="0"/>
              </w:rPr>
              <w:t xml:space="preserve">CNAF x CPAP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255 lactentes</w:t>
            </w:r>
          </w:p>
        </w:tc>
        <w:tc>
          <w:tcP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O sucesso terapêutico foi maior com CPAP</w:t>
            </w:r>
            <w:r w:rsidDel="00000000" w:rsidR="00000000" w:rsidRPr="00000000">
              <w:rPr>
                <w:color w:val="1b1b1b"/>
                <w:sz w:val="24"/>
                <w:szCs w:val="24"/>
                <w:rtl w:val="0"/>
              </w:rPr>
              <w:t xml:space="preserve">/ NPPV (70,4%) do que com CNAF (50,7%), sem diferença na taxa de intubação ou eventos adversos graves.</w:t>
            </w:r>
            <w:r w:rsidDel="00000000" w:rsidR="00000000" w:rsidRPr="00000000">
              <w:rPr>
                <w:rtl w:val="0"/>
              </w:rPr>
            </w:r>
          </w:p>
        </w:tc>
      </w:tr>
      <w:tr>
        <w:trPr>
          <w:cantSplit w:val="0"/>
          <w:trHeight w:val="735" w:hRule="atLeast"/>
          <w:tblHeader w:val="0"/>
        </w:trPr>
        <w:tc>
          <w:tcP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Maya </w:t>
            </w:r>
            <w:r w:rsidDel="00000000" w:rsidR="00000000" w:rsidRPr="00000000">
              <w:rPr>
                <w:i w:val="1"/>
                <w:iCs w:val="1"/>
                <w:sz w:val="24"/>
                <w:szCs w:val="24"/>
                <w:rtl w:val="0"/>
              </w:rPr>
              <w:t xml:space="preserve">et al., </w:t>
            </w:r>
            <w:r w:rsidDel="00000000" w:rsidR="00000000" w:rsidRPr="00000000">
              <w:rPr>
                <w:sz w:val="24"/>
                <w:szCs w:val="24"/>
                <w:rtl w:val="0"/>
              </w:rPr>
              <w:t xml:space="preserve">2024</w:t>
            </w:r>
          </w:p>
        </w:tc>
        <w:tc>
          <w:tcPr>
            <w:tcMar>
              <w:top w:w="100.0" w:type="dxa"/>
              <w:left w:w="100.0" w:type="dxa"/>
              <w:bottom w:w="100.0" w:type="dxa"/>
              <w:right w:w="100.0" w:type="dxa"/>
            </w:tcMar>
          </w:tcPr>
          <w:p w:rsidR="00000000" w:rsidDel="00000000" w:rsidP="00000000" w:rsidRDefault="00000000" w:rsidRPr="00000000" w14:paraId="0000004A">
            <w:pPr>
              <w:widowControl w:val="0"/>
              <w:rPr>
                <w:b w:val="1"/>
                <w:bCs w:val="1"/>
                <w:sz w:val="24"/>
                <w:szCs w:val="24"/>
              </w:rPr>
            </w:pPr>
            <w:r w:rsidDel="00000000" w:rsidR="00000000" w:rsidRPr="00000000">
              <w:rPr>
                <w:sz w:val="24"/>
                <w:szCs w:val="24"/>
                <w:rtl w:val="0"/>
              </w:rPr>
              <w:t xml:space="preserve">Ensaio clínico randomizado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B">
            <w:pPr>
              <w:widowControl w:val="0"/>
              <w:rPr>
                <w:b w:val="1"/>
                <w:bCs w:val="1"/>
                <w:sz w:val="24"/>
                <w:szCs w:val="24"/>
              </w:rPr>
            </w:pPr>
            <w:r w:rsidDel="00000000" w:rsidR="00000000" w:rsidRPr="00000000">
              <w:rPr>
                <w:sz w:val="24"/>
                <w:szCs w:val="24"/>
                <w:rtl w:val="0"/>
              </w:rPr>
              <w:t xml:space="preserve">CNAF x CPAP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118 lactentes </w:t>
            </w:r>
          </w:p>
        </w:tc>
        <w:tc>
          <w:tcP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A CNAF apresentou uma menor falha terapêutica (23, 7% vs. 42,4%) e menor necessidade de escalonamento para VNI, porém esteve associada a maior duração da oxigenoterapia e da hospitalização.</w:t>
            </w:r>
          </w:p>
        </w:tc>
      </w:tr>
      <w:tr>
        <w:trPr>
          <w:cantSplit w:val="0"/>
          <w:trHeight w:val="735" w:hRule="atLeast"/>
          <w:tblHeader w:val="0"/>
        </w:trPr>
        <w:tc>
          <w:tcP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i w:val="1"/>
                <w:iCs w:val="1"/>
                <w:sz w:val="24"/>
                <w:szCs w:val="24"/>
              </w:rPr>
            </w:pPr>
            <w:r w:rsidDel="00000000" w:rsidR="00000000" w:rsidRPr="00000000">
              <w:rPr>
                <w:sz w:val="24"/>
                <w:szCs w:val="24"/>
                <w:rtl w:val="0"/>
              </w:rPr>
              <w:t xml:space="preserve">Santos </w:t>
            </w:r>
            <w:r w:rsidDel="00000000" w:rsidR="00000000" w:rsidRPr="00000000">
              <w:rPr>
                <w:i w:val="1"/>
                <w:iCs w:val="1"/>
                <w:sz w:val="24"/>
                <w:szCs w:val="24"/>
                <w:rtl w:val="0"/>
              </w:rPr>
              <w:t xml:space="preserve">et al., 2024</w:t>
            </w:r>
          </w:p>
        </w:tc>
        <w:tc>
          <w:tcPr>
            <w:tcMar>
              <w:top w:w="100.0" w:type="dxa"/>
              <w:left w:w="100.0" w:type="dxa"/>
              <w:bottom w:w="100.0" w:type="dxa"/>
              <w:right w:w="100.0" w:type="dxa"/>
            </w:tcMar>
          </w:tcPr>
          <w:p w:rsidR="00000000" w:rsidDel="00000000" w:rsidP="00000000" w:rsidRDefault="00000000" w:rsidRPr="00000000" w14:paraId="0000004F">
            <w:pPr>
              <w:widowControl w:val="0"/>
              <w:rPr>
                <w:b w:val="1"/>
                <w:bCs w:val="1"/>
                <w:sz w:val="24"/>
                <w:szCs w:val="24"/>
              </w:rPr>
            </w:pPr>
            <w:r w:rsidDel="00000000" w:rsidR="00000000" w:rsidRPr="00000000">
              <w:rPr>
                <w:sz w:val="24"/>
                <w:szCs w:val="24"/>
                <w:rtl w:val="0"/>
              </w:rPr>
              <w:t xml:space="preserve">Ensaio clínico randomizado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0">
            <w:pPr>
              <w:widowControl w:val="0"/>
              <w:rPr>
                <w:b w:val="1"/>
                <w:bCs w:val="1"/>
                <w:sz w:val="24"/>
                <w:szCs w:val="24"/>
              </w:rPr>
            </w:pPr>
            <w:r w:rsidDel="00000000" w:rsidR="00000000" w:rsidRPr="00000000">
              <w:rPr>
                <w:sz w:val="24"/>
                <w:szCs w:val="24"/>
                <w:rtl w:val="0"/>
              </w:rPr>
              <w:t xml:space="preserve">CNAF x VNI (BiPAP)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252 crianças</w:t>
            </w:r>
          </w:p>
        </w:tc>
        <w:tc>
          <w:tcPr>
            <w:tcMar>
              <w:top w:w="100.0" w:type="dxa"/>
              <w:left w:w="100.0" w:type="dxa"/>
              <w:bottom w:w="100.0" w:type="dxa"/>
              <w:right w:w="100.0"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A CNAF foi não inferior à VNI quanto à necessidade de ventilação mecânica invasiva (23% vs. 29%). O grupo CNAF apresentou menor uso de sedação, menor duração da ventilação invasiva e menor tempo de hospitalização.</w:t>
            </w:r>
          </w:p>
        </w:tc>
      </w:tr>
    </w:tbl>
    <w:p w:rsidR="00000000" w:rsidDel="00000000" w:rsidP="00000000" w:rsidRDefault="00000000" w:rsidRPr="00000000" w14:paraId="00000053">
      <w:pPr>
        <w:spacing w:line="360" w:lineRule="auto"/>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elaborado pelo autores, 2026.</w:t>
      </w:r>
    </w:p>
    <w:p w:rsidR="00000000" w:rsidDel="00000000" w:rsidP="00000000" w:rsidRDefault="00000000" w:rsidRPr="00000000" w14:paraId="00000054">
      <w:pPr>
        <w:spacing w:line="360" w:lineRule="auto"/>
        <w:ind w:firstLine="720"/>
        <w:jc w:val="both"/>
        <w:rPr>
          <w:sz w:val="24"/>
          <w:szCs w:val="24"/>
        </w:rPr>
      </w:pPr>
      <w:r w:rsidDel="00000000" w:rsidR="00000000" w:rsidRPr="00000000">
        <w:rPr>
          <w:sz w:val="24"/>
          <w:szCs w:val="24"/>
          <w:rtl w:val="0"/>
        </w:rPr>
        <w:t xml:space="preserve">Os resultados demonstram que a comparação entre a CNAF e a VNI não permite estabelecer um resultado concreto de uma única alternativa de suporte respiratório para crianças com bronquiolite associada à insuficiência respiratória aguda. Embora boa parte dos dados apresentados por Sarkar </w:t>
      </w:r>
      <w:r w:rsidDel="00000000" w:rsidR="00000000" w:rsidRPr="00000000">
        <w:rPr>
          <w:i w:val="1"/>
          <w:iCs w:val="1"/>
          <w:sz w:val="24"/>
          <w:szCs w:val="24"/>
          <w:rtl w:val="0"/>
        </w:rPr>
        <w:t xml:space="preserve">et al.</w:t>
      </w:r>
      <w:r w:rsidDel="00000000" w:rsidR="00000000" w:rsidRPr="00000000">
        <w:rPr>
          <w:sz w:val="24"/>
          <w:szCs w:val="24"/>
          <w:rtl w:val="0"/>
        </w:rPr>
        <w:t xml:space="preserve"> (2018) tenha demonstrado menor taxa de falha terapêutica com o uso da VNI, foi possível identificar também informações semelhantes entre as estratégias ou vantagens relacionadas à tolerabilidade da CNAF. Dessa forma, esses dados sugerem que a efetividade dessas modalidades não está relacionada somente ao tipo de suporte utilizado, mas também às condições clínicas de cada paciente e à conduta clínica.</w:t>
      </w:r>
    </w:p>
    <w:p w:rsidR="00000000" w:rsidDel="00000000" w:rsidP="00000000" w:rsidRDefault="00000000" w:rsidRPr="00000000" w14:paraId="00000055">
      <w:pPr>
        <w:spacing w:line="360" w:lineRule="auto"/>
        <w:ind w:firstLine="720"/>
        <w:jc w:val="both"/>
        <w:rPr>
          <w:sz w:val="24"/>
          <w:szCs w:val="24"/>
        </w:rPr>
      </w:pPr>
      <w:r w:rsidDel="00000000" w:rsidR="00000000" w:rsidRPr="00000000">
        <w:rPr>
          <w:sz w:val="24"/>
          <w:szCs w:val="24"/>
          <w:rtl w:val="0"/>
        </w:rPr>
        <w:t xml:space="preserve">A gravidade do comprometimento respiratório está entre um dos principais fatores capazes de explicar as diferenças observadas entre os estudos de Milési </w:t>
      </w:r>
      <w:r w:rsidDel="00000000" w:rsidR="00000000" w:rsidRPr="00000000">
        <w:rPr>
          <w:i w:val="1"/>
          <w:iCs w:val="1"/>
          <w:sz w:val="24"/>
          <w:szCs w:val="24"/>
          <w:rtl w:val="0"/>
        </w:rPr>
        <w:t xml:space="preserve">et al. </w:t>
      </w:r>
      <w:r w:rsidDel="00000000" w:rsidR="00000000" w:rsidRPr="00000000">
        <w:rPr>
          <w:sz w:val="24"/>
          <w:szCs w:val="24"/>
          <w:rtl w:val="0"/>
        </w:rPr>
        <w:t xml:space="preserve">(2017) e Borgi </w:t>
      </w:r>
      <w:r w:rsidDel="00000000" w:rsidR="00000000" w:rsidRPr="00000000">
        <w:rPr>
          <w:i w:val="1"/>
          <w:iCs w:val="1"/>
          <w:sz w:val="24"/>
          <w:szCs w:val="24"/>
          <w:rtl w:val="0"/>
        </w:rPr>
        <w:t xml:space="preserve">et al. </w:t>
      </w:r>
      <w:r w:rsidDel="00000000" w:rsidR="00000000" w:rsidRPr="00000000">
        <w:rPr>
          <w:sz w:val="24"/>
          <w:szCs w:val="24"/>
          <w:rtl w:val="0"/>
        </w:rPr>
        <w:t xml:space="preserve">(2021), que identificaram maior sucesso terapêutico com CPAP/VNI, especialmente em lactentes com bronquiolite mais grave. Esse resultado está relacionado diretamente ao efeito da pressão positiva contínua, que oferece um maior suporte às vias aéreas e contribui para a redução do trabalho respiratório em pacientes mais necessitados. Entretanto, embora a CPAP/VNI tenha apresentado menor falha terapêutica no estudo, não significa necessariamente que essa vantagem se traduza em melhores resultados clínicos finais ou em benefícios mais relevantes para os pacientes.</w:t>
      </w:r>
    </w:p>
    <w:p w:rsidR="00000000" w:rsidDel="00000000" w:rsidP="00000000" w:rsidRDefault="00000000" w:rsidRPr="00000000" w14:paraId="00000056">
      <w:pPr>
        <w:spacing w:line="360" w:lineRule="auto"/>
        <w:ind w:firstLine="720"/>
        <w:jc w:val="both"/>
        <w:rPr>
          <w:sz w:val="24"/>
          <w:szCs w:val="24"/>
        </w:rPr>
      </w:pPr>
      <w:r w:rsidDel="00000000" w:rsidR="00000000" w:rsidRPr="00000000">
        <w:rPr>
          <w:sz w:val="24"/>
          <w:szCs w:val="24"/>
          <w:rtl w:val="0"/>
        </w:rPr>
        <w:t xml:space="preserve">Por outro lado, Sarkar </w:t>
      </w:r>
      <w:r w:rsidDel="00000000" w:rsidR="00000000" w:rsidRPr="00000000">
        <w:rPr>
          <w:i w:val="1"/>
          <w:iCs w:val="1"/>
          <w:sz w:val="24"/>
          <w:szCs w:val="24"/>
          <w:rtl w:val="0"/>
        </w:rPr>
        <w:t xml:space="preserve">et al</w:t>
      </w:r>
      <w:r w:rsidDel="00000000" w:rsidR="00000000" w:rsidRPr="00000000">
        <w:rPr>
          <w:sz w:val="24"/>
          <w:szCs w:val="24"/>
          <w:rtl w:val="0"/>
        </w:rPr>
        <w:t xml:space="preserve">. (2018), Cesar </w:t>
      </w:r>
      <w:r w:rsidDel="00000000" w:rsidR="00000000" w:rsidRPr="00000000">
        <w:rPr>
          <w:i w:val="1"/>
          <w:iCs w:val="1"/>
          <w:sz w:val="24"/>
          <w:szCs w:val="24"/>
          <w:rtl w:val="0"/>
        </w:rPr>
        <w:t xml:space="preserve">et al.</w:t>
      </w:r>
      <w:r w:rsidDel="00000000" w:rsidR="00000000" w:rsidRPr="00000000">
        <w:rPr>
          <w:sz w:val="24"/>
          <w:szCs w:val="24"/>
          <w:rtl w:val="0"/>
        </w:rPr>
        <w:t xml:space="preserve"> (2020) e Vahlkvist </w:t>
      </w:r>
      <w:r w:rsidDel="00000000" w:rsidR="00000000" w:rsidRPr="00000000">
        <w:rPr>
          <w:i w:val="1"/>
          <w:iCs w:val="1"/>
          <w:sz w:val="24"/>
          <w:szCs w:val="24"/>
          <w:rtl w:val="0"/>
        </w:rPr>
        <w:t xml:space="preserve">et al.</w:t>
      </w:r>
      <w:r w:rsidDel="00000000" w:rsidR="00000000" w:rsidRPr="00000000">
        <w:rPr>
          <w:sz w:val="24"/>
          <w:szCs w:val="24"/>
          <w:rtl w:val="0"/>
        </w:rPr>
        <w:t xml:space="preserve"> (2020) encontraram taxas de falha terapêutica e tempos de tratamento semelhantes entre CNAF e CPAP. Esses achados demonstram que, em pacientes com determinados níveis de gravidade, o uso da CNAF pode fornecer suporte respiratório suficiente sem a necessidade inicial de uma modalidade baseada em pressão positiva. A diferença entre esses resultados e os estudos que favorecem o CPAP/VNI mostra que é importante considerar as diferenças entre os pacientes avaliados, principalmente em relação à idade, à gravidade do quadro e aos critérios usados para definir a falha do tratamento.</w:t>
      </w:r>
    </w:p>
    <w:p w:rsidR="00000000" w:rsidDel="00000000" w:rsidP="00000000" w:rsidRDefault="00000000" w:rsidRPr="00000000" w14:paraId="00000057">
      <w:pPr>
        <w:spacing w:line="360" w:lineRule="auto"/>
        <w:ind w:firstLine="720"/>
        <w:jc w:val="both"/>
        <w:rPr>
          <w:sz w:val="24"/>
          <w:szCs w:val="24"/>
        </w:rPr>
      </w:pPr>
      <w:r w:rsidDel="00000000" w:rsidR="00000000" w:rsidRPr="00000000">
        <w:rPr>
          <w:sz w:val="24"/>
          <w:szCs w:val="24"/>
          <w:rtl w:val="0"/>
        </w:rPr>
        <w:t xml:space="preserve">Santos </w:t>
      </w:r>
      <w:r w:rsidDel="00000000" w:rsidR="00000000" w:rsidRPr="00000000">
        <w:rPr>
          <w:i w:val="1"/>
          <w:iCs w:val="1"/>
          <w:sz w:val="24"/>
          <w:szCs w:val="24"/>
          <w:rtl w:val="0"/>
        </w:rPr>
        <w:t xml:space="preserve">et al.</w:t>
      </w:r>
      <w:r w:rsidDel="00000000" w:rsidR="00000000" w:rsidRPr="00000000">
        <w:rPr>
          <w:sz w:val="24"/>
          <w:szCs w:val="24"/>
          <w:rtl w:val="0"/>
        </w:rPr>
        <w:t xml:space="preserve"> (2024) defendem que a eficácia do suporte respiratório não deve ser avaliada exclusivamente pela redução da falha terapêutica, pois o estudo mostra que a CNAF apresentou vantagens importantes relacionadas ao conforto e à tolerabilidade, com menor ocorrência de lesões nasais nos pacientes e menor necessidade de sedação. Esses fatores possuem relevância clínica, principalmente na população pediátrica, uma vez que a adaptação da criança à interface pode interferir diretamente na continuidade e no sucesso do tratamento. Dessa forma, uma modalidade que ofereça suporte respiratório adequado com menor desconforto pode representar uma alternativa vantajosa, especialmente quando não há indicação imediata de maior suporte ventilatório, como justifica Borgi </w:t>
      </w:r>
      <w:r w:rsidDel="00000000" w:rsidR="00000000" w:rsidRPr="00000000">
        <w:rPr>
          <w:i w:val="1"/>
          <w:iCs w:val="1"/>
          <w:sz w:val="24"/>
          <w:szCs w:val="24"/>
          <w:rtl w:val="0"/>
        </w:rPr>
        <w:t xml:space="preserve">et al </w:t>
      </w:r>
      <w:r w:rsidDel="00000000" w:rsidR="00000000" w:rsidRPr="00000000">
        <w:rPr>
          <w:sz w:val="24"/>
          <w:szCs w:val="24"/>
          <w:rtl w:val="0"/>
        </w:rPr>
        <w:t xml:space="preserve">(2021).</w:t>
      </w:r>
    </w:p>
    <w:p w:rsidR="00000000" w:rsidDel="00000000" w:rsidP="00000000" w:rsidRDefault="00000000" w:rsidRPr="00000000" w14:paraId="00000058">
      <w:pPr>
        <w:spacing w:line="360" w:lineRule="auto"/>
        <w:ind w:firstLine="720"/>
        <w:jc w:val="both"/>
        <w:rPr>
          <w:sz w:val="24"/>
          <w:szCs w:val="24"/>
        </w:rPr>
      </w:pPr>
      <w:r w:rsidDel="00000000" w:rsidR="00000000" w:rsidRPr="00000000">
        <w:rPr>
          <w:sz w:val="24"/>
          <w:szCs w:val="24"/>
          <w:rtl w:val="0"/>
        </w:rPr>
        <w:t xml:space="preserve">Os estudos de Maya </w:t>
      </w:r>
      <w:r w:rsidDel="00000000" w:rsidR="00000000" w:rsidRPr="00000000">
        <w:rPr>
          <w:i w:val="1"/>
          <w:iCs w:val="1"/>
          <w:sz w:val="24"/>
          <w:szCs w:val="24"/>
          <w:rtl w:val="0"/>
        </w:rPr>
        <w:t xml:space="preserve">et al.</w:t>
      </w:r>
      <w:r w:rsidDel="00000000" w:rsidR="00000000" w:rsidRPr="00000000">
        <w:rPr>
          <w:sz w:val="24"/>
          <w:szCs w:val="24"/>
          <w:rtl w:val="0"/>
        </w:rPr>
        <w:t xml:space="preserve"> (2024) reforçam essa comparação, mostrando menor falha terapêutica e menor necessidade de escalonamento para VNI com a utilização da CNAF, embora essa modalidade tenha sido associada a maior duração da oxigenoterapia e da hospitalização. De maneira semelhante, Santos </w:t>
      </w:r>
      <w:r w:rsidDel="00000000" w:rsidR="00000000" w:rsidRPr="00000000">
        <w:rPr>
          <w:i w:val="1"/>
          <w:iCs w:val="1"/>
          <w:sz w:val="24"/>
          <w:szCs w:val="24"/>
          <w:rtl w:val="0"/>
        </w:rPr>
        <w:t xml:space="preserve">et al</w:t>
      </w:r>
      <w:r w:rsidDel="00000000" w:rsidR="00000000" w:rsidRPr="00000000">
        <w:rPr>
          <w:sz w:val="24"/>
          <w:szCs w:val="24"/>
          <w:rtl w:val="0"/>
        </w:rPr>
        <w:t xml:space="preserve">. (2024) demonstraram que a CNAF não foi inferior à VNI quanto à necessidade de ventilação mecânica invasiva, além de estar associada a menor uso de sedação e menor tempo de hospitalização. Esses resultados evidenciam que a definição da modalidade mais eficaz depende diretamente do desfecho analisado, pois uma estratégia pode apresentar vantagem quanto ao conforto ou à necessidade de escalonamento, enquanto outra pode demonstrar maior capacidade de reduzir a falha terapêutica em pacientes mais graves.</w:t>
      </w:r>
    </w:p>
    <w:p w:rsidR="00000000" w:rsidDel="00000000" w:rsidP="00000000" w:rsidRDefault="00000000" w:rsidRPr="00000000" w14:paraId="00000059">
      <w:pPr>
        <w:spacing w:line="360" w:lineRule="auto"/>
        <w:ind w:firstLine="720"/>
        <w:jc w:val="both"/>
        <w:rPr>
          <w:sz w:val="24"/>
          <w:szCs w:val="24"/>
        </w:rPr>
      </w:pPr>
      <w:r w:rsidDel="00000000" w:rsidR="00000000" w:rsidRPr="00000000">
        <w:rPr>
          <w:sz w:val="24"/>
          <w:szCs w:val="24"/>
          <w:rtl w:val="0"/>
        </w:rPr>
        <w:t xml:space="preserve">Nesse contexto, os resultados encontrados indicam que CNAF e VNI devem ser compreendidas como estratégias com aplicações clínicas distintas, e não necessariamente como modalidades concorrentes em todas as situações. O CPAP/VNI parece apresentar maior benefício quando há comprometimento respiratório mais acentuado e necessidade de maior suporte ventilatório, enquanto a CNAF demonstra importante aplicabilidade em pacientes que necessitam de suporte adequado, porém apresentam maior potencial de benefício relacionado ao conforto e à tolerabilidade. Assim, a escolha entre as modalidades deve considerar a condição clínica inicial e a evolução do paciente, permitindo o escalonamento do suporte quando a estratégia inicialmente utilizada não apresentar resposta satisfatória.</w:t>
      </w:r>
    </w:p>
    <w:p w:rsidR="00000000" w:rsidDel="00000000" w:rsidP="00000000" w:rsidRDefault="00000000" w:rsidRPr="00000000" w14:paraId="0000005A">
      <w:pPr>
        <w:spacing w:line="360" w:lineRule="auto"/>
        <w:ind w:firstLine="720"/>
        <w:jc w:val="both"/>
        <w:rPr>
          <w:sz w:val="24"/>
          <w:szCs w:val="24"/>
        </w:rPr>
      </w:pPr>
      <w:r w:rsidDel="00000000" w:rsidR="00000000" w:rsidRPr="00000000">
        <w:rPr>
          <w:sz w:val="24"/>
          <w:szCs w:val="24"/>
          <w:rtl w:val="0"/>
        </w:rPr>
        <w:t xml:space="preserve">O conjunto das evidências analisadas permite concluir que não existe uma modalidade universalmente superior para todas as crianças com bronquiolite e insuficiência respiratória aguda. Sob esse viés, Maya </w:t>
      </w:r>
      <w:r w:rsidDel="00000000" w:rsidR="00000000" w:rsidRPr="00000000">
        <w:rPr>
          <w:i w:val="1"/>
          <w:iCs w:val="1"/>
          <w:sz w:val="24"/>
          <w:szCs w:val="24"/>
          <w:rtl w:val="0"/>
        </w:rPr>
        <w:t xml:space="preserve">et al.</w:t>
      </w:r>
      <w:r w:rsidDel="00000000" w:rsidR="00000000" w:rsidRPr="00000000">
        <w:rPr>
          <w:sz w:val="24"/>
          <w:szCs w:val="24"/>
          <w:rtl w:val="0"/>
        </w:rPr>
        <w:t xml:space="preserve"> (2024) fizeram um comparativo do tratamento com a CPAP e CNAF em crianças com bronquiolite aguda moderada a grave. Notou-se, então, que a CPAP apresenta maior potencial de sucesso em pacientes com maior comprometimento respiratório, enquanto a CNAF demonstra eficácia semelhante em diferentes situações clínicas, associada a vantagens relacionadas ao conforto, à tolerabilidade e à menor necessidade de intervenções adicionais. Dessa forma, a decisão terapêutica deve ser individualizada, considerando principalmente a gravidade do quadro clínico, a resposta ao tratamento e os objetivos do suporte respiratório.</w:t>
      </w:r>
    </w:p>
    <w:p w:rsidR="00000000" w:rsidDel="00000000" w:rsidP="00000000" w:rsidRDefault="00000000" w:rsidRPr="00000000" w14:paraId="0000005B">
      <w:pPr>
        <w:spacing w:line="360" w:lineRule="auto"/>
        <w:ind w:firstLine="720"/>
        <w:jc w:val="both"/>
        <w:rPr>
          <w:sz w:val="24"/>
          <w:szCs w:val="24"/>
        </w:rPr>
      </w:pPr>
      <w:r w:rsidDel="00000000" w:rsidR="00000000" w:rsidRPr="00000000">
        <w:rPr>
          <w:sz w:val="24"/>
          <w:szCs w:val="24"/>
          <w:rtl w:val="0"/>
        </w:rPr>
        <w:t xml:space="preserve">Apesar dos avanços, ainda são necessários estudos multicêntricos, com amostras maiores e critérios padronizados, que esclareçam quais características dos pacientes podem responder melhor à CNAF ou ao CPAP/VNI e em quais situações a escolha de uma modalidade pode modificar de forma significativa os desfechos clínicos. A contribuição deste trabalho está em reunir e discutir essas evidências, contribuindo para o aumento de estudos sobre o tema e permitindo uma compreensão mais ampla das vantagens e limitações de cada estratégia e auxiliando na tomada de decisões clínicas.</w:t>
      </w:r>
    </w:p>
    <w:p w:rsidR="00000000" w:rsidDel="00000000" w:rsidP="00000000" w:rsidRDefault="00000000" w:rsidRPr="00000000" w14:paraId="0000005C">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5D">
      <w:pPr>
        <w:spacing w:line="360" w:lineRule="auto"/>
        <w:rPr>
          <w:b w:val="1"/>
          <w:bCs w:val="1"/>
          <w:sz w:val="24"/>
          <w:szCs w:val="24"/>
        </w:rPr>
      </w:pPr>
      <w:r w:rsidDel="00000000" w:rsidR="00000000" w:rsidRPr="00000000">
        <w:rPr>
          <w:b w:val="1"/>
          <w:bCs w:val="1"/>
          <w:sz w:val="24"/>
          <w:szCs w:val="24"/>
          <w:rtl w:val="0"/>
        </w:rPr>
        <w:t xml:space="preserve">5 CONSIDERAÇÕES FINAIS</w:t>
      </w:r>
    </w:p>
    <w:p w:rsidR="00000000" w:rsidDel="00000000" w:rsidP="00000000" w:rsidRDefault="00000000" w:rsidRPr="00000000" w14:paraId="0000005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Diante dos estudos, foi possível analisar que a CNAF e a VNI</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possuem estratégias pertinentes para o manejo de crianças com bronquiolite associado a insuficiência respiratória, entretanto, os resultados encontrados não </w:t>
      </w:r>
      <w:r w:rsidDel="00000000" w:rsidR="00000000" w:rsidRPr="00000000">
        <w:rPr>
          <w:sz w:val="24"/>
          <w:szCs w:val="24"/>
          <w:rtl w:val="0"/>
        </w:rPr>
        <w:t xml:space="preserve">permitem afirmar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que uma modalidade é superior </w:t>
      </w:r>
      <w:r w:rsidDel="00000000" w:rsidR="00000000" w:rsidRPr="00000000">
        <w:rPr>
          <w:sz w:val="24"/>
          <w:szCs w:val="24"/>
          <w:rtl w:val="0"/>
        </w:rPr>
        <w:t xml:space="preserve">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outra. A CNAF possui vantagens relacionadas ao conforto, tolerância e menor necessidade de sedação por ser menos invasiva, já a VNI por meio da CPAP foi evidenciado maior efetividade em pacientes que possuem comprometimento respiratório mais grave. Portanto, deve ser levado em consideração as diferenças das duas modalidades, analisando as características clínicas individuais para realizar a conduta de acordo com a necessidade de suporte respiratório do paciente, observando a gravidade do caso e resposta ao tratamento. </w:t>
      </w:r>
    </w:p>
    <w:p w:rsidR="00000000" w:rsidDel="00000000" w:rsidP="00000000" w:rsidRDefault="00000000" w:rsidRPr="00000000" w14:paraId="0000006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61">
      <w:pPr>
        <w:spacing w:line="360" w:lineRule="auto"/>
        <w:jc w:val="center"/>
        <w:rPr>
          <w:b w:val="1"/>
          <w:bCs w:val="1"/>
          <w:sz w:val="24"/>
          <w:szCs w:val="24"/>
        </w:rPr>
      </w:pPr>
      <w:r w:rsidDel="00000000" w:rsidR="00000000" w:rsidRPr="00000000">
        <w:rPr>
          <w:b w:val="1"/>
          <w:bCs w:val="1"/>
          <w:sz w:val="24"/>
          <w:szCs w:val="24"/>
          <w:rtl w:val="0"/>
        </w:rPr>
        <w:t xml:space="preserve">REFERÊNCIAS</w:t>
      </w:r>
    </w:p>
    <w:p w:rsidR="00000000" w:rsidDel="00000000" w:rsidP="00000000" w:rsidRDefault="00000000" w:rsidRPr="00000000" w14:paraId="00000062">
      <w:pPr>
        <w:ind w:hanging="1418"/>
        <w:rPr>
          <w:sz w:val="24"/>
          <w:szCs w:val="24"/>
        </w:rPr>
      </w:pPr>
      <w:r w:rsidDel="00000000" w:rsidR="00000000" w:rsidRPr="00000000">
        <w:rPr>
          <w:rFonts w:ascii="Courier New" w:cs="Courier New" w:eastAsia="Courier New" w:hAnsi="Courier New"/>
          <w:color w:val="1b1b1b"/>
          <w:sz w:val="24"/>
          <w:szCs w:val="24"/>
          <w:rtl w:val="0"/>
        </w:rPr>
        <w:t xml:space="preserve">          </w:t>
      </w:r>
      <w:r w:rsidDel="00000000" w:rsidR="00000000" w:rsidRPr="00000000">
        <w:rPr>
          <w:sz w:val="24"/>
          <w:szCs w:val="24"/>
          <w:rtl w:val="0"/>
        </w:rPr>
        <w:t xml:space="preserve">BORGI, Aida et al. High flow nasal cannula therapy versus continuous positive airway pressure and nasal positive pressure ventilation in infants with severe bronchiolitis: a randomized controlled trial. </w:t>
      </w:r>
      <w:r w:rsidDel="00000000" w:rsidR="00000000" w:rsidRPr="00000000">
        <w:rPr>
          <w:b w:val="1"/>
          <w:bCs w:val="1"/>
          <w:sz w:val="24"/>
          <w:szCs w:val="24"/>
          <w:rtl w:val="0"/>
        </w:rPr>
        <w:t xml:space="preserve">Pan African Medical Journal</w:t>
      </w:r>
      <w:r w:rsidDel="00000000" w:rsidR="00000000" w:rsidRPr="00000000">
        <w:rPr>
          <w:sz w:val="24"/>
          <w:szCs w:val="24"/>
          <w:rtl w:val="0"/>
        </w:rPr>
        <w:t xml:space="preserve">, v. 40, p. 133, 2021. DOI: 10.11604/pamj.2021.40.133.30350.</w:t>
      </w:r>
    </w:p>
    <w:p w:rsidR="00000000" w:rsidDel="00000000" w:rsidP="00000000" w:rsidRDefault="00000000" w:rsidRPr="00000000" w14:paraId="00000063">
      <w:pPr>
        <w:ind w:hanging="1418"/>
        <w:rPr>
          <w:sz w:val="24"/>
          <w:szCs w:val="24"/>
        </w:rPr>
      </w:pPr>
      <w:r w:rsidDel="00000000" w:rsidR="00000000" w:rsidRPr="00000000">
        <w:rPr>
          <w:sz w:val="24"/>
          <w:szCs w:val="24"/>
          <w:rtl w:val="0"/>
        </w:rPr>
        <w:tab/>
      </w:r>
    </w:p>
    <w:p w:rsidR="00000000" w:rsidDel="00000000" w:rsidP="00000000" w:rsidRDefault="00000000" w:rsidRPr="00000000" w14:paraId="00000064">
      <w:pPr>
        <w:ind w:hanging="1418"/>
        <w:rPr>
          <w:sz w:val="24"/>
          <w:szCs w:val="24"/>
        </w:rPr>
      </w:pPr>
      <w:r w:rsidDel="00000000" w:rsidR="00000000" w:rsidRPr="00000000">
        <w:rPr>
          <w:sz w:val="24"/>
          <w:szCs w:val="24"/>
          <w:rtl w:val="0"/>
        </w:rPr>
        <w:t xml:space="preserve">                        CESAR, Regina Grigolli et al. High-flow nasal cannula versus continuous positive airway pressure in critical bronchiolitis: a randomized controlled pilot.</w:t>
      </w:r>
      <w:r w:rsidDel="00000000" w:rsidR="00000000" w:rsidRPr="00000000">
        <w:rPr>
          <w:b w:val="1"/>
          <w:bCs w:val="1"/>
          <w:sz w:val="24"/>
          <w:szCs w:val="24"/>
          <w:rtl w:val="0"/>
        </w:rPr>
        <w:t xml:space="preserve"> Journal of Pediatric Intensive Care</w:t>
      </w:r>
      <w:r w:rsidDel="00000000" w:rsidR="00000000" w:rsidRPr="00000000">
        <w:rPr>
          <w:sz w:val="24"/>
          <w:szCs w:val="24"/>
          <w:rtl w:val="0"/>
        </w:rPr>
        <w:t xml:space="preserve">, v. 9, n. 4, p. 248-255, 2020. DOI: 10.1055/s-0040-1709656.</w:t>
      </w:r>
    </w:p>
    <w:p w:rsidR="00000000" w:rsidDel="00000000" w:rsidP="00000000" w:rsidRDefault="00000000" w:rsidRPr="00000000" w14:paraId="00000065">
      <w:pPr>
        <w:ind w:hanging="1418"/>
        <w:rPr>
          <w:rFonts w:ascii="Courier New" w:cs="Courier New" w:eastAsia="Courier New" w:hAnsi="Courier New"/>
          <w:color w:val="1b1b1b"/>
          <w:sz w:val="24"/>
          <w:szCs w:val="24"/>
        </w:rPr>
      </w:pPr>
      <w:r w:rsidDel="00000000" w:rsidR="00000000" w:rsidRPr="00000000">
        <w:rPr>
          <w:rtl w:val="0"/>
        </w:rPr>
      </w:r>
    </w:p>
    <w:p w:rsidR="00000000" w:rsidDel="00000000" w:rsidP="00000000" w:rsidRDefault="00000000" w:rsidRPr="00000000" w14:paraId="00000066">
      <w:pPr>
        <w:ind w:hanging="1418"/>
        <w:rPr>
          <w:sz w:val="24"/>
          <w:szCs w:val="24"/>
        </w:rPr>
      </w:pPr>
      <w:r w:rsidDel="00000000" w:rsidR="00000000" w:rsidRPr="00000000">
        <w:rPr>
          <w:sz w:val="24"/>
          <w:szCs w:val="24"/>
          <w:rtl w:val="0"/>
        </w:rPr>
        <w:t xml:space="preserve">                        GREEN, Robin J.; ZAR, Heather J.; WHITE, Debbie A.; MADHI, Shabir A. Viral lower respiratory tract infections. In: GREEN, Robin J. (ed.). </w:t>
      </w:r>
      <w:r w:rsidDel="00000000" w:rsidR="00000000" w:rsidRPr="00000000">
        <w:rPr>
          <w:b w:val="1"/>
          <w:bCs w:val="1"/>
          <w:sz w:val="24"/>
          <w:szCs w:val="24"/>
          <w:rtl w:val="0"/>
        </w:rPr>
        <w:t xml:space="preserve">Viral infections in children, volume II. Cham: Springer</w:t>
      </w:r>
      <w:r w:rsidDel="00000000" w:rsidR="00000000" w:rsidRPr="00000000">
        <w:rPr>
          <w:sz w:val="24"/>
          <w:szCs w:val="24"/>
          <w:rtl w:val="0"/>
        </w:rPr>
        <w:t xml:space="preserve">, 2017. p. 27-56. DOI:10.1007/978-3-319-54093-1_2.</w:t>
      </w:r>
    </w:p>
    <w:p w:rsidR="00000000" w:rsidDel="00000000" w:rsidP="00000000" w:rsidRDefault="00000000" w:rsidRPr="00000000" w14:paraId="00000067">
      <w:pPr>
        <w:ind w:hanging="1418"/>
        <w:rPr>
          <w:color w:val="1b1b1b"/>
          <w:sz w:val="24"/>
          <w:szCs w:val="24"/>
        </w:rPr>
      </w:pPr>
      <w:r w:rsidDel="00000000" w:rsidR="00000000" w:rsidRPr="00000000">
        <w:rPr>
          <w:sz w:val="24"/>
          <w:szCs w:val="24"/>
          <w:rtl w:val="0"/>
        </w:rPr>
        <w:tab/>
      </w:r>
      <w:r w:rsidDel="00000000" w:rsidR="00000000" w:rsidRPr="00000000">
        <w:rPr>
          <w:color w:val="1b1b1b"/>
          <w:sz w:val="24"/>
          <w:szCs w:val="24"/>
          <w:rtl w:val="0"/>
        </w:rPr>
        <w:t xml:space="preserve">  </w:t>
      </w:r>
    </w:p>
    <w:p w:rsidR="00000000" w:rsidDel="00000000" w:rsidP="00000000" w:rsidRDefault="00000000" w:rsidRPr="00000000" w14:paraId="00000068">
      <w:pPr>
        <w:ind w:hanging="1418"/>
        <w:rPr>
          <w:color w:val="1b1b1b"/>
          <w:sz w:val="24"/>
          <w:szCs w:val="24"/>
        </w:rPr>
      </w:pPr>
      <w:r w:rsidDel="00000000" w:rsidR="00000000" w:rsidRPr="00000000">
        <w:rPr>
          <w:color w:val="1b1b1b"/>
          <w:sz w:val="24"/>
          <w:szCs w:val="24"/>
          <w:rtl w:val="0"/>
        </w:rPr>
        <w:t xml:space="preserve">                        MANTI, Sara et al. UPDATE - 2022 Italian guidelines on the management of bronchiolitis in infants. </w:t>
      </w:r>
      <w:r w:rsidDel="00000000" w:rsidR="00000000" w:rsidRPr="00000000">
        <w:rPr>
          <w:b w:val="1"/>
          <w:bCs w:val="1"/>
          <w:color w:val="1b1b1b"/>
          <w:sz w:val="24"/>
          <w:szCs w:val="24"/>
          <w:rtl w:val="0"/>
        </w:rPr>
        <w:t xml:space="preserve">Italian Journal of Pediatrics</w:t>
      </w:r>
      <w:r w:rsidDel="00000000" w:rsidR="00000000" w:rsidRPr="00000000">
        <w:rPr>
          <w:color w:val="1b1b1b"/>
          <w:sz w:val="24"/>
          <w:szCs w:val="24"/>
          <w:rtl w:val="0"/>
        </w:rPr>
        <w:t xml:space="preserve">, v. 49, n. 1, p. 19, 2023. DOI: 10.1186/s13052-022-01392-6.</w:t>
      </w:r>
    </w:p>
    <w:p w:rsidR="00000000" w:rsidDel="00000000" w:rsidP="00000000" w:rsidRDefault="00000000" w:rsidRPr="00000000" w14:paraId="00000069">
      <w:pPr>
        <w:ind w:hanging="1418"/>
        <w:rPr>
          <w:color w:val="1b1b1b"/>
          <w:sz w:val="24"/>
          <w:szCs w:val="24"/>
        </w:rPr>
      </w:pPr>
      <w:r w:rsidDel="00000000" w:rsidR="00000000" w:rsidRPr="00000000">
        <w:rPr>
          <w:rtl w:val="0"/>
        </w:rPr>
      </w:r>
    </w:p>
    <w:p w:rsidR="00000000" w:rsidDel="00000000" w:rsidP="00000000" w:rsidRDefault="00000000" w:rsidRPr="00000000" w14:paraId="0000006A">
      <w:pPr>
        <w:ind w:hanging="1418"/>
        <w:rPr>
          <w:color w:val="1b1b1b"/>
          <w:sz w:val="24"/>
          <w:szCs w:val="24"/>
        </w:rPr>
      </w:pPr>
      <w:r w:rsidDel="00000000" w:rsidR="00000000" w:rsidRPr="00000000">
        <w:rPr>
          <w:color w:val="1b1b1b"/>
          <w:sz w:val="24"/>
          <w:szCs w:val="24"/>
          <w:rtl w:val="0"/>
        </w:rPr>
        <w:tab/>
      </w:r>
      <w:r w:rsidDel="00000000" w:rsidR="00000000" w:rsidRPr="00000000">
        <w:rPr>
          <w:sz w:val="24"/>
          <w:szCs w:val="24"/>
          <w:rtl w:val="0"/>
        </w:rPr>
        <w:t xml:space="preserve">MAYA, Malini et al. High-flow nasal cannula versus nasal prong bubble continuous positive airway pressure in children with moderate to severe acute bronchiolitis: a randomized controlled trial. </w:t>
      </w:r>
      <w:r w:rsidDel="00000000" w:rsidR="00000000" w:rsidRPr="00000000">
        <w:rPr>
          <w:b w:val="1"/>
          <w:bCs w:val="1"/>
          <w:sz w:val="24"/>
          <w:szCs w:val="24"/>
          <w:rtl w:val="0"/>
        </w:rPr>
        <w:t xml:space="preserve">Pediatric Critical Care Medicine</w:t>
      </w:r>
      <w:r w:rsidDel="00000000" w:rsidR="00000000" w:rsidRPr="00000000">
        <w:rPr>
          <w:sz w:val="24"/>
          <w:szCs w:val="24"/>
          <w:rtl w:val="0"/>
        </w:rPr>
        <w:t xml:space="preserve">, v. 25, n. 8, p. 748-757, 2024. DOI: 10.1097/PCC.0000000000003521.</w:t>
      </w:r>
      <w:r w:rsidDel="00000000" w:rsidR="00000000" w:rsidRPr="00000000">
        <w:rPr>
          <w:rtl w:val="0"/>
        </w:rPr>
      </w:r>
    </w:p>
    <w:p w:rsidR="00000000" w:rsidDel="00000000" w:rsidP="00000000" w:rsidRDefault="00000000" w:rsidRPr="00000000" w14:paraId="0000006B">
      <w:pPr>
        <w:tabs>
          <w:tab w:val="center" w:leader="none" w:pos="4252"/>
          <w:tab w:val="right" w:leader="none" w:pos="8504"/>
        </w:tabs>
        <w:spacing w:after="240" w:before="240" w:lineRule="auto"/>
        <w:rPr>
          <w:color w:val="000000"/>
        </w:rPr>
      </w:pPr>
      <w:r w:rsidDel="00000000" w:rsidR="00000000" w:rsidRPr="00000000">
        <w:rPr>
          <w:sz w:val="24"/>
          <w:szCs w:val="24"/>
          <w:rtl w:val="0"/>
        </w:rPr>
        <w:t xml:space="preserve">MILÉSI, Christophe et al. High flow nasal cannula (HFNC) versus nasal continuous positive airway pressure (nCPAP) for the initial respiratory management of acute viral bronchiolitis in young infants: a multicenter randomized controlled trial (TRAMONTANE study).</w:t>
      </w:r>
      <w:r w:rsidDel="00000000" w:rsidR="00000000" w:rsidRPr="00000000">
        <w:rPr>
          <w:b w:val="1"/>
          <w:bCs w:val="1"/>
          <w:sz w:val="24"/>
          <w:szCs w:val="24"/>
          <w:rtl w:val="0"/>
        </w:rPr>
        <w:t xml:space="preserve"> Intensive Care Medicine</w:t>
      </w:r>
      <w:r w:rsidDel="00000000" w:rsidR="00000000" w:rsidRPr="00000000">
        <w:rPr>
          <w:sz w:val="24"/>
          <w:szCs w:val="24"/>
          <w:rtl w:val="0"/>
        </w:rPr>
        <w:t xml:space="preserve">, v. 43, n. 2, p. 209-216, 2017. DOI: 10.1007/s00134-016-4617-8.</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252"/>
          <w:tab w:val="right" w:leader="none" w:pos="8504"/>
        </w:tabs>
        <w:rPr>
          <w:sz w:val="24"/>
          <w:szCs w:val="24"/>
        </w:rPr>
      </w:pPr>
      <w:r w:rsidDel="00000000" w:rsidR="00000000" w:rsidRPr="00000000">
        <w:rPr>
          <w:sz w:val="24"/>
          <w:szCs w:val="24"/>
          <w:rtl w:val="0"/>
        </w:rPr>
        <w:t xml:space="preserve">MORRIS, Jenny V.; RAMNARAYAN, Padmanabhan; PARSLOW, Roger C.; FLEMING, Sarah J. Outcomes for children receiving noninvasive ventilation as the first-line mode of mechanical ventilation at intensive care admission: a propensity score-matched cohort study. </w:t>
      </w:r>
      <w:r w:rsidDel="00000000" w:rsidR="00000000" w:rsidRPr="00000000">
        <w:rPr>
          <w:b w:val="1"/>
          <w:bCs w:val="1"/>
          <w:sz w:val="24"/>
          <w:szCs w:val="24"/>
          <w:rtl w:val="0"/>
        </w:rPr>
        <w:t xml:space="preserve">Critical Care Medicine</w:t>
      </w:r>
      <w:r w:rsidDel="00000000" w:rsidR="00000000" w:rsidRPr="00000000">
        <w:rPr>
          <w:sz w:val="24"/>
          <w:szCs w:val="24"/>
          <w:rtl w:val="0"/>
        </w:rPr>
        <w:t xml:space="preserve">, v. 45, n. 6, p. 1045-1053, 2017. DOI: 10.1097/CCM.0000000000002369.</w:t>
      </w:r>
    </w:p>
    <w:p w:rsidR="00000000" w:rsidDel="00000000" w:rsidP="00000000" w:rsidRDefault="00000000" w:rsidRPr="00000000" w14:paraId="0000006D">
      <w:pPr>
        <w:tabs>
          <w:tab w:val="center" w:leader="none" w:pos="4252"/>
          <w:tab w:val="right" w:leader="none" w:pos="8504"/>
        </w:tabs>
        <w:spacing w:after="240" w:before="240" w:lineRule="auto"/>
        <w:rPr>
          <w:sz w:val="24"/>
          <w:szCs w:val="24"/>
        </w:rPr>
      </w:pPr>
      <w:r w:rsidDel="00000000" w:rsidR="00000000" w:rsidRPr="00000000">
        <w:rPr>
          <w:sz w:val="24"/>
          <w:szCs w:val="24"/>
          <w:rtl w:val="0"/>
        </w:rPr>
        <w:t xml:space="preserve">PEDERSEN, Majken Bisgaard; VAHLKVIST, Signe. Comparison of CPAP and HFNC in management of bronchiolitis in infants and young children. </w:t>
      </w:r>
      <w:r w:rsidDel="00000000" w:rsidR="00000000" w:rsidRPr="00000000">
        <w:rPr>
          <w:b w:val="1"/>
          <w:bCs w:val="1"/>
          <w:sz w:val="24"/>
          <w:szCs w:val="24"/>
          <w:rtl w:val="0"/>
        </w:rPr>
        <w:t xml:space="preserve">Children</w:t>
      </w:r>
      <w:r w:rsidDel="00000000" w:rsidR="00000000" w:rsidRPr="00000000">
        <w:rPr>
          <w:sz w:val="24"/>
          <w:szCs w:val="24"/>
          <w:rtl w:val="0"/>
        </w:rPr>
        <w:t xml:space="preserve">, v. 4, n. 4, p. 28, 2017. DOI: 10.3390/children4040028.</w:t>
      </w:r>
    </w:p>
    <w:p w:rsidR="00000000" w:rsidDel="00000000" w:rsidP="00000000" w:rsidRDefault="00000000" w:rsidRPr="00000000" w14:paraId="0000006E">
      <w:pPr>
        <w:tabs>
          <w:tab w:val="center" w:leader="none" w:pos="4252"/>
          <w:tab w:val="right" w:leader="none" w:pos="8504"/>
        </w:tabs>
        <w:spacing w:after="240" w:before="240" w:lineRule="auto"/>
        <w:rPr>
          <w:sz w:val="24"/>
          <w:szCs w:val="24"/>
        </w:rPr>
      </w:pPr>
      <w:r w:rsidDel="00000000" w:rsidR="00000000" w:rsidRPr="00000000">
        <w:rPr>
          <w:sz w:val="24"/>
          <w:szCs w:val="24"/>
          <w:rtl w:val="0"/>
        </w:rPr>
        <w:t xml:space="preserve">SANTOS, Ana Carolina Etrusco Zaroni</w:t>
      </w:r>
      <w:r w:rsidDel="00000000" w:rsidR="00000000" w:rsidRPr="00000000">
        <w:rPr>
          <w:i w:val="1"/>
          <w:iCs w:val="1"/>
          <w:sz w:val="24"/>
          <w:szCs w:val="24"/>
          <w:rtl w:val="0"/>
        </w:rPr>
        <w:t xml:space="preserve"> et al. </w:t>
      </w:r>
      <w:r w:rsidDel="00000000" w:rsidR="00000000" w:rsidRPr="00000000">
        <w:rPr>
          <w:sz w:val="24"/>
          <w:szCs w:val="24"/>
          <w:rtl w:val="0"/>
        </w:rPr>
        <w:t xml:space="preserve">Comparison between high-flow nasal cannula (HFNC) therapy and noninvasive ventilation (NIV) in children with acute respiratory failure by bronchiolitis: a randomized controlled trial.</w:t>
      </w:r>
      <w:r w:rsidDel="00000000" w:rsidR="00000000" w:rsidRPr="00000000">
        <w:rPr>
          <w:b w:val="1"/>
          <w:bCs w:val="1"/>
          <w:sz w:val="24"/>
          <w:szCs w:val="24"/>
          <w:rtl w:val="0"/>
        </w:rPr>
        <w:t xml:space="preserve"> BMC Pediatrics</w:t>
      </w:r>
      <w:r w:rsidDel="00000000" w:rsidR="00000000" w:rsidRPr="00000000">
        <w:rPr>
          <w:sz w:val="24"/>
          <w:szCs w:val="24"/>
          <w:rtl w:val="0"/>
        </w:rPr>
        <w:t xml:space="preserve">, v. 24, p. 595, 2024. DOI: 10.1186/s12887-024-05058-6.</w:t>
      </w:r>
    </w:p>
    <w:p w:rsidR="00000000" w:rsidDel="00000000" w:rsidP="00000000" w:rsidRDefault="00000000" w:rsidRPr="00000000" w14:paraId="0000006F">
      <w:pPr>
        <w:tabs>
          <w:tab w:val="center" w:leader="none" w:pos="4252"/>
          <w:tab w:val="right" w:leader="none" w:pos="8504"/>
        </w:tabs>
        <w:spacing w:after="240" w:before="240" w:lineRule="auto"/>
        <w:rPr>
          <w:sz w:val="24"/>
          <w:szCs w:val="24"/>
        </w:rPr>
      </w:pPr>
      <w:r w:rsidDel="00000000" w:rsidR="00000000" w:rsidRPr="00000000">
        <w:rPr>
          <w:sz w:val="24"/>
          <w:szCs w:val="24"/>
          <w:rtl w:val="0"/>
        </w:rPr>
        <w:t xml:space="preserve">SARKAR, Mihir et al. Comparative study between noninvasive continuous positive airway pressure and hot humidified high-flow nasal cannulae as a mode of respiratory support in infants with acute bronchiolitis in pediatric intensive care unit of a tertiary care hospital. </w:t>
      </w:r>
      <w:r w:rsidDel="00000000" w:rsidR="00000000" w:rsidRPr="00000000">
        <w:rPr>
          <w:b w:val="1"/>
          <w:bCs w:val="1"/>
          <w:sz w:val="24"/>
          <w:szCs w:val="24"/>
          <w:rtl w:val="0"/>
        </w:rPr>
        <w:t xml:space="preserve">Indian Journal of Critical Care Medicine</w:t>
      </w:r>
      <w:r w:rsidDel="00000000" w:rsidR="00000000" w:rsidRPr="00000000">
        <w:rPr>
          <w:sz w:val="24"/>
          <w:szCs w:val="24"/>
          <w:rtl w:val="0"/>
        </w:rPr>
        <w:t xml:space="preserve">, v. 22, n. 2, p. 85-90, 2018. DOI: 10.4103/ijccm.IJCCM_274_17.</w:t>
      </w:r>
    </w:p>
    <w:p w:rsidR="00000000" w:rsidDel="00000000" w:rsidP="00000000" w:rsidRDefault="00000000" w:rsidRPr="00000000" w14:paraId="00000070">
      <w:pPr>
        <w:tabs>
          <w:tab w:val="center" w:leader="none" w:pos="4252"/>
          <w:tab w:val="right" w:leader="none" w:pos="8504"/>
        </w:tabs>
        <w:spacing w:after="240" w:before="240" w:lineRule="auto"/>
        <w:rPr>
          <w:sz w:val="24"/>
          <w:szCs w:val="24"/>
        </w:rPr>
      </w:pPr>
      <w:r w:rsidDel="00000000" w:rsidR="00000000" w:rsidRPr="00000000">
        <w:rPr>
          <w:sz w:val="24"/>
          <w:szCs w:val="24"/>
          <w:rtl w:val="0"/>
        </w:rPr>
        <w:t xml:space="preserve">SLAIN, Katherine N.; SHEIN, Steven L.; ROTTA, Alexandre T. The use of high-flow nasal cannula in the pediatric emergency department. </w:t>
      </w:r>
      <w:r w:rsidDel="00000000" w:rsidR="00000000" w:rsidRPr="00000000">
        <w:rPr>
          <w:b w:val="1"/>
          <w:bCs w:val="1"/>
          <w:sz w:val="24"/>
          <w:szCs w:val="24"/>
          <w:rtl w:val="0"/>
        </w:rPr>
        <w:t xml:space="preserve">Jornal de Pediatria</w:t>
      </w:r>
      <w:r w:rsidDel="00000000" w:rsidR="00000000" w:rsidRPr="00000000">
        <w:rPr>
          <w:sz w:val="24"/>
          <w:szCs w:val="24"/>
          <w:rtl w:val="0"/>
        </w:rPr>
        <w:t xml:space="preserve">, Rio de Janeiro, v. 93, supl. 1, p. 36–45, 2017. DOI: 10.1016/j.jped.2017.06.006.</w:t>
      </w:r>
    </w:p>
    <w:p w:rsidR="00000000" w:rsidDel="00000000" w:rsidP="00000000" w:rsidRDefault="00000000" w:rsidRPr="00000000" w14:paraId="00000071">
      <w:pPr>
        <w:tabs>
          <w:tab w:val="center" w:leader="none" w:pos="4252"/>
          <w:tab w:val="right" w:leader="none" w:pos="8504"/>
        </w:tabs>
        <w:rPr>
          <w:sz w:val="24"/>
          <w:szCs w:val="24"/>
        </w:rPr>
      </w:pPr>
      <w:r w:rsidDel="00000000" w:rsidR="00000000" w:rsidRPr="00000000">
        <w:rPr>
          <w:sz w:val="24"/>
          <w:szCs w:val="24"/>
          <w:rtl w:val="0"/>
        </w:rPr>
        <w:t xml:space="preserve">SOUZA, Cláudia Denise de; GONÇALVES, Camila Roza; CARDOSO, Letícia Paixão. Cânula nasal de alto fluxo em pediatria: revisão de literatura.</w:t>
      </w:r>
      <w:r w:rsidDel="00000000" w:rsidR="00000000" w:rsidRPr="00000000">
        <w:rPr>
          <w:b w:val="1"/>
          <w:bCs w:val="1"/>
          <w:sz w:val="24"/>
          <w:szCs w:val="24"/>
          <w:rtl w:val="0"/>
        </w:rPr>
        <w:t xml:space="preserve"> Revista InterScientia, João Pessoa</w:t>
      </w:r>
      <w:r w:rsidDel="00000000" w:rsidR="00000000" w:rsidRPr="00000000">
        <w:rPr>
          <w:sz w:val="24"/>
          <w:szCs w:val="24"/>
          <w:rtl w:val="0"/>
        </w:rPr>
        <w:t xml:space="preserve">, v. 11, n. 1, p. 180-217, jan./jun. 2024. DOI: 10.5281/zenodo.12792007.</w:t>
      </w:r>
    </w:p>
    <w:p w:rsidR="00000000" w:rsidDel="00000000" w:rsidP="00000000" w:rsidRDefault="00000000" w:rsidRPr="00000000" w14:paraId="00000072">
      <w:pPr>
        <w:tabs>
          <w:tab w:val="center" w:leader="none" w:pos="4252"/>
          <w:tab w:val="right" w:leader="none" w:pos="8504"/>
        </w:tabs>
        <w:spacing w:after="240" w:before="240" w:lineRule="auto"/>
        <w:rPr>
          <w:color w:val="000000"/>
        </w:rPr>
      </w:pPr>
      <w:r w:rsidDel="00000000" w:rsidR="00000000" w:rsidRPr="00000000">
        <w:rPr>
          <w:sz w:val="24"/>
          <w:szCs w:val="24"/>
          <w:rtl w:val="0"/>
        </w:rPr>
        <w:t xml:space="preserve">VAHLKVIST, Signe et al. High flow nasal cannula and continuous positive airway pressure therapy in treatment of viral bronchiolitis: a randomized clinical trial. </w:t>
      </w:r>
      <w:r w:rsidDel="00000000" w:rsidR="00000000" w:rsidRPr="00000000">
        <w:rPr>
          <w:b w:val="1"/>
          <w:bCs w:val="1"/>
          <w:sz w:val="24"/>
          <w:szCs w:val="24"/>
          <w:rtl w:val="0"/>
        </w:rPr>
        <w:t xml:space="preserve">European Journal of Pediatrics</w:t>
      </w:r>
      <w:r w:rsidDel="00000000" w:rsidR="00000000" w:rsidRPr="00000000">
        <w:rPr>
          <w:sz w:val="24"/>
          <w:szCs w:val="24"/>
          <w:rtl w:val="0"/>
        </w:rPr>
        <w:t xml:space="preserve">, v. 179, n. 3, p. 513-518, 2020. DOI: 10.1007/s00431-019-03533-2.</w:t>
      </w:r>
      <w:r w:rsidDel="00000000" w:rsidR="00000000" w:rsidRPr="00000000">
        <w:rPr>
          <w:rtl w:val="0"/>
        </w:rPr>
      </w:r>
    </w:p>
    <w:sectPr>
      <w:headerReference r:id="rId9" w:type="default"/>
      <w:footerReference r:id="rId10" w:type="default"/>
      <w:pgSz w:h="16840" w:w="11906" w:orient="portrait"/>
      <w:pgMar w:bottom="1134" w:top="2268" w:left="1701"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Gungsuh"/>
  <w:font w:name="Times New Roman"/>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-161916</wp:posOffset>
          </wp:positionH>
          <wp:positionV relativeFrom="paragraph">
            <wp:posOffset>0</wp:posOffset>
          </wp:positionV>
          <wp:extent cx="5643037" cy="1037590"/>
          <wp:effectExtent b="0" l="0" r="0" t="0"/>
          <wp:wrapNone/>
          <wp:docPr id="13" name="image2.png"/>
          <a:graphic>
            <a:graphicData uri="http://schemas.openxmlformats.org/drawingml/2006/picture">
              <pic:pic>
                <pic:nvPicPr>
                  <pic:cNvPr id="0" name="image2.png"/>
                  <pic:cNvPicPr preferRelativeResize="0"/>
                </pic:nvPicPr>
                <pic:blipFill>
                  <a:blip r:embed="rId1"/>
                  <a:srcRect b="4411" l="0" r="0" t="4411"/>
                  <a:stretch>
                    <a:fillRect/>
                  </a:stretch>
                </pic:blipFill>
                <pic:spPr>
                  <a:xfrm>
                    <a:off x="0" y="0"/>
                    <a:ext cx="5643037" cy="1037590"/>
                  </a:xfrm>
                  <a:prstGeom prst="rect"/>
                  <a:ln/>
                </pic:spPr>
              </pic:pic>
            </a:graphicData>
          </a:graphic>
        </wp:anchor>
      </w:drawing>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3">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Graduando(a) em Fisioterapia – Centro Universitário Chrisfapi.</w:t>
      </w:r>
    </w:p>
    <w:p w:rsidR="00000000" w:rsidDel="00000000" w:rsidP="00000000" w:rsidRDefault="00000000" w:rsidRPr="00000000" w14:paraId="00000074">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²Docente do Curso de Fisioterapia – Centro Universitário Chrisfapi.</w:t>
      </w:r>
    </w:p>
    <w:p w:rsidR="00000000" w:rsidDel="00000000" w:rsidP="00000000" w:rsidRDefault="00000000" w:rsidRPr="00000000" w14:paraId="00000075">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252"/>
        <w:tab w:val="right" w:leader="none" w:pos="8504"/>
        <w:tab w:val="left" w:leader="none" w:pos="2595"/>
        <w:tab w:val="left" w:leader="none" w:pos="7670"/>
      </w:tabs>
      <w:rPr>
        <w:color w:val="000000"/>
      </w:rPr>
    </w:pPr>
    <w:r w:rsidDel="00000000" w:rsidR="00000000" w:rsidRPr="00000000">
      <w:rPr>
        <w:color w:val="000000"/>
        <w:rtl w:val="0"/>
      </w:rPr>
      <w:tab/>
      <w:tab/>
    </w:r>
    <w:r w:rsidDel="00000000" w:rsidR="00000000" w:rsidRPr="00000000">
      <w:drawing>
        <wp:anchor allowOverlap="1" behindDoc="1" distB="0" distT="0" distL="0" distR="0" hidden="0" layoutInCell="1" locked="0" relativeHeight="0" simplePos="0">
          <wp:simplePos x="0" y="0"/>
          <wp:positionH relativeFrom="column">
            <wp:posOffset>-1076315</wp:posOffset>
          </wp:positionH>
          <wp:positionV relativeFrom="paragraph">
            <wp:posOffset>-449567</wp:posOffset>
          </wp:positionV>
          <wp:extent cx="7573328" cy="1400175"/>
          <wp:effectExtent b="0" l="0" r="0" t="0"/>
          <wp:wrapNone/>
          <wp:docPr id="12" name="image1.png"/>
          <a:graphic>
            <a:graphicData uri="http://schemas.openxmlformats.org/drawingml/2006/picture">
              <pic:pic>
                <pic:nvPicPr>
                  <pic:cNvPr id="0" name="image1.png"/>
                  <pic:cNvPicPr preferRelativeResize="0"/>
                </pic:nvPicPr>
                <pic:blipFill>
                  <a:blip r:embed="rId1"/>
                  <a:srcRect b="4160" l="0" r="0" t="4160"/>
                  <a:stretch>
                    <a:fillRect/>
                  </a:stretch>
                </pic:blipFill>
                <pic:spPr>
                  <a:xfrm>
                    <a:off x="0" y="0"/>
                    <a:ext cx="7573328" cy="1400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Y5HTUhOlZuX0CC/J79bxazVHnQ==">CgMxLjAaFAoBMBIPCg0IB0IJEgdHdW5nc3VoMg9pZC5waG1raXBqZm9kOW84AHIhMVZPdlNLRFE4cmY1RlVrQ1BFa3pTYzR3NW1rbjQtNHlw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