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D204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4144DD88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D18849">
      <w:pPr>
        <w:spacing w:after="120"/>
        <w:ind w:left="709" w:right="665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DESAFIOS E SOLUÇÕES NO RETRATAMENTO ENDODÔNTICO DE MOLAR COM SOBREOBTURAÇÃO: RELATO DE CASO</w:t>
      </w:r>
    </w:p>
    <w:p w14:paraId="3E6EABF3">
      <w:pPr>
        <w:jc w:val="right"/>
        <w:rPr>
          <w:rFonts w:ascii="Cambria" w:hAnsi="Cambria" w:cstheme="minorHAnsi"/>
          <w:sz w:val="22"/>
          <w:szCs w:val="22"/>
        </w:rPr>
      </w:pPr>
    </w:p>
    <w:p w14:paraId="48418277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textWrapping"/>
      </w:r>
      <w:r>
        <w:rPr>
          <w:rFonts w:asciiTheme="minorHAnsi" w:hAnsiTheme="minorHAnsi" w:cstheme="minorHAnsi"/>
          <w:b/>
          <w:sz w:val="22"/>
          <w:szCs w:val="22"/>
        </w:rPr>
        <w:t>Mônica Andressa Alves Castelo Branco</w:t>
      </w:r>
      <w:r>
        <w:rPr>
          <w:rStyle w:val="7"/>
          <w:rFonts w:asciiTheme="minorHAnsi" w:hAnsiTheme="minorHAnsi" w:cstheme="minorHAnsi"/>
          <w:sz w:val="22"/>
          <w:szCs w:val="22"/>
        </w:rPr>
        <w:footnoteReference w:id="0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FD473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Wendyla Silva dos Reis</w:t>
      </w:r>
      <w:r>
        <w:rPr>
          <w:rStyle w:val="7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10782B">
      <w:pPr>
        <w:jc w:val="right"/>
        <w:rPr>
          <w:rFonts w:hint="default" w:asciiTheme="minorHAnsi" w:hAnsiTheme="minorHAnsi" w:cstheme="minorHAnsi"/>
          <w:b/>
          <w:sz w:val="22"/>
          <w:szCs w:val="22"/>
          <w:vertAlign w:val="superscript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</w:rPr>
        <w:t>Talisse Pereira de Sousa</w:t>
      </w:r>
      <w:r>
        <w:rPr>
          <w:rFonts w:hint="default" w:asciiTheme="minorHAnsi" w:hAnsiTheme="minorHAnsi" w:cstheme="minorHAnsi"/>
          <w:b/>
          <w:sz w:val="22"/>
          <w:szCs w:val="22"/>
          <w:vertAlign w:val="superscript"/>
          <w:lang w:val="pt-BR"/>
        </w:rPr>
        <w:t>3</w:t>
      </w:r>
    </w:p>
    <w:p w14:paraId="79E9E924">
      <w:pPr>
        <w:jc w:val="right"/>
        <w:rPr>
          <w:rFonts w:hint="default" w:asciiTheme="minorHAnsi" w:hAnsiTheme="minorHAnsi" w:cstheme="minorHAnsi"/>
          <w:b/>
          <w:sz w:val="22"/>
          <w:szCs w:val="22"/>
          <w:vertAlign w:val="superscript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</w:rPr>
        <w:t>Talhia Oliveira Alves Feitosa</w:t>
      </w:r>
      <w:r>
        <w:rPr>
          <w:rFonts w:hint="default" w:asciiTheme="minorHAnsi" w:hAnsiTheme="minorHAnsi" w:cstheme="minorHAnsi"/>
          <w:b/>
          <w:sz w:val="22"/>
          <w:szCs w:val="22"/>
          <w:vertAlign w:val="superscript"/>
          <w:lang w:val="pt-BR"/>
        </w:rPr>
        <w:t>4</w:t>
      </w:r>
    </w:p>
    <w:p w14:paraId="26D80E89">
      <w:pPr>
        <w:jc w:val="right"/>
        <w:rPr>
          <w:rFonts w:hint="default" w:asciiTheme="minorHAnsi" w:hAnsiTheme="minorHAnsi" w:cstheme="minorHAnsi"/>
          <w:b/>
          <w:sz w:val="22"/>
          <w:szCs w:val="22"/>
          <w:vertAlign w:val="superscript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</w:rPr>
        <w:t>Maria da Cruz Vieira de Araújo</w:t>
      </w:r>
      <w:r>
        <w:rPr>
          <w:rFonts w:hint="default" w:asciiTheme="minorHAnsi" w:hAnsiTheme="minorHAnsi" w:cstheme="minorHAnsi"/>
          <w:b/>
          <w:sz w:val="22"/>
          <w:szCs w:val="22"/>
          <w:vertAlign w:val="superscript"/>
          <w:lang w:val="pt-BR"/>
        </w:rPr>
        <w:t>5</w:t>
      </w:r>
    </w:p>
    <w:p w14:paraId="44FFD1E2">
      <w:pPr>
        <w:jc w:val="right"/>
        <w:rPr>
          <w:rFonts w:hint="default" w:asciiTheme="minorHAnsi" w:hAnsiTheme="minorHAnsi" w:cstheme="minorHAnsi"/>
          <w:b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sz w:val="22"/>
          <w:szCs w:val="22"/>
        </w:rPr>
        <w:t>Ana Victoria Lopes</w:t>
      </w:r>
      <w:r>
        <w:rPr>
          <w:rFonts w:hint="default" w:asciiTheme="minorHAnsi" w:hAnsiTheme="minorHAnsi" w:cstheme="minorHAnsi"/>
          <w:b/>
          <w:sz w:val="22"/>
          <w:szCs w:val="22"/>
          <w:vertAlign w:val="superscript"/>
          <w:lang w:val="pt-BR"/>
        </w:rPr>
        <w:t>6</w:t>
      </w:r>
    </w:p>
    <w:p w14:paraId="7446EF36">
      <w:pPr>
        <w:spacing w:after="120"/>
        <w:ind w:left="948" w:leftChars="0" w:right="665" w:hanging="948" w:hangingChars="395"/>
        <w:jc w:val="left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RESUMO</w:t>
      </w:r>
    </w:p>
    <w:p w14:paraId="0D65C239">
      <w:pPr>
        <w:spacing w:after="120"/>
        <w:ind w:right="94" w:right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b/>
        </w:rPr>
        <w:t>INTRODUÇÃO</w:t>
      </w:r>
      <w:r>
        <w:rPr>
          <w:rFonts w:hint="default" w:ascii="Arial" w:hAnsi="Arial" w:cs="Arial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="Arial" w:hAnsi="Arial" w:cs="Arial"/>
        </w:rPr>
        <w:t>A perfuração radicular é uma complicação iatrogênica caracterizada pela comunicação acidental entre os canais radiculares e os tecidos periodontais adjacentes. Geralmente ocorre no terço apical devido à anatomia e curvatura de alguns dentes. Esse tipo de lesão pode comprometer gravemente o prognóstico e a longevidade do tratamento endodôntico. O diagnóstico é frequentemente feito por exames de imagem, como a tomografia computadorizada de feixe cônico (TCFC), que permite uma avaliação tridimensional detalhada da área afetada. Sinais clínicos como dor atípica e sangramento persistente também são indicativos importantes.</w:t>
      </w:r>
      <w:r>
        <w:rPr>
          <w:rFonts w:ascii="Arial" w:hAnsi="Arial" w:cs="Arial"/>
          <w:b/>
          <w:bCs/>
        </w:rPr>
        <w:t xml:space="preserve"> RELATO DE CASO</w:t>
      </w:r>
      <w:r>
        <w:rPr>
          <w:rFonts w:ascii="Arial" w:hAnsi="Arial" w:cs="Arial"/>
        </w:rPr>
        <w:t>:</w:t>
      </w:r>
      <w:r>
        <w:t xml:space="preserve"> </w:t>
      </w:r>
      <w:r>
        <w:rPr>
          <w:rFonts w:ascii="Arial" w:hAnsi="Arial" w:cs="Arial"/>
        </w:rPr>
        <w:t xml:space="preserve">Paciente masculino, 57 anos, procurou atendimento odontológico queixando-se de sensibilidade nos dentes 26 e 27, especialmente ao mastigar. Relatou histórico de tratamento endodôntico no dente 27 e desconforto persistente. Radiografia periapical sugeriu falha endodôntica, e a TCFC confirmou perfuração na raiz mesial do dente 27, sobreobturação nos condutos MV e DV, além de lesão periapical. Diante disso, decidiu-se realizar o retratamento endodôntico, visando o selamento da perfuração, controle da infecção e preservação do dente. </w:t>
      </w:r>
      <w:r>
        <w:rPr>
          <w:rFonts w:ascii="Arial" w:hAnsi="Arial" w:cs="Arial"/>
          <w:b/>
          <w:bCs/>
        </w:rPr>
        <w:t>CONSIDERAÇÕES FINAIS</w:t>
      </w:r>
      <w:r>
        <w:rPr>
          <w:rFonts w:ascii="Arial" w:hAnsi="Arial" w:cs="Arial"/>
        </w:rPr>
        <w:t>: A perfuração radicular é uma complicação importante que exige diagnóstico precoce e manejo adequado. O uso de tomografia computadorizada de feixe cônico proporciona avaliação detalhada, essencial para o planejamento do tratamento. O retratamento endodôntico, aliado ao uso de materiais biocompatíveis para selamento, demonstrou ser eficaz na remissão dos sintomas e preservação funcional do dente e prognóstico a longo prazo.</w:t>
      </w:r>
    </w:p>
    <w:p w14:paraId="365BCC9A">
      <w:pPr>
        <w:spacing w:after="120"/>
        <w:ind w:right="94" w:rightChars="0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</w:rPr>
        <w:t>Descritores</w:t>
      </w:r>
      <w:r>
        <w:rPr>
          <w:rFonts w:ascii="Arial" w:hAnsi="Arial" w:cs="Arial"/>
        </w:rPr>
        <w:t>: Endodontia. Retratamento Endodôntico. Tomografia Computadorizada de Feixe Cônico.</w:t>
      </w:r>
      <w:bookmarkStart w:id="0" w:name="_GoBack"/>
      <w:bookmarkEnd w:id="0"/>
    </w:p>
    <w:sectPr>
      <w:headerReference r:id="rId5" w:type="first"/>
      <w:headerReference r:id="rId4" w:type="default"/>
      <w:footerReference r:id="rId6" w:type="default"/>
      <w:pgSz w:w="11907" w:h="16840"/>
      <w:pgMar w:top="1134" w:right="1275" w:bottom="586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page" w:horzAnchor="margin" w:tblpXSpec="center" w:tblpYSpec="bottom"/>
      <w:tblW w:w="5000" w:type="pc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544"/>
      <w:gridCol w:w="1886"/>
    </w:tblGrid>
    <w:sdt>
      <w:sdtPr>
        <w:rPr>
          <w:rFonts w:asciiTheme="minorHAnsi" w:hAnsiTheme="minorHAnsi" w:eastAsiaTheme="majorEastAsia" w:cstheme="minorHAnsi"/>
          <w:b/>
          <w:bCs/>
          <w:color w:val="17375E" w:themeColor="text2" w:themeShade="BF"/>
          <w:sz w:val="20"/>
          <w:szCs w:val="20"/>
        </w:rPr>
        <w:id w:val="-1870907473"/>
        <w:docPartObj>
          <w:docPartGallery w:val="AutoText"/>
        </w:docPartObj>
      </w:sdtPr>
      <w:sdtEndPr>
        <w:rPr>
          <w:rFonts w:eastAsia="Times New Roman" w:asciiTheme="minorHAnsi" w:hAnsiTheme="minorHAnsi" w:cstheme="minorHAnsi"/>
          <w:b/>
          <w:bCs/>
          <w:color w:val="376092" w:themeColor="accent1" w:themeShade="BF"/>
          <w:sz w:val="28"/>
          <w:szCs w:val="24"/>
        </w:rPr>
      </w:sdtEndPr>
      <w:sdtContent>
        <w:tr w14:paraId="50296F00">
          <w:tblPrEx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trHeight w:val="727" w:hRule="atLeast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14:paraId="6A7ECBE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75E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14:paraId="1D61E8B7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76092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instrText xml:space="preserve"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76092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/>
      </w:pPr>
      <w:r>
        <w:separator/>
      </w:r>
    </w:p>
  </w:footnote>
  <w:footnote w:type="continuationSeparator" w:id="5">
    <w:p>
      <w:pPr>
        <w:spacing w:before="0" w:after="0"/>
      </w:pPr>
      <w:r>
        <w:continuationSeparator/>
      </w:r>
    </w:p>
  </w:footnote>
  <w:footnote w:id="0">
    <w:p w14:paraId="126BA6CA">
      <w:pPr>
        <w:pStyle w:val="17"/>
        <w:jc w:val="both"/>
      </w:pPr>
      <w:r>
        <w:rPr>
          <w:rStyle w:val="7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</w:footnote>
  <w:footnote w:id="1">
    <w:p w14:paraId="2C73D3E6">
      <w:pPr>
        <w:pStyle w:val="17"/>
        <w:jc w:val="both"/>
      </w:pPr>
      <w:r>
        <w:rPr>
          <w:rStyle w:val="7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  <w:r>
        <w:t xml:space="preserve"> </w:t>
      </w:r>
    </w:p>
    <w:p w14:paraId="1156EEA9">
      <w:pPr>
        <w:pStyle w:val="17"/>
        <w:jc w:val="both"/>
        <w:rPr>
          <w:iCs/>
        </w:rPr>
      </w:pPr>
      <w:r>
        <w:rPr>
          <w:rFonts w:hint="default"/>
          <w:vertAlign w:val="superscript"/>
          <w:lang w:val="pt-BR"/>
        </w:rPr>
        <w:t xml:space="preserve">3 </w:t>
      </w:r>
      <w:r>
        <w:t>Autor. Estudante do curso de graduação em Odontologia no Centro Universitário Santo Agostinho (UNIFSA)</w:t>
      </w:r>
      <w:r>
        <w:rPr>
          <w:iCs/>
        </w:rPr>
        <w:t>.</w:t>
      </w:r>
    </w:p>
    <w:p w14:paraId="0E0CA4DC">
      <w:pPr>
        <w:pStyle w:val="17"/>
        <w:jc w:val="both"/>
        <w:rPr>
          <w:iCs/>
        </w:rPr>
      </w:pPr>
      <w:r>
        <w:rPr>
          <w:rFonts w:hint="default"/>
          <w:vertAlign w:val="superscript"/>
          <w:lang w:val="pt-BR"/>
        </w:rPr>
        <w:t xml:space="preserve">4 </w:t>
      </w:r>
      <w:r>
        <w:t>Autor. Estudante do curso de graduação em Odontologia no Centro Universitário Santo Agostinho (UNIFSA)</w:t>
      </w:r>
      <w:r>
        <w:rPr>
          <w:iCs/>
        </w:rPr>
        <w:t>.</w:t>
      </w:r>
    </w:p>
    <w:p w14:paraId="54FE6A24">
      <w:pPr>
        <w:pStyle w:val="17"/>
        <w:jc w:val="both"/>
        <w:rPr>
          <w:iCs/>
        </w:rPr>
      </w:pPr>
      <w:r>
        <w:rPr>
          <w:rFonts w:hint="default"/>
          <w:vertAlign w:val="superscript"/>
          <w:lang w:val="pt-BR"/>
        </w:rPr>
        <w:t xml:space="preserve">5 </w:t>
      </w:r>
      <w:r>
        <w:t>Autor. Estudante do curso de graduação em Odontologia no Centro Universitário Santo Agostinho (UNIFSA)</w:t>
      </w:r>
      <w:r>
        <w:rPr>
          <w:iCs/>
        </w:rPr>
        <w:t>.</w:t>
      </w:r>
    </w:p>
    <w:p w14:paraId="261A472C">
      <w:pPr>
        <w:pStyle w:val="17"/>
        <w:jc w:val="both"/>
      </w:pPr>
      <w:r>
        <w:rPr>
          <w:rFonts w:hint="default"/>
          <w:iCs/>
          <w:vertAlign w:val="superscript"/>
          <w:lang w:val="pt-BR"/>
        </w:rPr>
        <w:t>6</w:t>
      </w:r>
      <w:r>
        <w:rPr>
          <w:rFonts w:hint="default"/>
          <w:iCs/>
          <w:vertAlign w:val="baseline"/>
          <w:lang w:val="pt-BR"/>
        </w:rPr>
        <w:t xml:space="preserve">Graduada em Odontologia pela Universidade Federal do Piauí e Mestra em Odontologia pela  Universidade Federal do Piauí. </w:t>
      </w:r>
      <w:r>
        <w:t>Professora do Centro Universitário Santo Agostinho (UNIFSA). Orientadora da Pesquisa.</w:t>
      </w:r>
    </w:p>
    <w:p w14:paraId="2DB569F5">
      <w:pPr>
        <w:pStyle w:val="17"/>
        <w:jc w:val="both"/>
        <w:rPr>
          <w:rFonts w:hint="default"/>
          <w:iCs/>
          <w:vertAlign w:val="baseline"/>
          <w:lang w:val="pt-BR"/>
        </w:rPr>
      </w:pPr>
    </w:p>
    <w:p w14:paraId="46EA5060">
      <w:pPr>
        <w:pStyle w:val="17"/>
        <w:jc w:val="both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B4B39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14:props3d w14:extrusionH="0" w14:contourW="0" w14:prstMaterial="dkEdge"/>
      </w:rPr>
    </w:pPr>
  </w:p>
  <w:p w14:paraId="72FA57E1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166F">
    <w:pPr>
      <w:pStyle w:val="13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1BF624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734876E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3EE7845B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52CD5B9E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2B409DF5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53C31F9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7155DAF8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05BE612C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73A278DF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</w:rPr>
    </w:pPr>
  </w:p>
  <w:p w14:paraId="3B040370">
    <w:pPr>
      <w:pStyle w:val="13"/>
      <w:jc w:val="center"/>
      <w:rPr>
        <w:rFonts w:asciiTheme="minorHAnsi" w:hAnsiTheme="minorHAnsi" w:cstheme="minorHAnsi"/>
        <w:b/>
        <w:bCs/>
        <w:color w:val="10253F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>
    <w:pPr>
      <w:pStyle w:val="13"/>
      <w:shd w:val="clear" w:color="auto" w:fill="3660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  <w14:textFill>
          <w14:solidFill>
            <w14:schemeClr w14:val="bg1"/>
          </w14:solidFill>
        </w14:textFill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attachedTemplate r:id="rId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4"/>
    <w:footnote w:id="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0DAC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13EDD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45FA1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015A6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580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footnote reference"/>
    <w:basedOn w:val="3"/>
    <w:semiHidden/>
    <w:qFormat/>
    <w:uiPriority w:val="0"/>
    <w:rPr>
      <w:vertAlign w:val="superscript"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character" w:styleId="9">
    <w:name w:val="page number"/>
    <w:basedOn w:val="3"/>
    <w:unhideWhenUsed/>
    <w:uiPriority w:val="99"/>
  </w:style>
  <w:style w:type="paragraph" w:styleId="10">
    <w:name w:val="annotation text"/>
    <w:basedOn w:val="1"/>
    <w:link w:val="21"/>
    <w:semiHidden/>
    <w:unhideWhenUsed/>
    <w:qFormat/>
    <w:uiPriority w:val="99"/>
    <w:rPr>
      <w:sz w:val="20"/>
      <w:szCs w:val="20"/>
    </w:rPr>
  </w:style>
  <w:style w:type="paragraph" w:styleId="11">
    <w:name w:val="Title"/>
    <w:basedOn w:val="1"/>
    <w:link w:val="24"/>
    <w:qFormat/>
    <w:uiPriority w:val="0"/>
    <w:pPr>
      <w:spacing w:line="360" w:lineRule="auto"/>
      <w:jc w:val="center"/>
    </w:pPr>
    <w:rPr>
      <w:szCs w:val="20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28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annotation subject"/>
    <w:basedOn w:val="10"/>
    <w:next w:val="10"/>
    <w:link w:val="22"/>
    <w:semiHidden/>
    <w:unhideWhenUsed/>
    <w:uiPriority w:val="99"/>
    <w:rPr>
      <w:b/>
      <w:bCs/>
    </w:rPr>
  </w:style>
  <w:style w:type="paragraph" w:styleId="15">
    <w:name w:val="footer"/>
    <w:basedOn w:val="1"/>
    <w:link w:val="29"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27"/>
    <w:semiHidden/>
    <w:qFormat/>
    <w:uiPriority w:val="0"/>
    <w:rPr>
      <w:sz w:val="20"/>
      <w:szCs w:val="2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style31"/>
    <w:basedOn w:val="3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0">
    <w:name w:val="Texto de balão Char"/>
    <w:basedOn w:val="3"/>
    <w:link w:val="16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1">
    <w:name w:val="Texto de comentário Char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2">
    <w:name w:val="Assunto do comentário Char"/>
    <w:basedOn w:val="21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customStyle="1" w:styleId="23">
    <w:name w:val="apple-converted-space"/>
    <w:basedOn w:val="3"/>
    <w:qFormat/>
    <w:uiPriority w:val="0"/>
  </w:style>
  <w:style w:type="character" w:customStyle="1" w:styleId="24">
    <w:name w:val="Título Char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/>
      <w:jc w:val="left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6">
    <w:name w:val="Título 1 Char"/>
    <w:basedOn w:val="3"/>
    <w:link w:val="2"/>
    <w:qFormat/>
    <w:uiPriority w:val="0"/>
    <w:rPr>
      <w:rFonts w:ascii="Arial" w:hAnsi="Arial" w:eastAsia="Times New Roman" w:cs="Times New Roman"/>
      <w:b/>
      <w:bCs/>
      <w:szCs w:val="24"/>
      <w:lang w:eastAsia="pt-BR"/>
    </w:rPr>
  </w:style>
  <w:style w:type="character" w:customStyle="1" w:styleId="27">
    <w:name w:val="Texto de nota de rodapé Char"/>
    <w:basedOn w:val="3"/>
    <w:link w:val="1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8">
    <w:name w:val="Cabeçalho Char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9">
    <w:name w:val="Rodapé Char"/>
    <w:basedOn w:val="3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Pages>1</Pages>
  <Words>312</Words>
  <Characters>1689</Characters>
  <Lines>14</Lines>
  <Paragraphs>3</Paragraphs>
  <TotalTime>1</TotalTime>
  <ScaleCrop>false</ScaleCrop>
  <LinksUpToDate>false</LinksUpToDate>
  <CharactersWithSpaces>1998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2025-05-21T01:50:00Z</dcterms:created>
  <dc:creator>KELMA GALLAS</dc:creator>
  <cp:lastModifiedBy>SAMSUNG</cp:lastModifiedBy>
  <cp:lastPrinted>2019-06-27T19:23:00Z</cp:lastPrinted>
  <dcterms:modified xsi:type="dcterms:W3CDTF">2025-05-21T01:57:09Z</dcterms:modified>
  <dc:title>CONGRE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32A0D9C8642B4B669A5461D012C427FD_12</vt:lpwstr>
  </property>
</Properties>
</file>