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E530" w14:textId="44081A8D" w:rsidR="003949CE" w:rsidRPr="00343E6F" w:rsidRDefault="00343E6F" w:rsidP="00343E6F">
      <w:pPr>
        <w:pBdr>
          <w:bottom w:val="none" w:sz="0" w:space="8" w:color="000000"/>
        </w:pBdr>
        <w:shd w:val="clear" w:color="auto" w:fill="FFFFFF"/>
        <w:tabs>
          <w:tab w:val="left" w:pos="2500"/>
        </w:tabs>
        <w:jc w:val="center"/>
        <w:rPr>
          <w:b/>
          <w:bCs/>
          <w:sz w:val="24"/>
          <w:szCs w:val="24"/>
        </w:rPr>
      </w:pPr>
      <w:r w:rsidRPr="00343E6F">
        <w:rPr>
          <w:b/>
          <w:bCs/>
          <w:sz w:val="24"/>
          <w:szCs w:val="24"/>
        </w:rPr>
        <w:t>DESMATAMENTO NO PARÁ: UMA AVALIAÇÃO ESPACIAL E TEMPORAL DE 2019 A 2024</w:t>
      </w:r>
    </w:p>
    <w:p w14:paraId="488A52A5" w14:textId="5E5BABF7" w:rsidR="003949CE" w:rsidRDefault="002D311C" w:rsidP="00BD5874">
      <w:pPr>
        <w:shd w:val="clear" w:color="auto" w:fill="FFFFFF"/>
        <w:tabs>
          <w:tab w:val="left" w:pos="2500"/>
        </w:tabs>
        <w:jc w:val="center"/>
        <w:rPr>
          <w:sz w:val="24"/>
          <w:szCs w:val="24"/>
          <w:vertAlign w:val="superscript"/>
        </w:rPr>
      </w:pPr>
      <w:r>
        <w:rPr>
          <w:sz w:val="24"/>
          <w:szCs w:val="24"/>
        </w:rPr>
        <w:t>Luiz Roan Rodrigues Monteiro</w:t>
      </w:r>
      <w:r w:rsidR="003949CE">
        <w:rPr>
          <w:sz w:val="24"/>
          <w:szCs w:val="24"/>
          <w:vertAlign w:val="superscript"/>
        </w:rPr>
        <w:t>1</w:t>
      </w:r>
      <w:r w:rsidR="003949CE">
        <w:rPr>
          <w:sz w:val="24"/>
          <w:szCs w:val="24"/>
        </w:rPr>
        <w:t>;</w:t>
      </w:r>
      <w:r>
        <w:rPr>
          <w:sz w:val="24"/>
          <w:szCs w:val="24"/>
        </w:rPr>
        <w:t xml:space="preserve"> Luiz Fernandes da Silva Dionisio</w:t>
      </w:r>
      <w:r w:rsidR="003949CE">
        <w:rPr>
          <w:sz w:val="24"/>
          <w:szCs w:val="24"/>
          <w:vertAlign w:val="superscript"/>
        </w:rPr>
        <w:t>2</w:t>
      </w:r>
    </w:p>
    <w:p w14:paraId="0296C8EE" w14:textId="77777777" w:rsidR="008C3197" w:rsidRPr="00BD5874" w:rsidRDefault="008C3197" w:rsidP="00BD5874">
      <w:pPr>
        <w:shd w:val="clear" w:color="auto" w:fill="FFFFFF"/>
        <w:tabs>
          <w:tab w:val="left" w:pos="2500"/>
        </w:tabs>
        <w:jc w:val="center"/>
        <w:rPr>
          <w:color w:val="FF0000"/>
          <w:sz w:val="24"/>
          <w:szCs w:val="24"/>
        </w:rPr>
      </w:pPr>
    </w:p>
    <w:p w14:paraId="7D915DB4" w14:textId="353EF589" w:rsidR="003949CE" w:rsidRDefault="002D311C" w:rsidP="002D311C">
      <w:pPr>
        <w:keepLines/>
        <w:shd w:val="clear" w:color="auto" w:fill="FFFFFF"/>
        <w:tabs>
          <w:tab w:val="left" w:pos="2500"/>
        </w:tabs>
        <w:jc w:val="center"/>
        <w:rPr>
          <w:sz w:val="24"/>
          <w:szCs w:val="24"/>
          <w:lang w:val="pt-BR"/>
        </w:rPr>
      </w:pPr>
      <w:r w:rsidRPr="002D311C">
        <w:rPr>
          <w:sz w:val="24"/>
          <w:szCs w:val="24"/>
          <w:vertAlign w:val="superscript"/>
        </w:rPr>
        <w:t>1</w:t>
      </w:r>
      <w:r w:rsidRPr="002D311C">
        <w:rPr>
          <w:sz w:val="24"/>
          <w:szCs w:val="24"/>
        </w:rPr>
        <w:t>Doutorand</w:t>
      </w:r>
      <w:r>
        <w:rPr>
          <w:sz w:val="24"/>
          <w:szCs w:val="24"/>
        </w:rPr>
        <w:t xml:space="preserve">o em Ciências Florestais. Instituto de Ciências Agrárias, Universidade Federal  Rural da </w:t>
      </w:r>
      <w:r w:rsidRPr="002D311C">
        <w:rPr>
          <w:sz w:val="24"/>
          <w:szCs w:val="24"/>
        </w:rPr>
        <w:t>Amazônia</w:t>
      </w:r>
      <w:r w:rsidRPr="002D311C">
        <w:rPr>
          <w:sz w:val="24"/>
          <w:szCs w:val="24"/>
          <w:lang w:val="pt-BR"/>
        </w:rPr>
        <w:t>.</w:t>
      </w:r>
      <w:r>
        <w:rPr>
          <w:sz w:val="24"/>
          <w:szCs w:val="24"/>
          <w:lang w:val="pt-BR"/>
        </w:rPr>
        <w:t xml:space="preserve"> </w:t>
      </w:r>
      <w:r w:rsidRPr="002D311C">
        <w:rPr>
          <w:sz w:val="24"/>
          <w:szCs w:val="24"/>
          <w:lang w:val="pt-BR"/>
        </w:rPr>
        <w:t>luzroan@hotmail.com</w:t>
      </w:r>
    </w:p>
    <w:p w14:paraId="0D06A25B" w14:textId="083805D8" w:rsidR="002D311C" w:rsidRDefault="002D311C" w:rsidP="002D311C">
      <w:pPr>
        <w:keepLines/>
        <w:shd w:val="clear" w:color="auto" w:fill="FFFFFF"/>
        <w:tabs>
          <w:tab w:val="left" w:pos="2500"/>
        </w:tabs>
        <w:jc w:val="center"/>
        <w:rPr>
          <w:sz w:val="24"/>
          <w:szCs w:val="24"/>
        </w:rPr>
      </w:pPr>
      <w:r>
        <w:rPr>
          <w:sz w:val="24"/>
          <w:szCs w:val="24"/>
          <w:vertAlign w:val="superscript"/>
        </w:rPr>
        <w:t>2</w:t>
      </w:r>
      <w:r>
        <w:rPr>
          <w:sz w:val="24"/>
          <w:szCs w:val="24"/>
        </w:rPr>
        <w:t>Doutor em Ciências Florestais. Universidade do Estado do Pará.</w:t>
      </w:r>
    </w:p>
    <w:p w14:paraId="3A2D3DD7" w14:textId="77777777" w:rsidR="002D311C" w:rsidRPr="002D311C" w:rsidRDefault="002D311C" w:rsidP="002D311C">
      <w:pPr>
        <w:keepLines/>
        <w:shd w:val="clear" w:color="auto" w:fill="FFFFFF"/>
        <w:tabs>
          <w:tab w:val="left" w:pos="2500"/>
        </w:tabs>
        <w:rPr>
          <w:sz w:val="24"/>
          <w:szCs w:val="24"/>
          <w:lang w:val="pt-BR"/>
        </w:rPr>
      </w:pPr>
    </w:p>
    <w:p w14:paraId="6562E980" w14:textId="77777777" w:rsidR="003949CE"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26089BC2" w14:textId="77777777" w:rsidR="005026F0" w:rsidRDefault="005026F0" w:rsidP="005026F0">
      <w:pPr>
        <w:pBdr>
          <w:bottom w:val="none" w:sz="0" w:space="8" w:color="000000"/>
        </w:pBdr>
        <w:shd w:val="clear" w:color="auto" w:fill="FFFFFF"/>
        <w:tabs>
          <w:tab w:val="left" w:pos="2500"/>
        </w:tabs>
        <w:jc w:val="center"/>
        <w:rPr>
          <w:color w:val="FF0000"/>
          <w:sz w:val="24"/>
          <w:szCs w:val="24"/>
        </w:rPr>
      </w:pPr>
    </w:p>
    <w:p w14:paraId="42D75990" w14:textId="35C62FFF" w:rsidR="003949CE" w:rsidRDefault="00B410B9" w:rsidP="00191F84">
      <w:pPr>
        <w:pBdr>
          <w:bottom w:val="none" w:sz="0" w:space="8" w:color="000000"/>
        </w:pBdr>
        <w:shd w:val="clear" w:color="auto" w:fill="FFFFFF"/>
        <w:tabs>
          <w:tab w:val="left" w:pos="2500"/>
        </w:tabs>
        <w:jc w:val="both"/>
        <w:rPr>
          <w:sz w:val="24"/>
          <w:szCs w:val="24"/>
        </w:rPr>
      </w:pPr>
      <w:r w:rsidRPr="00B410B9">
        <w:rPr>
          <w:sz w:val="24"/>
          <w:szCs w:val="24"/>
        </w:rPr>
        <w:t xml:space="preserve">O desmatamento no estado do Pará, uma das maiores frações da Amazônia Legal, é um dos mais intensos e rápidos no Brasil. </w:t>
      </w:r>
      <w:r w:rsidRPr="00580779">
        <w:rPr>
          <w:sz w:val="24"/>
          <w:szCs w:val="24"/>
        </w:rPr>
        <w:t>O objetivo deste trabalho é avaliar o desmatamento no estado do Pará entre os anos de 2019 e 2024, por meio da análise dos índices de desmatamento anual, utilizando os dados da plataforma MapBiomas</w:t>
      </w:r>
      <w:r>
        <w:rPr>
          <w:sz w:val="24"/>
          <w:szCs w:val="24"/>
        </w:rPr>
        <w:t xml:space="preserve">. </w:t>
      </w:r>
      <w:r w:rsidRPr="00B410B9">
        <w:rPr>
          <w:sz w:val="24"/>
          <w:szCs w:val="24"/>
        </w:rPr>
        <w:t>Este estudo visa avaliar a evolução do desmatamento no Pará entre 2019 e 2024, utilizando os dados da plataforma MapBiomas Alerta, que fornece alertas de desmatamento e mudanças no uso da terra. Os resultados indicam que o Pará perdeu 1.984.815 hectares de floresta entre 2019 e 2024, com picos de desmatamento em 2022 (487.422 hectares) e uma redução significativa a partir de 2023. A média anual de desmatamento foi de 330.803 hectares, com uma diminuição de 47,7% em 2024 em comparação a 2019. A análise sugere que as melhorias nos controles e monitoramento, com o auxílio de tecnologias avançadas, como o MapBiomas, têm permitido uma resposta mais ágil à mitigação dos focos de desmatamento. No entanto, o estado continua a ser um dos maiores responsáveis pelo desmatamento no Brasil, com a expansão da fronteira agrícola permanecendo um desafio crítico.</w:t>
      </w:r>
    </w:p>
    <w:p w14:paraId="5A93BFDA" w14:textId="17EFC0C4" w:rsidR="003949CE" w:rsidRDefault="003949CE" w:rsidP="003949CE">
      <w:pPr>
        <w:shd w:val="clear" w:color="auto" w:fill="FFFFFF"/>
        <w:tabs>
          <w:tab w:val="left" w:pos="2500"/>
        </w:tabs>
        <w:rPr>
          <w:color w:val="FF0000"/>
          <w:sz w:val="24"/>
          <w:szCs w:val="24"/>
        </w:rPr>
      </w:pPr>
      <w:r>
        <w:rPr>
          <w:b/>
          <w:sz w:val="24"/>
          <w:szCs w:val="24"/>
        </w:rPr>
        <w:t xml:space="preserve">Palavras-chave: </w:t>
      </w:r>
      <w:r w:rsidR="00191F84" w:rsidRPr="00191F84">
        <w:rPr>
          <w:bCs/>
          <w:sz w:val="24"/>
          <w:szCs w:val="24"/>
        </w:rPr>
        <w:t>Monitoramento de desmatamento. MapBiomas Alerta. Série temporal.</w:t>
      </w:r>
    </w:p>
    <w:p w14:paraId="71340687" w14:textId="77777777" w:rsidR="003949CE" w:rsidRDefault="003949CE" w:rsidP="003949CE">
      <w:pPr>
        <w:shd w:val="clear" w:color="auto" w:fill="FFFFFF"/>
        <w:tabs>
          <w:tab w:val="left" w:pos="2500"/>
        </w:tabs>
        <w:jc w:val="center"/>
        <w:rPr>
          <w:sz w:val="24"/>
          <w:szCs w:val="24"/>
        </w:rPr>
      </w:pPr>
    </w:p>
    <w:p w14:paraId="73EB5E4E" w14:textId="185AC5FE" w:rsidR="003949CE" w:rsidRDefault="003949CE" w:rsidP="003949CE">
      <w:pPr>
        <w:shd w:val="clear" w:color="auto" w:fill="FFFFFF"/>
        <w:tabs>
          <w:tab w:val="left" w:pos="2500"/>
        </w:tabs>
        <w:rPr>
          <w:b/>
          <w:color w:val="0000FF"/>
          <w:sz w:val="24"/>
          <w:szCs w:val="24"/>
          <w:u w:val="single"/>
        </w:rPr>
      </w:pPr>
      <w:r>
        <w:rPr>
          <w:b/>
          <w:sz w:val="24"/>
          <w:szCs w:val="24"/>
        </w:rPr>
        <w:t>Área de Interesse do Simpósio</w:t>
      </w:r>
      <w:r>
        <w:rPr>
          <w:sz w:val="24"/>
          <w:szCs w:val="24"/>
        </w:rPr>
        <w:t xml:space="preserve">: </w:t>
      </w:r>
      <w:r w:rsidR="000A1B4B">
        <w:rPr>
          <w:sz w:val="24"/>
          <w:szCs w:val="24"/>
        </w:rPr>
        <w:t>Ciências Agr</w:t>
      </w:r>
      <w:r w:rsidR="000436E8">
        <w:rPr>
          <w:sz w:val="24"/>
          <w:szCs w:val="24"/>
        </w:rPr>
        <w:t>á</w:t>
      </w:r>
      <w:r w:rsidR="000A1B4B">
        <w:rPr>
          <w:sz w:val="24"/>
          <w:szCs w:val="24"/>
        </w:rPr>
        <w:t>rias</w:t>
      </w:r>
      <w:r w:rsidR="005517CC">
        <w:rPr>
          <w:sz w:val="24"/>
          <w:szCs w:val="24"/>
        </w:rPr>
        <w:t>.</w:t>
      </w:r>
    </w:p>
    <w:p w14:paraId="278DBA84" w14:textId="77777777" w:rsidR="003949CE" w:rsidRDefault="003949CE" w:rsidP="003949CE">
      <w:pPr>
        <w:pBdr>
          <w:bottom w:val="none" w:sz="0" w:space="8" w:color="000000"/>
        </w:pBdr>
        <w:shd w:val="clear" w:color="auto" w:fill="FFFFFF"/>
        <w:tabs>
          <w:tab w:val="left" w:pos="2500"/>
        </w:tabs>
        <w:rPr>
          <w:b/>
          <w:sz w:val="24"/>
          <w:szCs w:val="24"/>
        </w:rPr>
      </w:pPr>
    </w:p>
    <w:p w14:paraId="523285DA" w14:textId="2789F8EB" w:rsidR="00BB58E1" w:rsidRPr="002D1672" w:rsidRDefault="003949CE" w:rsidP="002D1672">
      <w:pPr>
        <w:pBdr>
          <w:bottom w:val="none" w:sz="0" w:space="8" w:color="000000"/>
        </w:pBdr>
        <w:shd w:val="clear" w:color="auto" w:fill="FFFFFF"/>
        <w:tabs>
          <w:tab w:val="left" w:pos="2500"/>
        </w:tabs>
        <w:rPr>
          <w:sz w:val="24"/>
          <w:szCs w:val="24"/>
        </w:rPr>
      </w:pPr>
      <w:r>
        <w:br w:type="page"/>
      </w:r>
    </w:p>
    <w:p w14:paraId="04BE57FF" w14:textId="26042B4E" w:rsidR="00B9102D" w:rsidRPr="00BA3C01" w:rsidRDefault="002D1672" w:rsidP="00BA3C01">
      <w:pPr>
        <w:pStyle w:val="PargrafodaLista"/>
        <w:numPr>
          <w:ilvl w:val="0"/>
          <w:numId w:val="11"/>
        </w:numPr>
        <w:spacing w:line="360" w:lineRule="auto"/>
        <w:rPr>
          <w:b/>
          <w:bCs/>
          <w:sz w:val="24"/>
          <w:szCs w:val="24"/>
        </w:rPr>
      </w:pPr>
      <w:r w:rsidRPr="00BA3C01">
        <w:rPr>
          <w:b/>
          <w:bCs/>
          <w:sz w:val="24"/>
          <w:szCs w:val="24"/>
        </w:rPr>
        <w:lastRenderedPageBreak/>
        <w:t>INTRODUÇÃO</w:t>
      </w:r>
    </w:p>
    <w:p w14:paraId="6CC31B01" w14:textId="3F088B3D" w:rsidR="00BB58E1" w:rsidRDefault="00BB58E1" w:rsidP="00BB58E1">
      <w:pPr>
        <w:spacing w:line="360" w:lineRule="auto"/>
        <w:ind w:firstLine="709"/>
        <w:jc w:val="both"/>
        <w:rPr>
          <w:sz w:val="24"/>
          <w:szCs w:val="24"/>
        </w:rPr>
      </w:pPr>
      <w:r w:rsidRPr="00BB58E1">
        <w:rPr>
          <w:sz w:val="24"/>
          <w:szCs w:val="24"/>
        </w:rPr>
        <w:t>A Amazônia Paraense é uma parte da Amazônia Legal, cuja extensão de terras é aproximadamente 1.245.000 Km</w:t>
      </w:r>
      <w:r w:rsidRPr="00BB58E1">
        <w:rPr>
          <w:sz w:val="24"/>
          <w:szCs w:val="24"/>
          <w:vertAlign w:val="superscript"/>
        </w:rPr>
        <w:t>2</w:t>
      </w:r>
      <w:r w:rsidRPr="00BB58E1">
        <w:rPr>
          <w:sz w:val="24"/>
          <w:szCs w:val="24"/>
        </w:rPr>
        <w:t xml:space="preserve"> (IBGE, 202</w:t>
      </w:r>
      <w:r w:rsidR="001E464F">
        <w:rPr>
          <w:sz w:val="24"/>
          <w:szCs w:val="24"/>
        </w:rPr>
        <w:t>2</w:t>
      </w:r>
      <w:r w:rsidRPr="00BB58E1">
        <w:rPr>
          <w:sz w:val="24"/>
          <w:szCs w:val="24"/>
        </w:rPr>
        <w:t xml:space="preserve">), por isso representa a maior fração da Amazônia Legal e está localizado na região norte do Brasil. </w:t>
      </w:r>
      <w:r w:rsidR="00D62CCB" w:rsidRPr="00D62CCB">
        <w:rPr>
          <w:sz w:val="24"/>
          <w:szCs w:val="24"/>
        </w:rPr>
        <w:t>No estado do Pará, o desmatamento é o maior e o mais rápido comparado a outros estados do Brasil. Os índices anuais consultados nas fontes afirmam esse entendimento, apesar de existirem diversos fatores que agravam o índice de desmatamento no estado. É possível apontar que grande parte disso se deve ao Pará ser o maior estado com produção pecuária no Brasil (Brasil, 2023)</w:t>
      </w:r>
      <w:r w:rsidR="0074444F">
        <w:rPr>
          <w:sz w:val="24"/>
          <w:szCs w:val="24"/>
        </w:rPr>
        <w:t>.</w:t>
      </w:r>
    </w:p>
    <w:p w14:paraId="6AAF5349" w14:textId="52A964C5" w:rsidR="00A7094E" w:rsidRDefault="00B72511" w:rsidP="00BB58E1">
      <w:pPr>
        <w:spacing w:line="360" w:lineRule="auto"/>
        <w:ind w:firstLine="709"/>
        <w:jc w:val="both"/>
        <w:rPr>
          <w:sz w:val="24"/>
          <w:szCs w:val="24"/>
        </w:rPr>
      </w:pPr>
      <w:r w:rsidRPr="00B72511">
        <w:rPr>
          <w:sz w:val="24"/>
          <w:szCs w:val="24"/>
        </w:rPr>
        <w:t xml:space="preserve">Diante dessa problemática, tem sido proposto o monitoramento dessas áreas por meio do uso dos produtos de sensoriamento remoto, os quais estão sendo largamente utilizados visto sua praticidade de operação e o tempo com que os dados podem ser processados (Pavão, 2017). </w:t>
      </w:r>
    </w:p>
    <w:p w14:paraId="7F96FA26" w14:textId="361BFC6B" w:rsidR="00B72511" w:rsidRDefault="00B72511" w:rsidP="00BB58E1">
      <w:pPr>
        <w:spacing w:line="360" w:lineRule="auto"/>
        <w:ind w:firstLine="709"/>
        <w:jc w:val="both"/>
        <w:rPr>
          <w:sz w:val="24"/>
          <w:szCs w:val="24"/>
        </w:rPr>
      </w:pPr>
      <w:r w:rsidRPr="00B72511">
        <w:rPr>
          <w:sz w:val="24"/>
          <w:szCs w:val="24"/>
        </w:rPr>
        <w:t>Uma das iniciativas mais relevantes é o uso da plataforma MapBiomas, que oferece um mapeamento contínuo e detalhado da cobertura e uso do solo no Brasil, com dados atualizados anualmente. Segundo Leite e Rosa (2012), a informação quanto ao uso e cobertura da terra é a mais proeminente em uma imagem de satélite, sendo atribuído a quem analisa as imagens interpretar corretamente o que cada padrão representa em termos de cobertura e o que isto infere quanto ao tipo de uso da terra.</w:t>
      </w:r>
    </w:p>
    <w:p w14:paraId="4E5D4574" w14:textId="5F9FDBFE" w:rsidR="00580779" w:rsidRPr="00BB58E1" w:rsidRDefault="00580779" w:rsidP="00BB58E1">
      <w:pPr>
        <w:spacing w:line="360" w:lineRule="auto"/>
        <w:ind w:firstLine="709"/>
        <w:jc w:val="both"/>
        <w:rPr>
          <w:sz w:val="24"/>
          <w:szCs w:val="24"/>
        </w:rPr>
      </w:pPr>
      <w:r w:rsidRPr="00580779">
        <w:rPr>
          <w:sz w:val="24"/>
          <w:szCs w:val="24"/>
        </w:rPr>
        <w:t>O objetivo deste trabalho é avaliar o desmatamento no estado do Pará entre os anos de 2019 e 2024, por meio da análise dos índices de desmatamento anual, utilizando os dados da plataforma MapBiomas.</w:t>
      </w:r>
    </w:p>
    <w:p w14:paraId="0ED8DCE2" w14:textId="77777777" w:rsidR="003949CE" w:rsidRDefault="003949CE" w:rsidP="003949CE">
      <w:pPr>
        <w:pBdr>
          <w:bottom w:val="none" w:sz="0" w:space="18" w:color="000000"/>
        </w:pBdr>
        <w:shd w:val="clear" w:color="auto" w:fill="FFFFFF"/>
        <w:tabs>
          <w:tab w:val="left" w:pos="2500"/>
        </w:tabs>
        <w:spacing w:line="310" w:lineRule="auto"/>
        <w:jc w:val="both"/>
        <w:rPr>
          <w:b/>
          <w:sz w:val="24"/>
          <w:szCs w:val="24"/>
        </w:rPr>
      </w:pPr>
    </w:p>
    <w:p w14:paraId="1708883A" w14:textId="363F1A9D" w:rsidR="00E31318" w:rsidRPr="00141175" w:rsidRDefault="00141175" w:rsidP="002A39A5">
      <w:pPr>
        <w:pBdr>
          <w:bottom w:val="none" w:sz="0" w:space="18" w:color="000000"/>
        </w:pBdr>
        <w:shd w:val="clear" w:color="auto" w:fill="FFFFFF"/>
        <w:tabs>
          <w:tab w:val="left" w:pos="2500"/>
        </w:tabs>
        <w:spacing w:line="310" w:lineRule="auto"/>
        <w:rPr>
          <w:color w:val="FF0000"/>
          <w:sz w:val="24"/>
          <w:szCs w:val="24"/>
        </w:rPr>
      </w:pPr>
      <w:r>
        <w:rPr>
          <w:b/>
          <w:sz w:val="24"/>
          <w:szCs w:val="24"/>
        </w:rPr>
        <w:t>2.</w:t>
      </w:r>
      <w:r w:rsidR="00B9102D">
        <w:rPr>
          <w:b/>
          <w:sz w:val="24"/>
          <w:szCs w:val="24"/>
        </w:rPr>
        <w:t xml:space="preserve"> </w:t>
      </w:r>
      <w:r w:rsidR="003949CE" w:rsidRPr="00141175">
        <w:rPr>
          <w:b/>
          <w:sz w:val="24"/>
          <w:szCs w:val="24"/>
        </w:rPr>
        <w:t>METODOLOGIA</w:t>
      </w:r>
      <w:r w:rsidR="003949CE" w:rsidRPr="00141175">
        <w:rPr>
          <w:b/>
          <w:sz w:val="28"/>
          <w:szCs w:val="28"/>
        </w:rPr>
        <w:t xml:space="preserve"> </w:t>
      </w:r>
    </w:p>
    <w:p w14:paraId="7B36F9EA" w14:textId="77777777" w:rsidR="00141175" w:rsidRDefault="00141175" w:rsidP="002A39A5">
      <w:pPr>
        <w:pBdr>
          <w:bottom w:val="none" w:sz="0" w:space="18" w:color="000000"/>
        </w:pBdr>
        <w:shd w:val="clear" w:color="auto" w:fill="FFFFFF"/>
        <w:tabs>
          <w:tab w:val="left" w:pos="2500"/>
        </w:tabs>
        <w:spacing w:line="310" w:lineRule="auto"/>
        <w:rPr>
          <w:color w:val="000000" w:themeColor="text1"/>
          <w:sz w:val="24"/>
          <w:szCs w:val="24"/>
        </w:rPr>
      </w:pPr>
      <w:r>
        <w:rPr>
          <w:color w:val="000000" w:themeColor="text1"/>
          <w:sz w:val="24"/>
          <w:szCs w:val="24"/>
        </w:rPr>
        <w:t xml:space="preserve">2.1 </w:t>
      </w:r>
      <w:r w:rsidR="00E31318" w:rsidRPr="00141175">
        <w:rPr>
          <w:color w:val="000000" w:themeColor="text1"/>
          <w:sz w:val="24"/>
          <w:szCs w:val="24"/>
        </w:rPr>
        <w:t>Coleta de dados</w:t>
      </w:r>
    </w:p>
    <w:p w14:paraId="34DACE22" w14:textId="71984FB6" w:rsidR="00E31318" w:rsidRDefault="00917B11" w:rsidP="00141175">
      <w:pPr>
        <w:pBdr>
          <w:bottom w:val="none" w:sz="0" w:space="18" w:color="000000"/>
        </w:pBdr>
        <w:shd w:val="clear" w:color="auto" w:fill="FFFFFF"/>
        <w:tabs>
          <w:tab w:val="left" w:pos="2500"/>
        </w:tabs>
        <w:spacing w:line="360" w:lineRule="auto"/>
        <w:ind w:firstLine="709"/>
        <w:jc w:val="both"/>
        <w:rPr>
          <w:color w:val="000000" w:themeColor="text1"/>
          <w:sz w:val="24"/>
          <w:szCs w:val="24"/>
        </w:rPr>
      </w:pPr>
      <w:r w:rsidRPr="003D3424">
        <w:rPr>
          <w:color w:val="000000" w:themeColor="text1"/>
          <w:sz w:val="24"/>
          <w:szCs w:val="24"/>
        </w:rPr>
        <w:t>A coleta de dados foi realizada por meio do MapBiomas Alerta, uma plataforma que disponibiliza séries temporais de alertas de desmatamento e mudanças no uso da terra. Para a análise, foram extraídos dados anuais sobre a área desmatada (em hectares) e os alertas de desmatamento referentes aos anos de 2019 a 2024. O MapBiomas oferece informações detalhadas sobre o desmatamento, permitindo uma visão abrangente das alterações ocorridas ao longo do período analisado</w:t>
      </w:r>
      <w:r w:rsidR="007B7B92" w:rsidRPr="003D3424">
        <w:rPr>
          <w:color w:val="000000" w:themeColor="text1"/>
          <w:sz w:val="24"/>
          <w:szCs w:val="24"/>
        </w:rPr>
        <w:t>.</w:t>
      </w:r>
    </w:p>
    <w:p w14:paraId="3211F805" w14:textId="6B4DB091" w:rsidR="00141175" w:rsidRDefault="00141175" w:rsidP="00141175">
      <w:pPr>
        <w:pBdr>
          <w:bottom w:val="none" w:sz="0" w:space="18" w:color="000000"/>
        </w:pBdr>
        <w:shd w:val="clear" w:color="auto" w:fill="FFFFFF"/>
        <w:tabs>
          <w:tab w:val="left" w:pos="2500"/>
        </w:tabs>
        <w:spacing w:line="360" w:lineRule="auto"/>
        <w:rPr>
          <w:color w:val="000000" w:themeColor="text1"/>
          <w:sz w:val="24"/>
          <w:szCs w:val="24"/>
        </w:rPr>
      </w:pPr>
      <w:r>
        <w:rPr>
          <w:color w:val="000000" w:themeColor="text1"/>
          <w:sz w:val="24"/>
          <w:szCs w:val="24"/>
        </w:rPr>
        <w:t xml:space="preserve">2.2 </w:t>
      </w:r>
      <w:r w:rsidR="00DC6A93" w:rsidRPr="00141175">
        <w:rPr>
          <w:color w:val="000000" w:themeColor="text1"/>
          <w:sz w:val="24"/>
          <w:szCs w:val="24"/>
        </w:rPr>
        <w:t xml:space="preserve">Processamento e </w:t>
      </w:r>
      <w:r w:rsidRPr="00141175">
        <w:rPr>
          <w:color w:val="000000" w:themeColor="text1"/>
          <w:sz w:val="24"/>
          <w:szCs w:val="24"/>
        </w:rPr>
        <w:t>Análise</w:t>
      </w:r>
    </w:p>
    <w:p w14:paraId="78EDB854" w14:textId="70A4BF86" w:rsidR="002A39A5" w:rsidRPr="002A39A5" w:rsidRDefault="002A39A5" w:rsidP="008F0236">
      <w:pPr>
        <w:pBdr>
          <w:bottom w:val="none" w:sz="0" w:space="18" w:color="000000"/>
        </w:pBdr>
        <w:shd w:val="clear" w:color="auto" w:fill="FFFFFF"/>
        <w:tabs>
          <w:tab w:val="left" w:pos="2500"/>
        </w:tabs>
        <w:spacing w:line="360" w:lineRule="auto"/>
        <w:ind w:firstLine="709"/>
        <w:jc w:val="both"/>
        <w:rPr>
          <w:color w:val="000000" w:themeColor="text1"/>
          <w:sz w:val="24"/>
          <w:szCs w:val="24"/>
          <w:lang w:val="pt-BR"/>
        </w:rPr>
      </w:pPr>
      <w:r w:rsidRPr="002A39A5">
        <w:rPr>
          <w:color w:val="000000" w:themeColor="text1"/>
          <w:sz w:val="24"/>
          <w:szCs w:val="24"/>
          <w:lang w:val="pt-BR"/>
        </w:rPr>
        <w:lastRenderedPageBreak/>
        <w:t>A área desmatada foi analisada em hectares e convertida para quilômetros quadrados para facilitar a compreensão dos valores, considerando a relação 1 km² = 100 hectares.</w:t>
      </w:r>
    </w:p>
    <w:p w14:paraId="52C56BF2" w14:textId="77777777" w:rsidR="002A39A5" w:rsidRPr="002A39A5" w:rsidRDefault="002A39A5" w:rsidP="008F0236">
      <w:pPr>
        <w:pBdr>
          <w:bottom w:val="none" w:sz="0" w:space="18" w:color="000000"/>
        </w:pBdr>
        <w:shd w:val="clear" w:color="auto" w:fill="FFFFFF"/>
        <w:tabs>
          <w:tab w:val="left" w:pos="2500"/>
        </w:tabs>
        <w:spacing w:line="360" w:lineRule="auto"/>
        <w:ind w:firstLine="709"/>
        <w:jc w:val="both"/>
        <w:rPr>
          <w:color w:val="000000" w:themeColor="text1"/>
          <w:sz w:val="24"/>
          <w:szCs w:val="24"/>
          <w:lang w:val="pt-BR"/>
        </w:rPr>
      </w:pPr>
      <w:r w:rsidRPr="002A39A5">
        <w:rPr>
          <w:color w:val="000000" w:themeColor="text1"/>
          <w:sz w:val="24"/>
          <w:szCs w:val="24"/>
          <w:lang w:val="pt-BR"/>
        </w:rPr>
        <w:t>A variação percentual anual foi calculada com base na fórmula:</w:t>
      </w:r>
    </w:p>
    <w:p w14:paraId="7ACAFF72" w14:textId="5C04FE1E" w:rsidR="002A39A5" w:rsidRPr="002A39A5" w:rsidRDefault="002A39A5" w:rsidP="002A39A5">
      <w:pPr>
        <w:pBdr>
          <w:bottom w:val="none" w:sz="0" w:space="18" w:color="000000"/>
        </w:pBdr>
        <w:shd w:val="clear" w:color="auto" w:fill="FFFFFF"/>
        <w:tabs>
          <w:tab w:val="left" w:pos="2500"/>
        </w:tabs>
        <w:spacing w:line="360" w:lineRule="auto"/>
        <w:rPr>
          <w:color w:val="000000" w:themeColor="text1"/>
          <w:sz w:val="24"/>
          <w:szCs w:val="24"/>
          <w:lang w:val="pt-BR"/>
        </w:rPr>
      </w:pPr>
      <m:oMathPara>
        <m:oMath>
          <m:r>
            <m:rPr>
              <m:nor/>
            </m:rPr>
            <w:rPr>
              <w:color w:val="000000" w:themeColor="text1"/>
              <w:sz w:val="24"/>
              <w:szCs w:val="24"/>
              <w:lang w:val="pt-BR"/>
            </w:rPr>
            <m:t>Varia</m:t>
          </m:r>
          <m:acc>
            <m:accPr>
              <m:chr m:val="̒"/>
              <m:ctrlPr>
                <w:rPr>
                  <w:rFonts w:ascii="Cambria Math" w:hAnsi="Cambria Math"/>
                  <w:color w:val="000000" w:themeColor="text1"/>
                  <w:sz w:val="24"/>
                  <w:szCs w:val="24"/>
                  <w:lang w:val="pt-BR"/>
                </w:rPr>
              </m:ctrlPr>
            </m:accPr>
            <m:e>
              <m:r>
                <m:rPr>
                  <m:nor/>
                </m:rPr>
                <w:rPr>
                  <w:color w:val="000000" w:themeColor="text1"/>
                  <w:sz w:val="24"/>
                  <w:szCs w:val="24"/>
                  <w:lang w:val="pt-BR"/>
                </w:rPr>
                <m:t>c</m:t>
              </m:r>
            </m:e>
          </m:acc>
          <m:acc>
            <m:accPr>
              <m:chr m:val="̃"/>
              <m:ctrlPr>
                <w:rPr>
                  <w:rFonts w:ascii="Cambria Math" w:hAnsi="Cambria Math"/>
                  <w:color w:val="000000" w:themeColor="text1"/>
                  <w:sz w:val="24"/>
                  <w:szCs w:val="24"/>
                  <w:lang w:val="pt-BR"/>
                </w:rPr>
              </m:ctrlPr>
            </m:accPr>
            <m:e>
              <m:r>
                <m:rPr>
                  <m:nor/>
                </m:rPr>
                <w:rPr>
                  <w:color w:val="000000" w:themeColor="text1"/>
                  <w:sz w:val="24"/>
                  <w:szCs w:val="24"/>
                  <w:lang w:val="pt-BR"/>
                </w:rPr>
                <m:t>a</m:t>
              </m:r>
            </m:e>
          </m:acc>
          <m:r>
            <m:rPr>
              <m:nor/>
            </m:rPr>
            <w:rPr>
              <w:color w:val="000000" w:themeColor="text1"/>
              <w:sz w:val="24"/>
              <w:szCs w:val="24"/>
              <w:lang w:val="pt-BR"/>
            </w:rPr>
            <m:t>o %</m:t>
          </m:r>
          <m:r>
            <w:rPr>
              <w:rFonts w:ascii="Cambria Math" w:hAnsi="Cambria Math"/>
              <w:color w:val="000000" w:themeColor="text1"/>
              <w:sz w:val="24"/>
              <w:szCs w:val="24"/>
              <w:lang w:val="pt-BR"/>
            </w:rPr>
            <m:t>=(</m:t>
          </m:r>
          <m:f>
            <m:fPr>
              <m:ctrlPr>
                <w:rPr>
                  <w:rFonts w:ascii="Cambria Math" w:hAnsi="Cambria Math"/>
                  <w:color w:val="000000" w:themeColor="text1"/>
                  <w:sz w:val="24"/>
                  <w:szCs w:val="24"/>
                  <w:lang w:val="pt-BR"/>
                </w:rPr>
              </m:ctrlPr>
            </m:fPr>
            <m:num>
              <m:acc>
                <m:accPr>
                  <m:chr m:val="ˊ"/>
                  <m:ctrlPr>
                    <w:rPr>
                      <w:rFonts w:ascii="Cambria Math" w:hAnsi="Cambria Math"/>
                      <w:color w:val="000000" w:themeColor="text1"/>
                      <w:sz w:val="24"/>
                      <w:szCs w:val="24"/>
                      <w:lang w:val="pt-BR"/>
                    </w:rPr>
                  </m:ctrlPr>
                </m:accPr>
                <m:e>
                  <m:r>
                    <m:rPr>
                      <m:nor/>
                    </m:rPr>
                    <w:rPr>
                      <w:color w:val="000000" w:themeColor="text1"/>
                      <w:sz w:val="24"/>
                      <w:szCs w:val="24"/>
                      <w:lang w:val="pt-BR"/>
                    </w:rPr>
                    <m:t>A</m:t>
                  </m:r>
                </m:e>
              </m:acc>
              <m:r>
                <m:rPr>
                  <m:nor/>
                </m:rPr>
                <w:rPr>
                  <w:color w:val="000000" w:themeColor="text1"/>
                  <w:sz w:val="24"/>
                  <w:szCs w:val="24"/>
                  <w:lang w:val="pt-BR"/>
                </w:rPr>
                <m:t>rea do ano atual</m:t>
              </m:r>
              <m:r>
                <w:rPr>
                  <w:rFonts w:ascii="Cambria Math" w:hAnsi="Cambria Math"/>
                  <w:color w:val="000000" w:themeColor="text1"/>
                  <w:sz w:val="24"/>
                  <w:szCs w:val="24"/>
                  <w:lang w:val="pt-BR"/>
                </w:rPr>
                <m:t>-</m:t>
              </m:r>
              <m:acc>
                <m:accPr>
                  <m:chr m:val="ˊ"/>
                  <m:ctrlPr>
                    <w:rPr>
                      <w:rFonts w:ascii="Cambria Math" w:hAnsi="Cambria Math"/>
                      <w:color w:val="000000" w:themeColor="text1"/>
                      <w:sz w:val="24"/>
                      <w:szCs w:val="24"/>
                      <w:lang w:val="pt-BR"/>
                    </w:rPr>
                  </m:ctrlPr>
                </m:accPr>
                <m:e>
                  <m:r>
                    <m:rPr>
                      <m:nor/>
                    </m:rPr>
                    <w:rPr>
                      <w:color w:val="000000" w:themeColor="text1"/>
                      <w:sz w:val="24"/>
                      <w:szCs w:val="24"/>
                      <w:lang w:val="pt-BR"/>
                    </w:rPr>
                    <m:t>A</m:t>
                  </m:r>
                </m:e>
              </m:acc>
              <m:r>
                <m:rPr>
                  <m:nor/>
                </m:rPr>
                <w:rPr>
                  <w:color w:val="000000" w:themeColor="text1"/>
                  <w:sz w:val="24"/>
                  <w:szCs w:val="24"/>
                  <w:lang w:val="pt-BR"/>
                </w:rPr>
                <m:t>rea do ano anterior</m:t>
              </m:r>
            </m:num>
            <m:den>
              <m:acc>
                <m:accPr>
                  <m:chr m:val="ˊ"/>
                  <m:ctrlPr>
                    <w:rPr>
                      <w:rFonts w:ascii="Cambria Math" w:hAnsi="Cambria Math"/>
                      <w:color w:val="000000" w:themeColor="text1"/>
                      <w:sz w:val="24"/>
                      <w:szCs w:val="24"/>
                      <w:lang w:val="pt-BR"/>
                    </w:rPr>
                  </m:ctrlPr>
                </m:accPr>
                <m:e>
                  <m:r>
                    <m:rPr>
                      <m:nor/>
                    </m:rPr>
                    <w:rPr>
                      <w:color w:val="000000" w:themeColor="text1"/>
                      <w:sz w:val="24"/>
                      <w:szCs w:val="24"/>
                      <w:lang w:val="pt-BR"/>
                    </w:rPr>
                    <m:t>A</m:t>
                  </m:r>
                </m:e>
              </m:acc>
              <m:r>
                <m:rPr>
                  <m:nor/>
                </m:rPr>
                <w:rPr>
                  <w:color w:val="000000" w:themeColor="text1"/>
                  <w:sz w:val="24"/>
                  <w:szCs w:val="24"/>
                  <w:lang w:val="pt-BR"/>
                </w:rPr>
                <m:t>rea do ano anterior</m:t>
              </m:r>
            </m:den>
          </m:f>
          <m:r>
            <w:rPr>
              <w:rFonts w:ascii="Cambria Math" w:hAnsi="Cambria Math"/>
              <w:color w:val="000000" w:themeColor="text1"/>
              <w:sz w:val="24"/>
              <w:szCs w:val="24"/>
              <w:lang w:val="pt-BR"/>
            </w:rPr>
            <m:t>)×100</m:t>
          </m:r>
          <m:r>
            <m:rPr>
              <m:sty m:val="p"/>
            </m:rPr>
            <w:rPr>
              <w:color w:val="000000" w:themeColor="text1"/>
              <w:sz w:val="24"/>
              <w:szCs w:val="24"/>
              <w:lang w:val="pt-BR"/>
            </w:rPr>
            <w:br/>
          </m:r>
        </m:oMath>
      </m:oMathPara>
    </w:p>
    <w:p w14:paraId="45570972" w14:textId="11F91B30" w:rsidR="003949CE" w:rsidRPr="009649D7" w:rsidRDefault="002A39A5" w:rsidP="009649D7">
      <w:pPr>
        <w:pBdr>
          <w:bottom w:val="none" w:sz="0" w:space="18" w:color="000000"/>
        </w:pBdr>
        <w:shd w:val="clear" w:color="auto" w:fill="FFFFFF"/>
        <w:tabs>
          <w:tab w:val="left" w:pos="2500"/>
        </w:tabs>
        <w:spacing w:line="360" w:lineRule="auto"/>
        <w:ind w:firstLine="709"/>
        <w:jc w:val="both"/>
        <w:rPr>
          <w:color w:val="000000" w:themeColor="text1"/>
          <w:sz w:val="24"/>
          <w:szCs w:val="24"/>
          <w:lang w:val="pt-BR"/>
        </w:rPr>
      </w:pPr>
      <w:r w:rsidRPr="002A39A5">
        <w:rPr>
          <w:color w:val="000000" w:themeColor="text1"/>
          <w:sz w:val="24"/>
          <w:szCs w:val="24"/>
          <w:lang w:val="pt-BR"/>
        </w:rPr>
        <w:t>Para a análise dos alertas, foi realizada a comparação de valores de alertas anuais, calculando a variação percentual em relação ao ano anterior. O cálculo de variação percentual para os alertas seguiu a mesma fórmula aplicada ao desmatamento.</w:t>
      </w:r>
    </w:p>
    <w:p w14:paraId="27FB28A6" w14:textId="54D6A4C7" w:rsidR="003949CE" w:rsidRPr="00F154F5" w:rsidRDefault="003949CE" w:rsidP="00F154F5">
      <w:pPr>
        <w:pBdr>
          <w:bottom w:val="none" w:sz="0" w:space="8" w:color="000000"/>
        </w:pBdr>
        <w:shd w:val="clear" w:color="auto" w:fill="FFFFFF"/>
        <w:tabs>
          <w:tab w:val="left" w:pos="2500"/>
        </w:tabs>
        <w:spacing w:line="310" w:lineRule="auto"/>
        <w:jc w:val="both"/>
        <w:rPr>
          <w:sz w:val="24"/>
          <w:szCs w:val="24"/>
        </w:rPr>
      </w:pPr>
      <w:r>
        <w:rPr>
          <w:b/>
          <w:sz w:val="24"/>
          <w:szCs w:val="24"/>
        </w:rPr>
        <w:t>3. RESULTADOS E DISCUSSÃO</w:t>
      </w:r>
      <w:r>
        <w:rPr>
          <w:b/>
          <w:sz w:val="28"/>
          <w:szCs w:val="28"/>
        </w:rPr>
        <w:t xml:space="preserve"> </w:t>
      </w:r>
    </w:p>
    <w:p w14:paraId="7436B3B2" w14:textId="3262B125" w:rsidR="003949CE" w:rsidRPr="00F154F5" w:rsidRDefault="00EE062B" w:rsidP="00F154F5">
      <w:pPr>
        <w:widowControl/>
        <w:spacing w:after="160" w:line="360" w:lineRule="auto"/>
        <w:ind w:firstLine="720"/>
        <w:jc w:val="both"/>
        <w:rPr>
          <w:bCs/>
          <w:sz w:val="24"/>
          <w:szCs w:val="24"/>
        </w:rPr>
      </w:pPr>
      <w:r w:rsidRPr="00EE062B">
        <w:rPr>
          <w:bCs/>
          <w:sz w:val="24"/>
          <w:szCs w:val="24"/>
        </w:rPr>
        <w:t xml:space="preserve">Entre 2019 e 2024, o Pará somou 1.984.815 hectares desmatados, segundo o MapBiomas Alerta. A série anual mostra crescimento até 2022, quando o desmatamento atingiu 487.422 hectares, seguido de uma redução em 2023, com 184.674 hectares, e uma nova queda em 2024, com 156.990 hectares. Em relação a 2019, que registrou 300.256 hectares, o valor de 2024 representa uma redução de 47,7%. A média anual do período foi de 330.803 hectares </w:t>
      </w:r>
      <w:r w:rsidR="00F154F5" w:rsidRPr="00F154F5">
        <w:rPr>
          <w:bCs/>
          <w:sz w:val="24"/>
          <w:szCs w:val="24"/>
        </w:rPr>
        <w:t xml:space="preserve"> (</w:t>
      </w:r>
      <w:r w:rsidR="00DF090F">
        <w:rPr>
          <w:bCs/>
          <w:sz w:val="24"/>
          <w:szCs w:val="24"/>
        </w:rPr>
        <w:t>Figura</w:t>
      </w:r>
      <w:r w:rsidR="00F154F5" w:rsidRPr="00F154F5">
        <w:rPr>
          <w:bCs/>
          <w:sz w:val="24"/>
          <w:szCs w:val="24"/>
        </w:rPr>
        <w:t xml:space="preserve"> 1).</w:t>
      </w:r>
    </w:p>
    <w:p w14:paraId="7198A2A1" w14:textId="44DCA138" w:rsidR="003949CE" w:rsidRDefault="00DF090F" w:rsidP="003949CE">
      <w:pPr>
        <w:widowControl/>
        <w:spacing w:line="259" w:lineRule="auto"/>
        <w:jc w:val="both"/>
        <w:rPr>
          <w:bCs/>
        </w:rPr>
      </w:pPr>
      <w:r>
        <w:t>Figura 1</w:t>
      </w:r>
      <w:r w:rsidR="003949CE">
        <w:rPr>
          <w:b/>
        </w:rPr>
        <w:t xml:space="preserve"> – </w:t>
      </w:r>
      <w:r w:rsidR="00CC2159" w:rsidRPr="00CC2159">
        <w:rPr>
          <w:bCs/>
        </w:rPr>
        <w:t>Área desmatada no Pará segundo o MapBiomas Alerta.</w:t>
      </w:r>
    </w:p>
    <w:p w14:paraId="2C8F8651" w14:textId="093F276E" w:rsidR="00DF090F" w:rsidRDefault="00DF090F" w:rsidP="003949CE">
      <w:pPr>
        <w:widowControl/>
        <w:spacing w:line="259" w:lineRule="auto"/>
        <w:jc w:val="both"/>
        <w:rPr>
          <w:color w:val="FF0000"/>
        </w:rPr>
      </w:pPr>
      <w:r>
        <w:rPr>
          <w:noProof/>
        </w:rPr>
        <w:drawing>
          <wp:inline distT="0" distB="0" distL="0" distR="0" wp14:anchorId="56D8509F" wp14:editId="1B0B5049">
            <wp:extent cx="5394960" cy="2811145"/>
            <wp:effectExtent l="0" t="0" r="15240" b="8255"/>
            <wp:docPr id="709048819" name="Gráfico 1">
              <a:extLst xmlns:a="http://schemas.openxmlformats.org/drawingml/2006/main">
                <a:ext uri="{FF2B5EF4-FFF2-40B4-BE49-F238E27FC236}">
                  <a16:creationId xmlns:a16="http://schemas.microsoft.com/office/drawing/2014/main" id="{7A5BD07C-C846-8F95-FE34-A89365919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6C9FC4" w14:textId="77777777" w:rsidR="003949CE" w:rsidRDefault="003949CE" w:rsidP="003949CE">
      <w:pPr>
        <w:widowControl/>
        <w:spacing w:line="259" w:lineRule="auto"/>
        <w:jc w:val="both"/>
        <w:rPr>
          <w:color w:val="FF0000"/>
        </w:rPr>
      </w:pPr>
    </w:p>
    <w:p w14:paraId="05AAB899" w14:textId="715B952C" w:rsidR="003949CE" w:rsidRDefault="003949CE" w:rsidP="003949CE">
      <w:pPr>
        <w:widowControl/>
        <w:spacing w:before="120" w:line="259" w:lineRule="auto"/>
        <w:jc w:val="both"/>
      </w:pPr>
      <w:r>
        <w:lastRenderedPageBreak/>
        <w:t>Fonte:</w:t>
      </w:r>
      <w:r>
        <w:rPr>
          <w:b/>
        </w:rPr>
        <w:t xml:space="preserve"> </w:t>
      </w:r>
      <w:r w:rsidR="004868DE">
        <w:t>Autores,</w:t>
      </w:r>
      <w:r>
        <w:t xml:space="preserve"> (20</w:t>
      </w:r>
      <w:r w:rsidR="004868DE">
        <w:t>2</w:t>
      </w:r>
      <w:r>
        <w:t>5)</w:t>
      </w:r>
      <w:r w:rsidR="00CC2159">
        <w:t>.</w:t>
      </w:r>
    </w:p>
    <w:p w14:paraId="7AEEAC88" w14:textId="77777777" w:rsidR="005026F0" w:rsidRDefault="002F1B70" w:rsidP="005026F0">
      <w:pPr>
        <w:widowControl/>
        <w:spacing w:before="120" w:line="360" w:lineRule="auto"/>
        <w:ind w:firstLine="709"/>
        <w:jc w:val="both"/>
        <w:rPr>
          <w:sz w:val="24"/>
          <w:szCs w:val="24"/>
        </w:rPr>
      </w:pPr>
      <w:r w:rsidRPr="002F1B70">
        <w:rPr>
          <w:sz w:val="24"/>
          <w:szCs w:val="24"/>
        </w:rPr>
        <w:t xml:space="preserve">O </w:t>
      </w:r>
      <w:r w:rsidR="003B5AD6">
        <w:rPr>
          <w:sz w:val="24"/>
          <w:szCs w:val="24"/>
        </w:rPr>
        <w:t>aumento</w:t>
      </w:r>
      <w:r w:rsidRPr="002F1B70">
        <w:rPr>
          <w:sz w:val="24"/>
          <w:szCs w:val="24"/>
        </w:rPr>
        <w:t xml:space="preserve"> do desmatamento em 2022 aponta para uma situação crítica, refletindo as dinâmicas socioeconômicas que impulsionam a expansão da fronteira agrícola, muitas vezes em desacordo com a legislação, o que ameaça os esforços de conservação ambiental. A diminuição observada em 2023 sugere uma possível mudança de tendência nesse cenário</w:t>
      </w:r>
      <w:r>
        <w:rPr>
          <w:sz w:val="24"/>
          <w:szCs w:val="24"/>
        </w:rPr>
        <w:t xml:space="preserve"> (</w:t>
      </w:r>
      <w:r w:rsidR="00D4312A">
        <w:rPr>
          <w:sz w:val="24"/>
          <w:szCs w:val="24"/>
        </w:rPr>
        <w:t xml:space="preserve">Cabral Júnior et al., </w:t>
      </w:r>
      <w:r w:rsidR="00CD4906">
        <w:rPr>
          <w:sz w:val="24"/>
          <w:szCs w:val="24"/>
        </w:rPr>
        <w:t>2024).</w:t>
      </w:r>
    </w:p>
    <w:p w14:paraId="4BB9C6DC" w14:textId="178F9909" w:rsidR="00E6031B" w:rsidRPr="00E6031B" w:rsidRDefault="00191957" w:rsidP="005026F0">
      <w:pPr>
        <w:widowControl/>
        <w:spacing w:before="120" w:line="360" w:lineRule="auto"/>
        <w:ind w:firstLine="709"/>
        <w:jc w:val="both"/>
        <w:rPr>
          <w:sz w:val="24"/>
          <w:szCs w:val="24"/>
        </w:rPr>
      </w:pPr>
      <w:r w:rsidRPr="00191957">
        <w:rPr>
          <w:sz w:val="24"/>
          <w:szCs w:val="24"/>
        </w:rPr>
        <w:t>Em 2020, houve um aumento considerável de 38,2%, seguido por uma redução contínua nos anos seguintes: 7,9% em 2021, 7,7% em 2022, 35,2% em 2023 e 12,5% em 2024. Essa queda progressiva após o pico de 2020 sugere uma desaceleração ou diminuição do alerta ao longo do período analisado</w:t>
      </w:r>
      <w:r w:rsidR="00E41746">
        <w:rPr>
          <w:sz w:val="24"/>
          <w:szCs w:val="24"/>
        </w:rPr>
        <w:t xml:space="preserve"> (</w:t>
      </w:r>
      <w:r w:rsidR="00292CAB">
        <w:rPr>
          <w:sz w:val="24"/>
          <w:szCs w:val="24"/>
        </w:rPr>
        <w:t>Tabela 2).</w:t>
      </w:r>
    </w:p>
    <w:p w14:paraId="56FA1107" w14:textId="6287B647" w:rsidR="00181193" w:rsidRDefault="00E85FEE" w:rsidP="00E85FEE">
      <w:pPr>
        <w:widowControl/>
        <w:spacing w:before="120"/>
        <w:jc w:val="both"/>
        <w:rPr>
          <w:color w:val="000000" w:themeColor="text1"/>
        </w:rPr>
      </w:pPr>
      <w:r>
        <w:rPr>
          <w:color w:val="000000" w:themeColor="text1"/>
        </w:rPr>
        <w:t>Tabela</w:t>
      </w:r>
      <w:r w:rsidR="005F28CA" w:rsidRPr="00042D7E">
        <w:rPr>
          <w:color w:val="000000" w:themeColor="text1"/>
        </w:rPr>
        <w:t xml:space="preserve"> </w:t>
      </w:r>
      <w:r>
        <w:rPr>
          <w:color w:val="000000" w:themeColor="text1"/>
        </w:rPr>
        <w:t>1</w:t>
      </w:r>
      <w:r w:rsidR="005F28CA" w:rsidRPr="00042D7E">
        <w:rPr>
          <w:color w:val="000000" w:themeColor="text1"/>
        </w:rPr>
        <w:t>- Quantificação do alerta anual de 2019 a 2024 e a variação percentual em relação ao ano anterior.</w:t>
      </w:r>
    </w:p>
    <w:tbl>
      <w:tblPr>
        <w:tblW w:w="6804" w:type="dxa"/>
        <w:tblBorders>
          <w:top w:val="single" w:sz="8" w:space="0" w:color="000000"/>
          <w:bottom w:val="single" w:sz="8" w:space="0" w:color="000000"/>
        </w:tblBorders>
        <w:tblLayout w:type="fixed"/>
        <w:tblLook w:val="0400" w:firstRow="0" w:lastRow="0" w:firstColumn="0" w:lastColumn="0" w:noHBand="0" w:noVBand="1"/>
      </w:tblPr>
      <w:tblGrid>
        <w:gridCol w:w="1701"/>
        <w:gridCol w:w="1701"/>
        <w:gridCol w:w="3402"/>
      </w:tblGrid>
      <w:tr w:rsidR="00E85FEE" w14:paraId="1FA4BAB1" w14:textId="77777777" w:rsidTr="00BA53D4">
        <w:trPr>
          <w:trHeight w:val="376"/>
        </w:trPr>
        <w:tc>
          <w:tcPr>
            <w:tcW w:w="1701" w:type="dxa"/>
            <w:tcBorders>
              <w:top w:val="single" w:sz="8" w:space="0" w:color="000000"/>
              <w:left w:val="nil"/>
              <w:bottom w:val="single" w:sz="8" w:space="0" w:color="000000"/>
              <w:right w:val="nil"/>
            </w:tcBorders>
            <w:shd w:val="clear" w:color="auto" w:fill="FFFFFF"/>
          </w:tcPr>
          <w:p w14:paraId="390F5D3B" w14:textId="77777777" w:rsidR="00E85FEE" w:rsidRDefault="00E85FEE" w:rsidP="00BA53D4">
            <w:pPr>
              <w:widowControl/>
              <w:spacing w:after="160" w:line="360" w:lineRule="auto"/>
              <w:jc w:val="center"/>
              <w:rPr>
                <w:b/>
              </w:rPr>
            </w:pPr>
            <w:r>
              <w:rPr>
                <w:b/>
              </w:rPr>
              <w:t>Ano</w:t>
            </w:r>
          </w:p>
        </w:tc>
        <w:tc>
          <w:tcPr>
            <w:tcW w:w="1701" w:type="dxa"/>
            <w:tcBorders>
              <w:top w:val="single" w:sz="8" w:space="0" w:color="000000"/>
              <w:left w:val="nil"/>
              <w:bottom w:val="single" w:sz="4" w:space="0" w:color="auto"/>
              <w:right w:val="nil"/>
            </w:tcBorders>
            <w:shd w:val="clear" w:color="auto" w:fill="FFFFFF"/>
          </w:tcPr>
          <w:p w14:paraId="1D787435" w14:textId="77777777" w:rsidR="00E85FEE" w:rsidRDefault="00E85FEE" w:rsidP="00BA53D4">
            <w:pPr>
              <w:widowControl/>
              <w:spacing w:after="160" w:line="360" w:lineRule="auto"/>
              <w:jc w:val="center"/>
              <w:rPr>
                <w:b/>
              </w:rPr>
            </w:pPr>
            <w:r>
              <w:rPr>
                <w:b/>
              </w:rPr>
              <w:t>Alerta</w:t>
            </w:r>
          </w:p>
        </w:tc>
        <w:tc>
          <w:tcPr>
            <w:tcW w:w="3402" w:type="dxa"/>
            <w:tcBorders>
              <w:top w:val="single" w:sz="8" w:space="0" w:color="000000"/>
              <w:bottom w:val="single" w:sz="4" w:space="0" w:color="auto"/>
            </w:tcBorders>
          </w:tcPr>
          <w:p w14:paraId="310ECB94" w14:textId="77777777" w:rsidR="00E85FEE" w:rsidRDefault="00E85FEE" w:rsidP="00BA53D4">
            <w:pPr>
              <w:widowControl/>
              <w:spacing w:after="160" w:line="360" w:lineRule="auto"/>
              <w:jc w:val="center"/>
              <w:rPr>
                <w:b/>
              </w:rPr>
            </w:pPr>
            <w:r w:rsidRPr="00CC2159">
              <w:rPr>
                <w:b/>
              </w:rPr>
              <w:t>Variação em relação ao ano anterior %</w:t>
            </w:r>
          </w:p>
        </w:tc>
      </w:tr>
      <w:tr w:rsidR="00E85FEE" w14:paraId="41B49B43" w14:textId="77777777" w:rsidTr="00BA53D4">
        <w:trPr>
          <w:trHeight w:val="3292"/>
        </w:trPr>
        <w:tc>
          <w:tcPr>
            <w:tcW w:w="1701" w:type="dxa"/>
            <w:tcBorders>
              <w:left w:val="nil"/>
              <w:right w:val="nil"/>
            </w:tcBorders>
            <w:shd w:val="clear" w:color="auto" w:fill="FFFFFF"/>
          </w:tcPr>
          <w:p w14:paraId="0D9AEE8C" w14:textId="77777777" w:rsidR="00E85FEE" w:rsidRPr="004868DE" w:rsidRDefault="00E85FEE" w:rsidP="00BA53D4">
            <w:pPr>
              <w:widowControl/>
              <w:spacing w:after="160" w:line="360" w:lineRule="auto"/>
              <w:jc w:val="center"/>
              <w:rPr>
                <w:bCs/>
              </w:rPr>
            </w:pPr>
            <w:r w:rsidRPr="004868DE">
              <w:rPr>
                <w:bCs/>
              </w:rPr>
              <w:t>2019</w:t>
            </w:r>
          </w:p>
          <w:p w14:paraId="0BBE26F6" w14:textId="77777777" w:rsidR="00E85FEE" w:rsidRPr="004868DE" w:rsidRDefault="00E85FEE" w:rsidP="00BA53D4">
            <w:pPr>
              <w:widowControl/>
              <w:spacing w:after="160" w:line="360" w:lineRule="auto"/>
              <w:jc w:val="center"/>
              <w:rPr>
                <w:bCs/>
              </w:rPr>
            </w:pPr>
            <w:r w:rsidRPr="004868DE">
              <w:rPr>
                <w:bCs/>
              </w:rPr>
              <w:t>2020</w:t>
            </w:r>
          </w:p>
          <w:p w14:paraId="18E96464" w14:textId="77777777" w:rsidR="00E85FEE" w:rsidRPr="004868DE" w:rsidRDefault="00E85FEE" w:rsidP="00BA53D4">
            <w:pPr>
              <w:widowControl/>
              <w:spacing w:after="160" w:line="360" w:lineRule="auto"/>
              <w:jc w:val="center"/>
              <w:rPr>
                <w:bCs/>
              </w:rPr>
            </w:pPr>
            <w:r w:rsidRPr="004868DE">
              <w:rPr>
                <w:bCs/>
              </w:rPr>
              <w:t>2021</w:t>
            </w:r>
          </w:p>
          <w:p w14:paraId="4CBD0C92" w14:textId="77777777" w:rsidR="00E85FEE" w:rsidRPr="004868DE" w:rsidRDefault="00E85FEE" w:rsidP="00BA53D4">
            <w:pPr>
              <w:widowControl/>
              <w:spacing w:after="160" w:line="360" w:lineRule="auto"/>
              <w:jc w:val="center"/>
              <w:rPr>
                <w:bCs/>
              </w:rPr>
            </w:pPr>
            <w:r w:rsidRPr="004868DE">
              <w:rPr>
                <w:bCs/>
              </w:rPr>
              <w:t>2022</w:t>
            </w:r>
          </w:p>
          <w:p w14:paraId="0B981861" w14:textId="77777777" w:rsidR="00E85FEE" w:rsidRPr="004868DE" w:rsidRDefault="00E85FEE" w:rsidP="00BA53D4">
            <w:pPr>
              <w:widowControl/>
              <w:spacing w:after="160" w:line="360" w:lineRule="auto"/>
              <w:jc w:val="center"/>
              <w:rPr>
                <w:bCs/>
              </w:rPr>
            </w:pPr>
            <w:r w:rsidRPr="004868DE">
              <w:rPr>
                <w:bCs/>
              </w:rPr>
              <w:t>2023</w:t>
            </w:r>
          </w:p>
          <w:p w14:paraId="64EC04D2" w14:textId="77777777" w:rsidR="00E85FEE" w:rsidRDefault="00E85FEE" w:rsidP="00BA53D4">
            <w:pPr>
              <w:widowControl/>
              <w:spacing w:after="160" w:line="360" w:lineRule="auto"/>
              <w:jc w:val="center"/>
              <w:rPr>
                <w:b/>
                <w:highlight w:val="yellow"/>
              </w:rPr>
            </w:pPr>
            <w:r w:rsidRPr="004868DE">
              <w:rPr>
                <w:bCs/>
              </w:rPr>
              <w:t>2024</w:t>
            </w:r>
          </w:p>
        </w:tc>
        <w:tc>
          <w:tcPr>
            <w:tcW w:w="1701" w:type="dxa"/>
            <w:tcBorders>
              <w:top w:val="single" w:sz="4" w:space="0" w:color="auto"/>
              <w:left w:val="nil"/>
              <w:right w:val="nil"/>
            </w:tcBorders>
            <w:shd w:val="clear" w:color="auto" w:fill="FFFFFF"/>
          </w:tcPr>
          <w:p w14:paraId="4D81E659" w14:textId="77777777" w:rsidR="00E85FEE" w:rsidRDefault="00E85FEE" w:rsidP="00BA53D4">
            <w:pPr>
              <w:widowControl/>
              <w:spacing w:after="160" w:line="360" w:lineRule="auto"/>
              <w:jc w:val="center"/>
            </w:pPr>
            <w:r w:rsidRPr="00DF2032">
              <w:t>18.438</w:t>
            </w:r>
          </w:p>
          <w:p w14:paraId="0B6EBA0E" w14:textId="77777777" w:rsidR="00E85FEE" w:rsidRDefault="00E85FEE" w:rsidP="00BA53D4">
            <w:pPr>
              <w:widowControl/>
              <w:spacing w:after="160" w:line="360" w:lineRule="auto"/>
              <w:jc w:val="center"/>
            </w:pPr>
            <w:r w:rsidRPr="00E32791">
              <w:t>25.480</w:t>
            </w:r>
          </w:p>
          <w:p w14:paraId="31E456C5" w14:textId="77777777" w:rsidR="00E85FEE" w:rsidRDefault="00E85FEE" w:rsidP="00BA53D4">
            <w:pPr>
              <w:widowControl/>
              <w:spacing w:after="160" w:line="360" w:lineRule="auto"/>
              <w:jc w:val="center"/>
            </w:pPr>
            <w:r w:rsidRPr="00C62B21">
              <w:t>23.451</w:t>
            </w:r>
          </w:p>
          <w:p w14:paraId="1FE19970" w14:textId="77777777" w:rsidR="00E85FEE" w:rsidRDefault="00E85FEE" w:rsidP="00BA53D4">
            <w:pPr>
              <w:widowControl/>
              <w:spacing w:after="160" w:line="360" w:lineRule="auto"/>
              <w:jc w:val="center"/>
            </w:pPr>
            <w:r w:rsidRPr="00C62B21">
              <w:t>21.652</w:t>
            </w:r>
          </w:p>
          <w:p w14:paraId="2CC8174F" w14:textId="77777777" w:rsidR="00E85FEE" w:rsidRDefault="00E85FEE" w:rsidP="00BA53D4">
            <w:pPr>
              <w:widowControl/>
              <w:spacing w:after="160" w:line="360" w:lineRule="auto"/>
              <w:jc w:val="center"/>
            </w:pPr>
            <w:r w:rsidRPr="00992C4B">
              <w:t>14.059</w:t>
            </w:r>
          </w:p>
          <w:p w14:paraId="1332FF54" w14:textId="77777777" w:rsidR="00E85FEE" w:rsidRDefault="00E85FEE" w:rsidP="00BA53D4">
            <w:pPr>
              <w:widowControl/>
              <w:spacing w:after="160" w:line="360" w:lineRule="auto"/>
              <w:jc w:val="center"/>
            </w:pPr>
            <w:r w:rsidRPr="00992C4B">
              <w:t>12.307</w:t>
            </w:r>
          </w:p>
        </w:tc>
        <w:tc>
          <w:tcPr>
            <w:tcW w:w="3402" w:type="dxa"/>
            <w:tcBorders>
              <w:top w:val="single" w:sz="4" w:space="0" w:color="auto"/>
            </w:tcBorders>
          </w:tcPr>
          <w:p w14:paraId="2679F3E3" w14:textId="77777777" w:rsidR="00E85FEE" w:rsidRDefault="00E85FEE" w:rsidP="00BA53D4">
            <w:pPr>
              <w:widowControl/>
              <w:spacing w:after="160" w:line="360" w:lineRule="auto"/>
              <w:jc w:val="center"/>
            </w:pPr>
            <w:r>
              <w:t>-</w:t>
            </w:r>
          </w:p>
          <w:p w14:paraId="2F8E120C" w14:textId="77777777" w:rsidR="00E85FEE" w:rsidRDefault="00E85FEE" w:rsidP="00BA53D4">
            <w:pPr>
              <w:widowControl/>
              <w:spacing w:after="160" w:line="360" w:lineRule="auto"/>
              <w:jc w:val="center"/>
            </w:pPr>
            <w:r>
              <w:t>38,2</w:t>
            </w:r>
          </w:p>
          <w:p w14:paraId="7857343E" w14:textId="77777777" w:rsidR="00E85FEE" w:rsidRDefault="00E85FEE" w:rsidP="00BA53D4">
            <w:pPr>
              <w:widowControl/>
              <w:spacing w:after="160" w:line="360" w:lineRule="auto"/>
              <w:jc w:val="center"/>
            </w:pPr>
            <w:r>
              <w:t>-7,9</w:t>
            </w:r>
          </w:p>
          <w:p w14:paraId="447C1F37" w14:textId="77777777" w:rsidR="00E85FEE" w:rsidRDefault="00E85FEE" w:rsidP="00BA53D4">
            <w:pPr>
              <w:widowControl/>
              <w:spacing w:after="160" w:line="360" w:lineRule="auto"/>
              <w:jc w:val="center"/>
            </w:pPr>
            <w:r>
              <w:t>-7,7</w:t>
            </w:r>
          </w:p>
          <w:p w14:paraId="68C66203" w14:textId="77777777" w:rsidR="00E85FEE" w:rsidRDefault="00E85FEE" w:rsidP="00BA53D4">
            <w:pPr>
              <w:widowControl/>
              <w:spacing w:after="160" w:line="360" w:lineRule="auto"/>
              <w:jc w:val="center"/>
            </w:pPr>
            <w:r>
              <w:t>-35,2</w:t>
            </w:r>
          </w:p>
          <w:p w14:paraId="1DAAEF8C" w14:textId="77777777" w:rsidR="00E85FEE" w:rsidRDefault="00E85FEE" w:rsidP="00BA53D4">
            <w:pPr>
              <w:widowControl/>
              <w:spacing w:after="160" w:line="360" w:lineRule="auto"/>
              <w:jc w:val="center"/>
            </w:pPr>
            <w:r>
              <w:t>-12,5</w:t>
            </w:r>
          </w:p>
        </w:tc>
      </w:tr>
    </w:tbl>
    <w:p w14:paraId="234F6CD8" w14:textId="77777777" w:rsidR="00E85FEE" w:rsidRPr="00042D7E" w:rsidRDefault="00E85FEE" w:rsidP="00DF090F">
      <w:pPr>
        <w:widowControl/>
        <w:spacing w:before="120"/>
        <w:jc w:val="center"/>
        <w:rPr>
          <w:color w:val="000000" w:themeColor="text1"/>
        </w:rPr>
      </w:pPr>
    </w:p>
    <w:p w14:paraId="7E3C5FC2" w14:textId="77777777" w:rsidR="003351EA" w:rsidRDefault="00042D7E" w:rsidP="003351EA">
      <w:pPr>
        <w:widowControl/>
        <w:jc w:val="both"/>
        <w:rPr>
          <w:color w:val="000000" w:themeColor="text1"/>
        </w:rPr>
      </w:pPr>
      <w:r w:rsidRPr="003351EA">
        <w:rPr>
          <w:color w:val="000000" w:themeColor="text1"/>
        </w:rPr>
        <w:t>Fonte</w:t>
      </w:r>
      <w:r w:rsidR="003351EA" w:rsidRPr="003351EA">
        <w:rPr>
          <w:color w:val="000000" w:themeColor="text1"/>
        </w:rPr>
        <w:t>: Autores, (2025), com bases em dados do Mapbiomas.</w:t>
      </w:r>
    </w:p>
    <w:p w14:paraId="7BFC50C6" w14:textId="77777777" w:rsidR="0076474D" w:rsidRDefault="0076474D" w:rsidP="003351EA">
      <w:pPr>
        <w:widowControl/>
        <w:jc w:val="both"/>
        <w:rPr>
          <w:color w:val="000000" w:themeColor="text1"/>
        </w:rPr>
      </w:pPr>
    </w:p>
    <w:p w14:paraId="79F82B63" w14:textId="1CE84DB3" w:rsidR="003E01E4" w:rsidRDefault="00533F2B" w:rsidP="00717F8C">
      <w:pPr>
        <w:widowControl/>
        <w:spacing w:line="360" w:lineRule="auto"/>
        <w:ind w:firstLine="709"/>
        <w:jc w:val="both"/>
        <w:rPr>
          <w:color w:val="000000" w:themeColor="text1"/>
          <w:sz w:val="24"/>
          <w:szCs w:val="24"/>
        </w:rPr>
      </w:pPr>
      <w:r w:rsidRPr="00533F2B">
        <w:rPr>
          <w:color w:val="000000" w:themeColor="text1"/>
          <w:sz w:val="24"/>
          <w:szCs w:val="24"/>
        </w:rPr>
        <w:t xml:space="preserve">Esses alertas são utilizados como referência para identificar os focos de desmatamento nas imagens de alta resolução (3 a 5 metros) da Planet, as quais são analisadas pela equipe do Projeto MapBiomas (2020). A partir dessa análise, é possível localizar com maior precisão as áreas afetadas pelo desmatamento, o que contribui para o monitoramento contínuo das mudanças no uso da terra. A redução do desmatamento, observada </w:t>
      </w:r>
      <w:r w:rsidR="0076474D">
        <w:rPr>
          <w:color w:val="000000" w:themeColor="text1"/>
          <w:sz w:val="24"/>
          <w:szCs w:val="24"/>
        </w:rPr>
        <w:t>a partir de 2022</w:t>
      </w:r>
      <w:r w:rsidRPr="00533F2B">
        <w:rPr>
          <w:color w:val="000000" w:themeColor="text1"/>
          <w:sz w:val="24"/>
          <w:szCs w:val="24"/>
        </w:rPr>
        <w:t xml:space="preserve">, pode ser associada a um maior controle e vigilância sobre as áreas mais críticas, evidenciado pela </w:t>
      </w:r>
      <w:r w:rsidRPr="00533F2B">
        <w:rPr>
          <w:color w:val="000000" w:themeColor="text1"/>
          <w:sz w:val="24"/>
          <w:szCs w:val="24"/>
        </w:rPr>
        <w:lastRenderedPageBreak/>
        <w:t>capacidade do sistema de identificar rapidamente novos focos de desmatamento e agir com maior agilidade na sua mitigação.</w:t>
      </w:r>
    </w:p>
    <w:p w14:paraId="53C59ACA" w14:textId="1BE61C13" w:rsidR="00C84377" w:rsidRPr="00717F8C" w:rsidRDefault="00717F8C" w:rsidP="00717F8C">
      <w:pPr>
        <w:widowControl/>
        <w:spacing w:line="360" w:lineRule="auto"/>
        <w:ind w:firstLine="709"/>
        <w:jc w:val="both"/>
        <w:rPr>
          <w:color w:val="000000" w:themeColor="text1"/>
          <w:sz w:val="24"/>
          <w:szCs w:val="24"/>
        </w:rPr>
      </w:pPr>
      <w:r w:rsidRPr="00717F8C">
        <w:rPr>
          <w:color w:val="000000" w:themeColor="text1"/>
          <w:sz w:val="24"/>
          <w:szCs w:val="24"/>
        </w:rPr>
        <w:t>Segundo o MapBiomas, o estado do Pará figura na lista dos 50 municípios que mais desmataram no Brasil entre 2019 e 2024, com seis de seus municípios entre os mais impactados. Nos seis municípios, observam-se variações no desmatamento ao longo desse período, com aumentos em alguns anos e diminuições em outros</w:t>
      </w:r>
      <w:r w:rsidR="00126792">
        <w:rPr>
          <w:color w:val="000000" w:themeColor="text1"/>
          <w:sz w:val="24"/>
          <w:szCs w:val="24"/>
        </w:rPr>
        <w:t xml:space="preserve"> (</w:t>
      </w:r>
      <w:r w:rsidR="0055689A">
        <w:rPr>
          <w:color w:val="000000" w:themeColor="text1"/>
          <w:sz w:val="24"/>
          <w:szCs w:val="24"/>
        </w:rPr>
        <w:t>Figura</w:t>
      </w:r>
      <w:r w:rsidR="00126792">
        <w:rPr>
          <w:color w:val="000000" w:themeColor="text1"/>
          <w:sz w:val="24"/>
          <w:szCs w:val="24"/>
        </w:rPr>
        <w:t xml:space="preserve"> </w:t>
      </w:r>
      <w:r w:rsidR="0055689A">
        <w:rPr>
          <w:color w:val="000000" w:themeColor="text1"/>
          <w:sz w:val="24"/>
          <w:szCs w:val="24"/>
        </w:rPr>
        <w:t>1</w:t>
      </w:r>
      <w:r w:rsidR="00126792">
        <w:rPr>
          <w:color w:val="000000" w:themeColor="text1"/>
          <w:sz w:val="24"/>
          <w:szCs w:val="24"/>
        </w:rPr>
        <w:t>)</w:t>
      </w:r>
      <w:r>
        <w:rPr>
          <w:color w:val="000000" w:themeColor="text1"/>
          <w:sz w:val="24"/>
          <w:szCs w:val="24"/>
        </w:rPr>
        <w:t>.</w:t>
      </w:r>
    </w:p>
    <w:p w14:paraId="6D328E1C" w14:textId="0200B321" w:rsidR="003351EA" w:rsidRDefault="0055689A" w:rsidP="00DF090F">
      <w:pPr>
        <w:widowControl/>
        <w:spacing w:before="120" w:line="259" w:lineRule="auto"/>
        <w:jc w:val="center"/>
      </w:pPr>
      <w:r>
        <w:t xml:space="preserve">Figura </w:t>
      </w:r>
      <w:r w:rsidR="00E85FEE">
        <w:t>2</w:t>
      </w:r>
      <w:r w:rsidR="003B50B0">
        <w:t xml:space="preserve"> - </w:t>
      </w:r>
      <w:r w:rsidR="003B50B0" w:rsidRPr="003B50B0">
        <w:t>Área desmatada por município no Pará entre 2019 e 2024 (em hectares).</w:t>
      </w:r>
    </w:p>
    <w:p w14:paraId="6618B121" w14:textId="59BFEB60" w:rsidR="0055689A" w:rsidRPr="0055689A" w:rsidRDefault="0055689A" w:rsidP="0055689A">
      <w:pPr>
        <w:widowControl/>
        <w:spacing w:before="120" w:line="259" w:lineRule="auto"/>
        <w:jc w:val="center"/>
        <w:rPr>
          <w:lang w:val="pt-BR"/>
        </w:rPr>
      </w:pPr>
      <w:r w:rsidRPr="0055689A">
        <w:rPr>
          <w:noProof/>
          <w:lang w:val="pt-BR"/>
        </w:rPr>
        <w:drawing>
          <wp:inline distT="0" distB="0" distL="0" distR="0" wp14:anchorId="044BAC2B" wp14:editId="72088FA6">
            <wp:extent cx="5762625" cy="3213735"/>
            <wp:effectExtent l="0" t="0" r="9525"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6434"/>
                    <a:stretch/>
                  </pic:blipFill>
                  <pic:spPr bwMode="auto">
                    <a:xfrm>
                      <a:off x="0" y="0"/>
                      <a:ext cx="5762625" cy="3213735"/>
                    </a:xfrm>
                    <a:prstGeom prst="rect">
                      <a:avLst/>
                    </a:prstGeom>
                    <a:noFill/>
                    <a:ln>
                      <a:noFill/>
                    </a:ln>
                    <a:extLst>
                      <a:ext uri="{53640926-AAD7-44D8-BBD7-CCE9431645EC}">
                        <a14:shadowObscured xmlns:a14="http://schemas.microsoft.com/office/drawing/2010/main"/>
                      </a:ext>
                    </a:extLst>
                  </pic:spPr>
                </pic:pic>
              </a:graphicData>
            </a:graphic>
          </wp:inline>
        </w:drawing>
      </w:r>
    </w:p>
    <w:p w14:paraId="256B7334" w14:textId="77777777" w:rsidR="0055689A" w:rsidRDefault="0055689A" w:rsidP="003351EA">
      <w:pPr>
        <w:widowControl/>
        <w:spacing w:before="120" w:line="259" w:lineRule="auto"/>
        <w:jc w:val="both"/>
      </w:pPr>
    </w:p>
    <w:p w14:paraId="293EB841" w14:textId="5133CF5A" w:rsidR="003949CE" w:rsidRPr="003815EB" w:rsidRDefault="003B50B0" w:rsidP="003815EB">
      <w:pPr>
        <w:widowControl/>
        <w:spacing w:before="120" w:line="259" w:lineRule="auto"/>
        <w:jc w:val="both"/>
        <w:rPr>
          <w:color w:val="000000" w:themeColor="text1"/>
        </w:rPr>
      </w:pPr>
      <w:r w:rsidRPr="003351EA">
        <w:rPr>
          <w:color w:val="000000" w:themeColor="text1"/>
        </w:rPr>
        <w:t>Fonte: Autores, (2025), com bases em dados do Mapbiomas.</w:t>
      </w:r>
    </w:p>
    <w:p w14:paraId="23A725BC" w14:textId="77777777" w:rsidR="003E01E4" w:rsidRDefault="003E01E4" w:rsidP="003815EB">
      <w:pPr>
        <w:keepNext/>
        <w:widowControl/>
        <w:spacing w:line="360" w:lineRule="auto"/>
        <w:ind w:firstLine="709"/>
        <w:jc w:val="both"/>
        <w:rPr>
          <w:sz w:val="24"/>
          <w:szCs w:val="24"/>
        </w:rPr>
      </w:pPr>
    </w:p>
    <w:p w14:paraId="083DACEE" w14:textId="40A561D6" w:rsidR="0059433C" w:rsidRDefault="0059433C" w:rsidP="003815EB">
      <w:pPr>
        <w:keepNext/>
        <w:widowControl/>
        <w:spacing w:line="360" w:lineRule="auto"/>
        <w:ind w:firstLine="709"/>
        <w:jc w:val="both"/>
        <w:rPr>
          <w:sz w:val="24"/>
          <w:szCs w:val="24"/>
        </w:rPr>
      </w:pPr>
      <w:r w:rsidRPr="0059433C">
        <w:rPr>
          <w:sz w:val="24"/>
          <w:szCs w:val="24"/>
        </w:rPr>
        <w:t xml:space="preserve">Os dados obtidos são semelhantes aos encontrados no estudo de Beckman et al. (2024), que aponta o Pará como um dos estados com os maiores índices de desmatamento, destacando-se com seis municípios entre os mais impactados: Altamira, São Félix do Xingu, Novo Progresso, Itaituba, Portel e Pacajá. Esses números têm gerado intensas discussões em fóruns </w:t>
      </w:r>
      <w:r w:rsidRPr="0059433C">
        <w:rPr>
          <w:sz w:val="24"/>
          <w:szCs w:val="24"/>
        </w:rPr>
        <w:lastRenderedPageBreak/>
        <w:t>internacionais, com a realização de reuniões entre governantes de diversos países, cujo objetivo é debater as causas do desmatamento e os seus impactos ambientais e sociais.</w:t>
      </w:r>
    </w:p>
    <w:p w14:paraId="13FA25DA" w14:textId="77777777" w:rsidR="0055689A" w:rsidRDefault="0055689A" w:rsidP="003815EB">
      <w:pPr>
        <w:keepNext/>
        <w:widowControl/>
        <w:spacing w:line="360" w:lineRule="auto"/>
        <w:ind w:firstLine="709"/>
        <w:jc w:val="both"/>
        <w:rPr>
          <w:sz w:val="24"/>
          <w:szCs w:val="24"/>
        </w:rPr>
      </w:pPr>
    </w:p>
    <w:p w14:paraId="606F48C6" w14:textId="2847B4AA" w:rsidR="0055689A" w:rsidRPr="0059433C" w:rsidRDefault="0055689A" w:rsidP="0055689A">
      <w:pPr>
        <w:rPr>
          <w:sz w:val="24"/>
          <w:szCs w:val="24"/>
        </w:rPr>
      </w:pPr>
      <w:r>
        <w:rPr>
          <w:sz w:val="24"/>
          <w:szCs w:val="24"/>
        </w:rPr>
        <w:br w:type="page"/>
      </w:r>
    </w:p>
    <w:p w14:paraId="64E377B6" w14:textId="0896ED38" w:rsidR="003949CE" w:rsidRDefault="003949CE" w:rsidP="00BC2EA1">
      <w:pPr>
        <w:widowControl/>
        <w:tabs>
          <w:tab w:val="left" w:pos="1290"/>
        </w:tabs>
        <w:spacing w:after="160" w:line="259" w:lineRule="auto"/>
        <w:jc w:val="both"/>
        <w:rPr>
          <w:b/>
          <w:sz w:val="24"/>
          <w:szCs w:val="24"/>
        </w:rPr>
      </w:pPr>
      <w:r>
        <w:rPr>
          <w:b/>
          <w:sz w:val="24"/>
          <w:szCs w:val="24"/>
        </w:rPr>
        <w:lastRenderedPageBreak/>
        <w:t xml:space="preserve">4. CONCLUSÃO </w:t>
      </w:r>
    </w:p>
    <w:p w14:paraId="32242C0C" w14:textId="77777777" w:rsidR="006F3DF4" w:rsidRDefault="00BC2EA1" w:rsidP="006F3DF4">
      <w:pPr>
        <w:widowControl/>
        <w:tabs>
          <w:tab w:val="left" w:pos="1290"/>
        </w:tabs>
        <w:spacing w:after="160" w:line="360" w:lineRule="auto"/>
        <w:ind w:firstLine="709"/>
        <w:jc w:val="both"/>
        <w:rPr>
          <w:bCs/>
          <w:sz w:val="24"/>
          <w:szCs w:val="24"/>
        </w:rPr>
      </w:pPr>
      <w:r w:rsidRPr="00BC2EA1">
        <w:rPr>
          <w:bCs/>
          <w:sz w:val="24"/>
          <w:szCs w:val="24"/>
        </w:rPr>
        <w:t xml:space="preserve"> </w:t>
      </w:r>
      <w:r w:rsidR="003D217B" w:rsidRPr="003D217B">
        <w:rPr>
          <w:bCs/>
          <w:sz w:val="24"/>
          <w:szCs w:val="24"/>
        </w:rPr>
        <w:t xml:space="preserve">A análise dos dados de desmatamento no estado do Pará entre 2019 e 2024 revela uma evolução nos índices, com um pico de 487.422 hectares de área desmatada em 2022. </w:t>
      </w:r>
      <w:r w:rsidR="006F3DF4" w:rsidRPr="003D217B">
        <w:rPr>
          <w:bCs/>
          <w:sz w:val="24"/>
          <w:szCs w:val="24"/>
        </w:rPr>
        <w:t>A</w:t>
      </w:r>
      <w:r w:rsidR="003D217B" w:rsidRPr="003D217B">
        <w:rPr>
          <w:bCs/>
          <w:sz w:val="24"/>
          <w:szCs w:val="24"/>
        </w:rPr>
        <w:t xml:space="preserve"> partir de 2023, observou-se uma redução significativa de 47,7%, um indicativo de que ações de controle e monitoramento têm surtido efeitos positivos. A diminuição pode ser atribuída ao fortalecimento da vigilância e ao uso de tecnologias avançadas, como o MapBiomas Alerta, que tem permitido uma resposta mais rápida à identificação e mitigação dos focos de desmatamento.</w:t>
      </w:r>
    </w:p>
    <w:p w14:paraId="3DA94432" w14:textId="6757E61F" w:rsidR="00BC2EA1" w:rsidRPr="00BC2EA1" w:rsidRDefault="003D217B" w:rsidP="006F3DF4">
      <w:pPr>
        <w:widowControl/>
        <w:tabs>
          <w:tab w:val="left" w:pos="1290"/>
        </w:tabs>
        <w:spacing w:after="160" w:line="360" w:lineRule="auto"/>
        <w:ind w:firstLine="709"/>
        <w:jc w:val="both"/>
        <w:rPr>
          <w:bCs/>
          <w:sz w:val="24"/>
          <w:szCs w:val="24"/>
        </w:rPr>
      </w:pPr>
      <w:r w:rsidRPr="003D217B">
        <w:rPr>
          <w:bCs/>
          <w:sz w:val="24"/>
          <w:szCs w:val="24"/>
        </w:rPr>
        <w:t>No entanto, apesar dessa redução, o Pará continua a figurar entre os estados com os maiores índices de desmatamento no Brasil, com municípios que seguem sendo os maiores responsáveis por esses números. Isso evidencia que, apesar das melhorias no monitoramento, o estado enfrenta desafios persistentes relacionados ao avanço da fronteira agrícol</w:t>
      </w:r>
      <w:r w:rsidR="006F3DF4">
        <w:rPr>
          <w:bCs/>
          <w:sz w:val="24"/>
          <w:szCs w:val="24"/>
        </w:rPr>
        <w:t>a.</w:t>
      </w:r>
    </w:p>
    <w:p w14:paraId="05746633" w14:textId="77777777" w:rsidR="003949CE" w:rsidRDefault="003949CE" w:rsidP="003949CE">
      <w:pPr>
        <w:widowControl/>
        <w:tabs>
          <w:tab w:val="left" w:pos="1290"/>
        </w:tabs>
        <w:spacing w:after="160" w:line="259" w:lineRule="auto"/>
        <w:jc w:val="both"/>
        <w:rPr>
          <w:b/>
          <w:sz w:val="24"/>
          <w:szCs w:val="24"/>
        </w:rPr>
      </w:pPr>
    </w:p>
    <w:p w14:paraId="3B2868CD" w14:textId="7DB5AE2E" w:rsidR="003949CE" w:rsidRDefault="003949CE" w:rsidP="00816659">
      <w:pPr>
        <w:widowControl/>
        <w:tabs>
          <w:tab w:val="left" w:pos="1290"/>
        </w:tabs>
        <w:spacing w:after="160" w:line="259" w:lineRule="auto"/>
        <w:jc w:val="both"/>
        <w:rPr>
          <w:color w:val="FF0000"/>
          <w:sz w:val="24"/>
          <w:szCs w:val="24"/>
        </w:rPr>
      </w:pPr>
      <w:r>
        <w:rPr>
          <w:b/>
          <w:sz w:val="24"/>
          <w:szCs w:val="24"/>
        </w:rPr>
        <w:t xml:space="preserve">REFERÊNCIAS </w:t>
      </w:r>
    </w:p>
    <w:p w14:paraId="0B747F4F" w14:textId="5C15F63D" w:rsidR="00816659" w:rsidRDefault="0086540F" w:rsidP="00816659">
      <w:pPr>
        <w:widowControl/>
        <w:tabs>
          <w:tab w:val="left" w:pos="1290"/>
        </w:tabs>
        <w:spacing w:after="160" w:line="259" w:lineRule="auto"/>
        <w:jc w:val="both"/>
        <w:rPr>
          <w:sz w:val="24"/>
          <w:szCs w:val="24"/>
        </w:rPr>
      </w:pPr>
      <w:r w:rsidRPr="00816659">
        <w:rPr>
          <w:sz w:val="24"/>
          <w:szCs w:val="24"/>
        </w:rPr>
        <w:t>CABRAL JUNIOR, F. O.</w:t>
      </w:r>
      <w:r>
        <w:rPr>
          <w:sz w:val="24"/>
          <w:szCs w:val="24"/>
        </w:rPr>
        <w:t>;</w:t>
      </w:r>
      <w:r w:rsidRPr="00816659">
        <w:rPr>
          <w:sz w:val="24"/>
          <w:szCs w:val="24"/>
        </w:rPr>
        <w:t xml:space="preserve"> CYRNE, C. C. DA S.</w:t>
      </w:r>
      <w:r>
        <w:rPr>
          <w:sz w:val="24"/>
          <w:szCs w:val="24"/>
        </w:rPr>
        <w:t>;</w:t>
      </w:r>
      <w:r w:rsidRPr="00816659">
        <w:rPr>
          <w:sz w:val="24"/>
          <w:szCs w:val="24"/>
        </w:rPr>
        <w:t xml:space="preserve"> TURATTI, L</w:t>
      </w:r>
      <w:r w:rsidR="00816659" w:rsidRPr="00816659">
        <w:rPr>
          <w:sz w:val="24"/>
          <w:szCs w:val="24"/>
        </w:rPr>
        <w:t>. As queimadas no estado do Pará, Brasil: Impactos ambientais, sociais e econômicos. </w:t>
      </w:r>
      <w:r w:rsidR="00816659" w:rsidRPr="00816659">
        <w:rPr>
          <w:b/>
          <w:bCs/>
          <w:sz w:val="24"/>
          <w:szCs w:val="24"/>
        </w:rPr>
        <w:t>Cuadernos De Educación Y Desarrollo</w:t>
      </w:r>
      <w:r w:rsidR="00816659" w:rsidRPr="00816659">
        <w:rPr>
          <w:sz w:val="24"/>
          <w:szCs w:val="24"/>
        </w:rPr>
        <w:t xml:space="preserve"> , 16(9), e5416</w:t>
      </w:r>
      <w:r w:rsidR="00816659">
        <w:rPr>
          <w:sz w:val="24"/>
          <w:szCs w:val="24"/>
        </w:rPr>
        <w:t>, 2024</w:t>
      </w:r>
      <w:r w:rsidR="00096307">
        <w:rPr>
          <w:sz w:val="24"/>
          <w:szCs w:val="24"/>
        </w:rPr>
        <w:t>.</w:t>
      </w:r>
    </w:p>
    <w:p w14:paraId="36468B49" w14:textId="452A0BDC" w:rsidR="00715E3C" w:rsidRDefault="00715E3C" w:rsidP="00816659">
      <w:pPr>
        <w:widowControl/>
        <w:tabs>
          <w:tab w:val="left" w:pos="1290"/>
        </w:tabs>
        <w:spacing w:after="160" w:line="259" w:lineRule="auto"/>
        <w:jc w:val="both"/>
        <w:rPr>
          <w:sz w:val="24"/>
          <w:szCs w:val="24"/>
        </w:rPr>
      </w:pPr>
      <w:r w:rsidRPr="00715E3C">
        <w:rPr>
          <w:sz w:val="24"/>
          <w:szCs w:val="24"/>
        </w:rPr>
        <w:t xml:space="preserve">BRASIL. Ministério da Ciência, Tecnologia e Inovação. Instituto Nacional de Pesquisas Espaciais (INPE). 2023. Disponível em: https://www.gov.br/inpe/pt-br. Acesso em: </w:t>
      </w:r>
      <w:r w:rsidR="00AF35EB">
        <w:rPr>
          <w:sz w:val="24"/>
          <w:szCs w:val="24"/>
        </w:rPr>
        <w:t>03 de</w:t>
      </w:r>
      <w:r w:rsidRPr="00715E3C">
        <w:rPr>
          <w:sz w:val="24"/>
          <w:szCs w:val="24"/>
        </w:rPr>
        <w:t xml:space="preserve"> nov</w:t>
      </w:r>
      <w:r w:rsidR="00AF35EB">
        <w:rPr>
          <w:sz w:val="24"/>
          <w:szCs w:val="24"/>
        </w:rPr>
        <w:t>embro</w:t>
      </w:r>
      <w:r w:rsidRPr="00715E3C">
        <w:rPr>
          <w:sz w:val="24"/>
          <w:szCs w:val="24"/>
        </w:rPr>
        <w:t xml:space="preserve"> 202</w:t>
      </w:r>
      <w:r w:rsidR="00AF35EB">
        <w:rPr>
          <w:sz w:val="24"/>
          <w:szCs w:val="24"/>
        </w:rPr>
        <w:t>5</w:t>
      </w:r>
      <w:r>
        <w:rPr>
          <w:sz w:val="24"/>
          <w:szCs w:val="24"/>
        </w:rPr>
        <w:t>.</w:t>
      </w:r>
    </w:p>
    <w:p w14:paraId="0166E17C" w14:textId="5628F0F6" w:rsidR="00096307" w:rsidRDefault="00171EB1" w:rsidP="00816659">
      <w:pPr>
        <w:widowControl/>
        <w:tabs>
          <w:tab w:val="left" w:pos="1290"/>
        </w:tabs>
        <w:spacing w:after="160" w:line="259" w:lineRule="auto"/>
        <w:jc w:val="both"/>
        <w:rPr>
          <w:sz w:val="24"/>
          <w:szCs w:val="24"/>
        </w:rPr>
      </w:pPr>
      <w:r w:rsidRPr="0040534B">
        <w:rPr>
          <w:sz w:val="24"/>
          <w:szCs w:val="24"/>
        </w:rPr>
        <w:t>BECKMAM, W. F.</w:t>
      </w:r>
      <w:r>
        <w:rPr>
          <w:sz w:val="24"/>
          <w:szCs w:val="24"/>
        </w:rPr>
        <w:t>;</w:t>
      </w:r>
      <w:r w:rsidRPr="0040534B">
        <w:rPr>
          <w:sz w:val="24"/>
          <w:szCs w:val="24"/>
        </w:rPr>
        <w:t xml:space="preserve"> DOS SANTOS BRAGA, G.</w:t>
      </w:r>
      <w:r>
        <w:rPr>
          <w:sz w:val="24"/>
          <w:szCs w:val="24"/>
        </w:rPr>
        <w:t>;</w:t>
      </w:r>
      <w:r w:rsidRPr="0040534B">
        <w:rPr>
          <w:sz w:val="24"/>
          <w:szCs w:val="24"/>
        </w:rPr>
        <w:t xml:space="preserve"> CAMPEROS-REYES, J. T.</w:t>
      </w:r>
      <w:r>
        <w:rPr>
          <w:sz w:val="24"/>
          <w:szCs w:val="24"/>
        </w:rPr>
        <w:t>;</w:t>
      </w:r>
      <w:r w:rsidRPr="0040534B">
        <w:rPr>
          <w:sz w:val="24"/>
          <w:szCs w:val="24"/>
        </w:rPr>
        <w:t xml:space="preserve"> CONDURÚ, M. T</w:t>
      </w:r>
      <w:r w:rsidR="0040534B" w:rsidRPr="0040534B">
        <w:rPr>
          <w:sz w:val="24"/>
          <w:szCs w:val="24"/>
        </w:rPr>
        <w:t>. Dados abertos sobre áreas de desmatamento no estado do Pará. </w:t>
      </w:r>
      <w:r w:rsidR="0040534B" w:rsidRPr="00562573">
        <w:rPr>
          <w:b/>
          <w:bCs/>
          <w:sz w:val="24"/>
          <w:szCs w:val="24"/>
        </w:rPr>
        <w:t>Universidade e Meio Ambiente</w:t>
      </w:r>
      <w:r w:rsidR="0040534B" w:rsidRPr="0040534B">
        <w:rPr>
          <w:sz w:val="24"/>
          <w:szCs w:val="24"/>
        </w:rPr>
        <w:t>, 9(2), 60-70</w:t>
      </w:r>
      <w:r>
        <w:rPr>
          <w:sz w:val="24"/>
          <w:szCs w:val="24"/>
        </w:rPr>
        <w:t>, 2024.</w:t>
      </w:r>
    </w:p>
    <w:p w14:paraId="4951F825" w14:textId="40EB08A2" w:rsidR="00BF5181" w:rsidRDefault="00BF5181" w:rsidP="00816659">
      <w:pPr>
        <w:widowControl/>
        <w:tabs>
          <w:tab w:val="left" w:pos="1290"/>
        </w:tabs>
        <w:spacing w:after="160" w:line="259" w:lineRule="auto"/>
        <w:jc w:val="both"/>
        <w:rPr>
          <w:sz w:val="24"/>
          <w:szCs w:val="24"/>
        </w:rPr>
      </w:pPr>
      <w:r>
        <w:rPr>
          <w:sz w:val="24"/>
          <w:szCs w:val="24"/>
        </w:rPr>
        <w:t xml:space="preserve">IBGE. </w:t>
      </w:r>
      <w:r w:rsidRPr="00BF5181">
        <w:rPr>
          <w:sz w:val="24"/>
          <w:szCs w:val="24"/>
        </w:rPr>
        <w:t>INSTITUTO BRASILEIRO DE GEOGRAFIA E ESTATÍSTICA.</w:t>
      </w:r>
      <w:r>
        <w:rPr>
          <w:sz w:val="24"/>
          <w:szCs w:val="24"/>
        </w:rPr>
        <w:t xml:space="preserve"> 2022.</w:t>
      </w:r>
      <w:r w:rsidRPr="00BF5181">
        <w:rPr>
          <w:sz w:val="24"/>
          <w:szCs w:val="24"/>
        </w:rPr>
        <w:t xml:space="preserve"> Amazônia Legal. Disponível em: </w:t>
      </w:r>
      <w:r w:rsidR="00AE0E0E" w:rsidRPr="00AE0E0E">
        <w:rPr>
          <w:sz w:val="24"/>
          <w:szCs w:val="24"/>
        </w:rPr>
        <w:t>https://www.ibge.gov.br/geociencias/cartas-e-mapas/mapas-regionais/15819-amazonia-legal.html?=&amp;t=o-que-e</w:t>
      </w:r>
      <w:r w:rsidR="00AE0E0E">
        <w:rPr>
          <w:sz w:val="24"/>
          <w:szCs w:val="24"/>
        </w:rPr>
        <w:t>. Acesso em 03 de novembro de 2025.</w:t>
      </w:r>
    </w:p>
    <w:p w14:paraId="7E0BF203" w14:textId="3AE6377B" w:rsidR="00BE072F" w:rsidRDefault="00BE072F" w:rsidP="00816659">
      <w:pPr>
        <w:widowControl/>
        <w:tabs>
          <w:tab w:val="left" w:pos="1290"/>
        </w:tabs>
        <w:spacing w:after="160" w:line="259" w:lineRule="auto"/>
        <w:jc w:val="both"/>
        <w:rPr>
          <w:sz w:val="24"/>
          <w:szCs w:val="24"/>
        </w:rPr>
      </w:pPr>
      <w:r w:rsidRPr="00BE072F">
        <w:rPr>
          <w:sz w:val="24"/>
          <w:szCs w:val="24"/>
        </w:rPr>
        <w:t xml:space="preserve">LEITE, E. F; ROSA, R. Análise do uso, ocupação e cobertura da terra na bacia hidrográfica do Rio Formiga, Tocantins. </w:t>
      </w:r>
      <w:r w:rsidRPr="00BE072F">
        <w:rPr>
          <w:b/>
          <w:bCs/>
          <w:sz w:val="24"/>
          <w:szCs w:val="24"/>
        </w:rPr>
        <w:t>Observatorium: Revista Eletrônica de Geografia</w:t>
      </w:r>
      <w:r w:rsidRPr="00BE072F">
        <w:rPr>
          <w:sz w:val="24"/>
          <w:szCs w:val="24"/>
        </w:rPr>
        <w:t>, v.4, n.12, p. 90- 106, dez. 2012</w:t>
      </w:r>
      <w:r>
        <w:rPr>
          <w:sz w:val="24"/>
          <w:szCs w:val="24"/>
        </w:rPr>
        <w:t>.</w:t>
      </w:r>
    </w:p>
    <w:p w14:paraId="058D6218" w14:textId="7C49050C" w:rsidR="009E6D96" w:rsidRDefault="002B5D8A" w:rsidP="00816659">
      <w:pPr>
        <w:widowControl/>
        <w:tabs>
          <w:tab w:val="left" w:pos="1290"/>
        </w:tabs>
        <w:spacing w:after="160" w:line="259" w:lineRule="auto"/>
        <w:jc w:val="both"/>
        <w:rPr>
          <w:sz w:val="24"/>
          <w:szCs w:val="24"/>
        </w:rPr>
      </w:pPr>
      <w:r>
        <w:rPr>
          <w:sz w:val="24"/>
          <w:szCs w:val="24"/>
        </w:rPr>
        <w:t xml:space="preserve">MAPBIOMAS- </w:t>
      </w:r>
      <w:r w:rsidR="009E6D96" w:rsidRPr="009E6D96">
        <w:rPr>
          <w:sz w:val="24"/>
          <w:szCs w:val="24"/>
        </w:rPr>
        <w:t>Projeto MapBiomas Alerta – Coleção 2 - Sistema de Validação e Refinamento de Alertas de Desmatamento com Imagens de Alta Resolução</w:t>
      </w:r>
      <w:r w:rsidR="00A91B4A">
        <w:rPr>
          <w:sz w:val="24"/>
          <w:szCs w:val="24"/>
        </w:rPr>
        <w:t xml:space="preserve"> 2020</w:t>
      </w:r>
      <w:r w:rsidR="0044102F">
        <w:rPr>
          <w:sz w:val="24"/>
          <w:szCs w:val="24"/>
        </w:rPr>
        <w:t>.</w:t>
      </w:r>
      <w:r w:rsidR="00256560" w:rsidRPr="00256560">
        <w:t xml:space="preserve"> </w:t>
      </w:r>
      <w:r w:rsidR="00256560">
        <w:t xml:space="preserve">Disponivel: </w:t>
      </w:r>
      <w:r w:rsidR="00256560" w:rsidRPr="00256560">
        <w:rPr>
          <w:sz w:val="24"/>
          <w:szCs w:val="24"/>
        </w:rPr>
        <w:t>http://alerta.mapbiomas.org/metodologia. Acess</w:t>
      </w:r>
      <w:r w:rsidR="00256560">
        <w:rPr>
          <w:sz w:val="24"/>
          <w:szCs w:val="24"/>
        </w:rPr>
        <w:t xml:space="preserve">o </w:t>
      </w:r>
      <w:r w:rsidR="00256560" w:rsidRPr="00256560">
        <w:rPr>
          <w:sz w:val="24"/>
          <w:szCs w:val="24"/>
        </w:rPr>
        <w:t>em 0</w:t>
      </w:r>
      <w:r w:rsidR="00256560">
        <w:rPr>
          <w:sz w:val="24"/>
          <w:szCs w:val="24"/>
        </w:rPr>
        <w:t>3</w:t>
      </w:r>
      <w:r w:rsidR="00256560" w:rsidRPr="00256560">
        <w:rPr>
          <w:sz w:val="24"/>
          <w:szCs w:val="24"/>
        </w:rPr>
        <w:t xml:space="preserve"> de </w:t>
      </w:r>
      <w:r w:rsidR="00256560">
        <w:rPr>
          <w:sz w:val="24"/>
          <w:szCs w:val="24"/>
        </w:rPr>
        <w:t>novembro</w:t>
      </w:r>
      <w:r w:rsidR="00256560" w:rsidRPr="00256560">
        <w:rPr>
          <w:sz w:val="24"/>
          <w:szCs w:val="24"/>
        </w:rPr>
        <w:t xml:space="preserve"> de 202</w:t>
      </w:r>
      <w:r w:rsidR="00256560">
        <w:rPr>
          <w:sz w:val="24"/>
          <w:szCs w:val="24"/>
        </w:rPr>
        <w:t>5</w:t>
      </w:r>
      <w:r w:rsidR="00256560" w:rsidRPr="00256560">
        <w:rPr>
          <w:sz w:val="24"/>
          <w:szCs w:val="24"/>
        </w:rPr>
        <w:t>.</w:t>
      </w:r>
    </w:p>
    <w:p w14:paraId="49AB4C77" w14:textId="3BF34465" w:rsidR="001615D9" w:rsidRPr="0040534B" w:rsidRDefault="00733053" w:rsidP="00816659">
      <w:pPr>
        <w:widowControl/>
        <w:tabs>
          <w:tab w:val="left" w:pos="1290"/>
        </w:tabs>
        <w:spacing w:after="160" w:line="259" w:lineRule="auto"/>
        <w:jc w:val="both"/>
        <w:rPr>
          <w:sz w:val="24"/>
          <w:szCs w:val="24"/>
        </w:rPr>
      </w:pPr>
      <w:r w:rsidRPr="00733053">
        <w:rPr>
          <w:sz w:val="24"/>
          <w:szCs w:val="24"/>
        </w:rPr>
        <w:lastRenderedPageBreak/>
        <w:t xml:space="preserve">PAVÃO, M. </w:t>
      </w:r>
      <w:r w:rsidRPr="00733053">
        <w:rPr>
          <w:b/>
          <w:bCs/>
          <w:sz w:val="24"/>
          <w:szCs w:val="24"/>
        </w:rPr>
        <w:t>Modelagem e análise de mudanças do uso e cobertura da terra no entorno de áreas protegidas: o caso do Parque Estadual da Cantareira</w:t>
      </w:r>
      <w:r w:rsidRPr="00733053">
        <w:rPr>
          <w:sz w:val="24"/>
          <w:szCs w:val="24"/>
        </w:rPr>
        <w:t xml:space="preserve"> – São Paulo. 2017. Tese (Doutorado em Geografia Física) - Faculdade de Filosofia, Letras e Ciências Humanas da Universidade de São Paulo, São Paulo, 2017.</w:t>
      </w:r>
    </w:p>
    <w:p w14:paraId="74D32050" w14:textId="28F745B6" w:rsidR="00DB5854" w:rsidRPr="003949CE" w:rsidRDefault="00DB5854" w:rsidP="003949CE"/>
    <w:sectPr w:rsidR="00DB5854" w:rsidRPr="003949CE" w:rsidSect="005A1575">
      <w:headerReference w:type="default" r:id="rId9"/>
      <w:footerReference w:type="default" r:id="rId10"/>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8FA7" w14:textId="77777777" w:rsidR="00D5160A" w:rsidRDefault="00D5160A" w:rsidP="005A1575">
      <w:r>
        <w:separator/>
      </w:r>
    </w:p>
  </w:endnote>
  <w:endnote w:type="continuationSeparator" w:id="0">
    <w:p w14:paraId="5BE01F77" w14:textId="77777777" w:rsidR="00D5160A" w:rsidRDefault="00D5160A"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5B98" w14:textId="77777777" w:rsidR="00D5160A" w:rsidRDefault="00D5160A" w:rsidP="005A1575">
      <w:r>
        <w:separator/>
      </w:r>
    </w:p>
  </w:footnote>
  <w:footnote w:type="continuationSeparator" w:id="0">
    <w:p w14:paraId="25FEB99F" w14:textId="77777777" w:rsidR="00D5160A" w:rsidRDefault="00D5160A"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02E666AD"/>
    <w:multiLevelType w:val="hybridMultilevel"/>
    <w:tmpl w:val="615EEA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B56D89"/>
    <w:multiLevelType w:val="hybridMultilevel"/>
    <w:tmpl w:val="9842B5E8"/>
    <w:lvl w:ilvl="0" w:tplc="61FA46B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037663"/>
    <w:multiLevelType w:val="multilevel"/>
    <w:tmpl w:val="242065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C140C8"/>
    <w:multiLevelType w:val="hybridMultilevel"/>
    <w:tmpl w:val="40765F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D0414A"/>
    <w:multiLevelType w:val="hybridMultilevel"/>
    <w:tmpl w:val="A3904160"/>
    <w:lvl w:ilvl="0" w:tplc="491AD5D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810EC2"/>
    <w:multiLevelType w:val="hybridMultilevel"/>
    <w:tmpl w:val="7BE6C6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955FB3"/>
    <w:multiLevelType w:val="hybridMultilevel"/>
    <w:tmpl w:val="854EA2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F35FFC"/>
    <w:multiLevelType w:val="hybridMultilevel"/>
    <w:tmpl w:val="624687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F70F22"/>
    <w:multiLevelType w:val="hybridMultilevel"/>
    <w:tmpl w:val="55F611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EA0190"/>
    <w:multiLevelType w:val="hybridMultilevel"/>
    <w:tmpl w:val="55FC22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6408314">
    <w:abstractNumId w:val="0"/>
  </w:num>
  <w:num w:numId="2" w16cid:durableId="1514298478">
    <w:abstractNumId w:val="5"/>
  </w:num>
  <w:num w:numId="3" w16cid:durableId="1586038251">
    <w:abstractNumId w:val="2"/>
  </w:num>
  <w:num w:numId="4" w16cid:durableId="546835994">
    <w:abstractNumId w:val="4"/>
  </w:num>
  <w:num w:numId="5" w16cid:durableId="1825972416">
    <w:abstractNumId w:val="3"/>
  </w:num>
  <w:num w:numId="6" w16cid:durableId="1966421696">
    <w:abstractNumId w:val="10"/>
  </w:num>
  <w:num w:numId="7" w16cid:durableId="297953814">
    <w:abstractNumId w:val="9"/>
  </w:num>
  <w:num w:numId="8" w16cid:durableId="73205847">
    <w:abstractNumId w:val="1"/>
  </w:num>
  <w:num w:numId="9" w16cid:durableId="839663888">
    <w:abstractNumId w:val="6"/>
  </w:num>
  <w:num w:numId="10" w16cid:durableId="2105688743">
    <w:abstractNumId w:val="7"/>
  </w:num>
  <w:num w:numId="11" w16cid:durableId="2076318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353E9"/>
    <w:rsid w:val="00042D7E"/>
    <w:rsid w:val="000436E8"/>
    <w:rsid w:val="00050A98"/>
    <w:rsid w:val="000524CA"/>
    <w:rsid w:val="0007364C"/>
    <w:rsid w:val="00096307"/>
    <w:rsid w:val="000A1B4B"/>
    <w:rsid w:val="000C39E4"/>
    <w:rsid w:val="000C4907"/>
    <w:rsid w:val="000D400D"/>
    <w:rsid w:val="000E6288"/>
    <w:rsid w:val="000F4A3F"/>
    <w:rsid w:val="00112E75"/>
    <w:rsid w:val="00126792"/>
    <w:rsid w:val="001365C6"/>
    <w:rsid w:val="00141175"/>
    <w:rsid w:val="0015498F"/>
    <w:rsid w:val="001615D9"/>
    <w:rsid w:val="00171EB1"/>
    <w:rsid w:val="00177FDF"/>
    <w:rsid w:val="00181193"/>
    <w:rsid w:val="00191957"/>
    <w:rsid w:val="00191F84"/>
    <w:rsid w:val="001D2D91"/>
    <w:rsid w:val="001D4FA5"/>
    <w:rsid w:val="001E464F"/>
    <w:rsid w:val="001E65A0"/>
    <w:rsid w:val="00200411"/>
    <w:rsid w:val="0020578E"/>
    <w:rsid w:val="00205961"/>
    <w:rsid w:val="00214FFB"/>
    <w:rsid w:val="00237C2A"/>
    <w:rsid w:val="00256560"/>
    <w:rsid w:val="00284BBD"/>
    <w:rsid w:val="00292CAB"/>
    <w:rsid w:val="002A39A5"/>
    <w:rsid w:val="002B5D8A"/>
    <w:rsid w:val="002D1672"/>
    <w:rsid w:val="002D311C"/>
    <w:rsid w:val="002F1B70"/>
    <w:rsid w:val="002F3682"/>
    <w:rsid w:val="0031571D"/>
    <w:rsid w:val="00321DA2"/>
    <w:rsid w:val="00330608"/>
    <w:rsid w:val="003351EA"/>
    <w:rsid w:val="00340B04"/>
    <w:rsid w:val="00343E6F"/>
    <w:rsid w:val="00366A5D"/>
    <w:rsid w:val="003815EB"/>
    <w:rsid w:val="00385927"/>
    <w:rsid w:val="003949CE"/>
    <w:rsid w:val="003B50B0"/>
    <w:rsid w:val="003B5AD6"/>
    <w:rsid w:val="003D217B"/>
    <w:rsid w:val="003D3424"/>
    <w:rsid w:val="003D6756"/>
    <w:rsid w:val="003E01E4"/>
    <w:rsid w:val="0040534B"/>
    <w:rsid w:val="0044102F"/>
    <w:rsid w:val="00451CD7"/>
    <w:rsid w:val="00465AA7"/>
    <w:rsid w:val="00473AF4"/>
    <w:rsid w:val="004868DE"/>
    <w:rsid w:val="004A03FE"/>
    <w:rsid w:val="004A54FB"/>
    <w:rsid w:val="004B3806"/>
    <w:rsid w:val="004C7CD0"/>
    <w:rsid w:val="004E409D"/>
    <w:rsid w:val="005026F0"/>
    <w:rsid w:val="00533F2B"/>
    <w:rsid w:val="005517CC"/>
    <w:rsid w:val="0055689A"/>
    <w:rsid w:val="00562573"/>
    <w:rsid w:val="005645FE"/>
    <w:rsid w:val="00572157"/>
    <w:rsid w:val="00580779"/>
    <w:rsid w:val="0059433C"/>
    <w:rsid w:val="005A1575"/>
    <w:rsid w:val="005C0FC5"/>
    <w:rsid w:val="005F28CA"/>
    <w:rsid w:val="0061665D"/>
    <w:rsid w:val="00645BA4"/>
    <w:rsid w:val="00651F4A"/>
    <w:rsid w:val="006F3DF4"/>
    <w:rsid w:val="00715B2B"/>
    <w:rsid w:val="00715E3C"/>
    <w:rsid w:val="00717F8C"/>
    <w:rsid w:val="00733053"/>
    <w:rsid w:val="0074444F"/>
    <w:rsid w:val="0076474D"/>
    <w:rsid w:val="007701A8"/>
    <w:rsid w:val="007815FF"/>
    <w:rsid w:val="00783A0D"/>
    <w:rsid w:val="00784BDA"/>
    <w:rsid w:val="007A3840"/>
    <w:rsid w:val="007B00E2"/>
    <w:rsid w:val="007B7B92"/>
    <w:rsid w:val="00816659"/>
    <w:rsid w:val="00836259"/>
    <w:rsid w:val="0086540F"/>
    <w:rsid w:val="00894626"/>
    <w:rsid w:val="008C3197"/>
    <w:rsid w:val="008F0236"/>
    <w:rsid w:val="00917B11"/>
    <w:rsid w:val="00940DE3"/>
    <w:rsid w:val="00950084"/>
    <w:rsid w:val="009613E3"/>
    <w:rsid w:val="00962C69"/>
    <w:rsid w:val="009649D7"/>
    <w:rsid w:val="00992C4B"/>
    <w:rsid w:val="009E2845"/>
    <w:rsid w:val="009E6D96"/>
    <w:rsid w:val="00A21CB9"/>
    <w:rsid w:val="00A7094E"/>
    <w:rsid w:val="00A821FB"/>
    <w:rsid w:val="00A91B4A"/>
    <w:rsid w:val="00AB47A2"/>
    <w:rsid w:val="00AE0E0E"/>
    <w:rsid w:val="00AF35EB"/>
    <w:rsid w:val="00AF4984"/>
    <w:rsid w:val="00B410B9"/>
    <w:rsid w:val="00B53D18"/>
    <w:rsid w:val="00B7007F"/>
    <w:rsid w:val="00B72511"/>
    <w:rsid w:val="00B8358C"/>
    <w:rsid w:val="00B9102D"/>
    <w:rsid w:val="00BA3C01"/>
    <w:rsid w:val="00BB58E1"/>
    <w:rsid w:val="00BC2EA1"/>
    <w:rsid w:val="00BD5874"/>
    <w:rsid w:val="00BE072F"/>
    <w:rsid w:val="00BF5181"/>
    <w:rsid w:val="00C0663B"/>
    <w:rsid w:val="00C11C12"/>
    <w:rsid w:val="00C62B21"/>
    <w:rsid w:val="00C84377"/>
    <w:rsid w:val="00CB686C"/>
    <w:rsid w:val="00CB6DE3"/>
    <w:rsid w:val="00CC2159"/>
    <w:rsid w:val="00CD4906"/>
    <w:rsid w:val="00CE2B1C"/>
    <w:rsid w:val="00D16284"/>
    <w:rsid w:val="00D16788"/>
    <w:rsid w:val="00D4312A"/>
    <w:rsid w:val="00D5160A"/>
    <w:rsid w:val="00D51BF2"/>
    <w:rsid w:val="00D54DCF"/>
    <w:rsid w:val="00D62CCB"/>
    <w:rsid w:val="00D74BCA"/>
    <w:rsid w:val="00DA1847"/>
    <w:rsid w:val="00DB5854"/>
    <w:rsid w:val="00DC6A93"/>
    <w:rsid w:val="00DE0067"/>
    <w:rsid w:val="00DE04D3"/>
    <w:rsid w:val="00DF090F"/>
    <w:rsid w:val="00DF2032"/>
    <w:rsid w:val="00DF570C"/>
    <w:rsid w:val="00E31318"/>
    <w:rsid w:val="00E32791"/>
    <w:rsid w:val="00E41746"/>
    <w:rsid w:val="00E54978"/>
    <w:rsid w:val="00E6031B"/>
    <w:rsid w:val="00E85FEE"/>
    <w:rsid w:val="00EE062B"/>
    <w:rsid w:val="00F05768"/>
    <w:rsid w:val="00F100FC"/>
    <w:rsid w:val="00F154F5"/>
    <w:rsid w:val="00F37073"/>
    <w:rsid w:val="00F46632"/>
    <w:rsid w:val="00F75EF9"/>
    <w:rsid w:val="00F94073"/>
    <w:rsid w:val="00F948A7"/>
    <w:rsid w:val="00FE6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2D311C"/>
    <w:rPr>
      <w:color w:val="0000FF" w:themeColor="hyperlink"/>
      <w:u w:val="single"/>
    </w:rPr>
  </w:style>
  <w:style w:type="character" w:styleId="MenoPendente">
    <w:name w:val="Unresolved Mention"/>
    <w:basedOn w:val="Fontepargpadro"/>
    <w:uiPriority w:val="99"/>
    <w:semiHidden/>
    <w:unhideWhenUsed/>
    <w:rsid w:val="002D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3888">
      <w:bodyDiv w:val="1"/>
      <w:marLeft w:val="0"/>
      <w:marRight w:val="0"/>
      <w:marTop w:val="0"/>
      <w:marBottom w:val="0"/>
      <w:divBdr>
        <w:top w:val="none" w:sz="0" w:space="0" w:color="auto"/>
        <w:left w:val="none" w:sz="0" w:space="0" w:color="auto"/>
        <w:bottom w:val="none" w:sz="0" w:space="0" w:color="auto"/>
        <w:right w:val="none" w:sz="0" w:space="0" w:color="auto"/>
      </w:divBdr>
    </w:div>
    <w:div w:id="83611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8c414dfdc1e75b2/Documentos/Doutorado/projeto/dados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3648293963254"/>
          <c:y val="0.17171296296296296"/>
          <c:w val="0.83436351706036749"/>
          <c:h val="0.72125801983085447"/>
        </c:manualLayout>
      </c:layout>
      <c:scatterChart>
        <c:scatterStyle val="lineMarker"/>
        <c:varyColors val="0"/>
        <c:ser>
          <c:idx val="0"/>
          <c:order val="0"/>
          <c:tx>
            <c:strRef>
              <c:f>Planilha1!$B$1</c:f>
              <c:strCache>
                <c:ptCount val="1"/>
                <c:pt idx="0">
                  <c:v>área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Planilha1!$A$2:$A$7</c:f>
              <c:numCache>
                <c:formatCode>General</c:formatCode>
                <c:ptCount val="6"/>
                <c:pt idx="0">
                  <c:v>2019</c:v>
                </c:pt>
                <c:pt idx="1">
                  <c:v>2020</c:v>
                </c:pt>
                <c:pt idx="2">
                  <c:v>2021</c:v>
                </c:pt>
                <c:pt idx="3">
                  <c:v>2022</c:v>
                </c:pt>
                <c:pt idx="4">
                  <c:v>2023</c:v>
                </c:pt>
                <c:pt idx="5">
                  <c:v>2024</c:v>
                </c:pt>
              </c:numCache>
            </c:numRef>
          </c:xVal>
          <c:yVal>
            <c:numRef>
              <c:f>Planilha1!$B$2:$B$7</c:f>
              <c:numCache>
                <c:formatCode>#,##0</c:formatCode>
                <c:ptCount val="6"/>
                <c:pt idx="0">
                  <c:v>300256</c:v>
                </c:pt>
                <c:pt idx="1">
                  <c:v>385851</c:v>
                </c:pt>
                <c:pt idx="2">
                  <c:v>469622</c:v>
                </c:pt>
                <c:pt idx="3">
                  <c:v>487422</c:v>
                </c:pt>
                <c:pt idx="4">
                  <c:v>184674</c:v>
                </c:pt>
                <c:pt idx="5">
                  <c:v>156990</c:v>
                </c:pt>
              </c:numCache>
            </c:numRef>
          </c:yVal>
          <c:smooth val="0"/>
          <c:extLst>
            <c:ext xmlns:c16="http://schemas.microsoft.com/office/drawing/2014/chart" uri="{C3380CC4-5D6E-409C-BE32-E72D297353CC}">
              <c16:uniqueId val="{00000000-48D1-4135-A273-730366D1C6EF}"/>
            </c:ext>
          </c:extLst>
        </c:ser>
        <c:dLbls>
          <c:dLblPos val="t"/>
          <c:showLegendKey val="0"/>
          <c:showVal val="1"/>
          <c:showCatName val="0"/>
          <c:showSerName val="0"/>
          <c:showPercent val="0"/>
          <c:showBubbleSize val="0"/>
        </c:dLbls>
        <c:axId val="1849538527"/>
        <c:axId val="1849539487"/>
      </c:scatterChart>
      <c:valAx>
        <c:axId val="1849538527"/>
        <c:scaling>
          <c:orientation val="minMax"/>
          <c:max val="2024"/>
          <c:min val="2019"/>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b="1"/>
                  <a:t>Ano</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849539487"/>
        <c:crosses val="autoZero"/>
        <c:crossBetween val="midCat"/>
        <c:majorUnit val="1"/>
      </c:valAx>
      <c:valAx>
        <c:axId val="1849539487"/>
        <c:scaling>
          <c:orientation val="minMax"/>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b="1"/>
                  <a:t>Área (hectares)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849538527"/>
        <c:crossesAt val="2019"/>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1534</Words>
  <Characters>8422</Characters>
  <Application>Microsoft Office Word</Application>
  <DocSecurity>0</DocSecurity>
  <Lines>161</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Daiza Alves</cp:lastModifiedBy>
  <cp:revision>2</cp:revision>
  <dcterms:created xsi:type="dcterms:W3CDTF">2025-11-05T15:02:00Z</dcterms:created>
  <dcterms:modified xsi:type="dcterms:W3CDTF">2025-11-05T15:02:00Z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