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59" w:right="269"/>
      </w:pPr>
      <w:r>
        <w:rPr>
          <w:rFonts w:cs="Arial" w:hAnsi="Arial" w:eastAsia="Arial" w:ascii="Arial"/>
          <w:b/>
          <w:sz w:val="24"/>
          <w:szCs w:val="24"/>
        </w:rPr>
        <w:t>DISTRIBUIÇÃO INADEQUADA DE TAREFAS: OCIOSIDADE E SOBRECARGA</w:t>
      </w:r>
      <w:r>
        <w:rPr>
          <w:rFonts w:cs="Arial" w:hAnsi="Arial" w:eastAsia="Arial" w:ascii="Arial"/>
          <w:b/>
          <w:sz w:val="24"/>
          <w:szCs w:val="24"/>
        </w:rPr>
        <w:t> PROFISSIONAL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997"/>
      </w:pPr>
      <w:r>
        <w:rPr>
          <w:rFonts w:cs="Arial" w:hAnsi="Arial" w:eastAsia="Arial" w:ascii="Arial"/>
          <w:sz w:val="24"/>
          <w:szCs w:val="24"/>
        </w:rPr>
        <w:t>Samuel Alves Pereira¹, Saulo Henrique Alves dos Santos²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69"/>
      </w:pPr>
      <w:r>
        <w:rPr>
          <w:rFonts w:cs="Arial" w:hAnsi="Arial" w:eastAsia="Arial" w:ascii="Arial"/>
          <w:sz w:val="24"/>
          <w:szCs w:val="24"/>
        </w:rPr>
        <w:t>Dentro  de  uma  determinada  </w:t>
      </w:r>
      <w:r>
        <w:rPr>
          <w:rFonts w:cs="Arial" w:hAnsi="Arial" w:eastAsia="Arial" w:ascii="Arial"/>
          <w:i/>
          <w:sz w:val="24"/>
          <w:szCs w:val="24"/>
        </w:rPr>
        <w:t>empresa  </w:t>
      </w:r>
      <w:r>
        <w:rPr>
          <w:rFonts w:cs="Arial" w:hAnsi="Arial" w:eastAsia="Arial" w:ascii="Arial"/>
          <w:sz w:val="24"/>
          <w:szCs w:val="24"/>
        </w:rPr>
        <w:t>do  ramo  de  agronegócio  da  região  de</w:t>
      </w:r>
      <w:r>
        <w:rPr>
          <w:rFonts w:cs="Arial" w:hAnsi="Arial" w:eastAsia="Arial" w:ascii="Arial"/>
          <w:sz w:val="24"/>
          <w:szCs w:val="24"/>
        </w:rPr>
        <w:t> Goianésia, assim como em geral, objetivos precisam ser alcançados. Para que isso</w:t>
      </w:r>
      <w:r>
        <w:rPr>
          <w:rFonts w:cs="Arial" w:hAnsi="Arial" w:eastAsia="Arial" w:ascii="Arial"/>
          <w:sz w:val="24"/>
          <w:szCs w:val="24"/>
        </w:rPr>
        <w:t> aconteça, tal instituição deve seguir uma série de fatores que possam ajudar em tais</w:t>
      </w:r>
      <w:r>
        <w:rPr>
          <w:rFonts w:cs="Arial" w:hAnsi="Arial" w:eastAsia="Arial" w:ascii="Arial"/>
          <w:sz w:val="24"/>
          <w:szCs w:val="24"/>
        </w:rPr>
        <w:t> objetivos. É de suma importância uma adequada distribuição de tarefas do quadro</w:t>
      </w:r>
      <w:r>
        <w:rPr>
          <w:rFonts w:cs="Arial" w:hAnsi="Arial" w:eastAsia="Arial" w:ascii="Arial"/>
          <w:sz w:val="24"/>
          <w:szCs w:val="24"/>
        </w:rPr>
        <w:t> de profissionais, evitando desconfortos, sobrecarga ou ociosidade. O presente texto</w:t>
      </w:r>
      <w:r>
        <w:rPr>
          <w:rFonts w:cs="Arial" w:hAnsi="Arial" w:eastAsia="Arial" w:ascii="Arial"/>
          <w:sz w:val="24"/>
          <w:szCs w:val="24"/>
        </w:rPr>
        <w:t> tem  como  objetivo  debater  os  problemas  de  sobrecarregar  colaboradores  de  uma</w:t>
      </w:r>
      <w:r>
        <w:rPr>
          <w:rFonts w:cs="Arial" w:hAnsi="Arial" w:eastAsia="Arial" w:ascii="Arial"/>
          <w:sz w:val="24"/>
          <w:szCs w:val="24"/>
        </w:rPr>
        <w:t> determinada   </w:t>
      </w:r>
      <w:r>
        <w:rPr>
          <w:rFonts w:cs="Arial" w:hAnsi="Arial" w:eastAsia="Arial" w:ascii="Arial"/>
          <w:i/>
          <w:sz w:val="24"/>
          <w:szCs w:val="24"/>
        </w:rPr>
        <w:t>empresa   </w:t>
      </w:r>
      <w:r>
        <w:rPr>
          <w:rFonts w:cs="Arial" w:hAnsi="Arial" w:eastAsia="Arial" w:ascii="Arial"/>
          <w:sz w:val="24"/>
          <w:szCs w:val="24"/>
        </w:rPr>
        <w:t>e   usar   tal   conhecimento   de   campo   para   aplicações</w:t>
      </w:r>
      <w:r>
        <w:rPr>
          <w:rFonts w:cs="Arial" w:hAnsi="Arial" w:eastAsia="Arial" w:ascii="Arial"/>
          <w:sz w:val="24"/>
          <w:szCs w:val="24"/>
        </w:rPr>
        <w:t> acadêmicas. Como metodologia utilizou-se da pesquisa de campo realizada dentro</w:t>
      </w:r>
      <w:r>
        <w:rPr>
          <w:rFonts w:cs="Arial" w:hAnsi="Arial" w:eastAsia="Arial" w:ascii="Arial"/>
          <w:sz w:val="24"/>
          <w:szCs w:val="24"/>
        </w:rPr>
        <w:t> de uma determinada </w:t>
      </w:r>
      <w:r>
        <w:rPr>
          <w:rFonts w:cs="Arial" w:hAnsi="Arial" w:eastAsia="Arial" w:ascii="Arial"/>
          <w:i/>
          <w:sz w:val="24"/>
          <w:szCs w:val="24"/>
        </w:rPr>
        <w:t>empresa </w:t>
      </w:r>
      <w:r>
        <w:rPr>
          <w:rFonts w:cs="Arial" w:hAnsi="Arial" w:eastAsia="Arial" w:ascii="Arial"/>
          <w:sz w:val="24"/>
          <w:szCs w:val="24"/>
        </w:rPr>
        <w:t>da região, tal como seu dia-a-dia e objetivos, fazendo</w:t>
      </w:r>
      <w:r>
        <w:rPr>
          <w:rFonts w:cs="Arial" w:hAnsi="Arial" w:eastAsia="Arial" w:ascii="Arial"/>
          <w:sz w:val="24"/>
          <w:szCs w:val="24"/>
        </w:rPr>
        <w:t> comparação com os métodos cientificamente abordados dentro dos conceitos gerais</w:t>
      </w:r>
      <w:r>
        <w:rPr>
          <w:rFonts w:cs="Arial" w:hAnsi="Arial" w:eastAsia="Arial" w:ascii="Arial"/>
          <w:sz w:val="24"/>
          <w:szCs w:val="24"/>
        </w:rPr>
        <w:t> da administração. De acordo com os resultados alcançados pela pesquisa, empresa</w:t>
      </w:r>
      <w:r>
        <w:rPr>
          <w:rFonts w:cs="Arial" w:hAnsi="Arial" w:eastAsia="Arial" w:ascii="Arial"/>
          <w:sz w:val="24"/>
          <w:szCs w:val="24"/>
        </w:rPr>
        <w:t> em questão apresenta poucos casos de sobrecarga profissional </w:t>
      </w:r>
      <w:r>
        <w:rPr>
          <w:rFonts w:cs="Arial" w:hAnsi="Arial" w:eastAsia="Arial" w:ascii="Arial"/>
          <w:sz w:val="24"/>
          <w:szCs w:val="24"/>
        </w:rPr>
        <w:t>– </w:t>
      </w:r>
      <w:r>
        <w:rPr>
          <w:rFonts w:cs="Arial" w:hAnsi="Arial" w:eastAsia="Arial" w:ascii="Arial"/>
          <w:sz w:val="24"/>
          <w:szCs w:val="24"/>
        </w:rPr>
        <w:t>com a ociosidade</w:t>
      </w:r>
      <w:r>
        <w:rPr>
          <w:rFonts w:cs="Arial" w:hAnsi="Arial" w:eastAsia="Arial" w:ascii="Arial"/>
          <w:sz w:val="24"/>
          <w:szCs w:val="24"/>
        </w:rPr>
        <w:t> em contrapartida </w:t>
      </w:r>
      <w:r>
        <w:rPr>
          <w:rFonts w:cs="Arial" w:hAnsi="Arial" w:eastAsia="Arial" w:ascii="Arial"/>
          <w:sz w:val="24"/>
          <w:szCs w:val="24"/>
        </w:rPr>
        <w:t>– </w:t>
      </w:r>
      <w:r>
        <w:rPr>
          <w:rFonts w:cs="Arial" w:hAnsi="Arial" w:eastAsia="Arial" w:ascii="Arial"/>
          <w:sz w:val="24"/>
          <w:szCs w:val="24"/>
        </w:rPr>
        <w:t>mas ainda assim os têm. É mais comum que os cargos de menor</w:t>
      </w:r>
      <w:r>
        <w:rPr>
          <w:rFonts w:cs="Arial" w:hAnsi="Arial" w:eastAsia="Arial" w:ascii="Arial"/>
          <w:sz w:val="24"/>
          <w:szCs w:val="24"/>
        </w:rPr>
        <w:t> expressão  estejam  mais  ocupados  com  pequenas  atividades  que,  ao  somadas,</w:t>
      </w:r>
      <w:r>
        <w:rPr>
          <w:rFonts w:cs="Arial" w:hAnsi="Arial" w:eastAsia="Arial" w:ascii="Arial"/>
          <w:sz w:val="24"/>
          <w:szCs w:val="24"/>
        </w:rPr>
        <w:t> tomam proporções desiguais. A ociosidade pouco sentida por esses, fica por conta</w:t>
      </w:r>
      <w:r>
        <w:rPr>
          <w:rFonts w:cs="Arial" w:hAnsi="Arial" w:eastAsia="Arial" w:ascii="Arial"/>
          <w:sz w:val="24"/>
          <w:szCs w:val="24"/>
        </w:rPr>
        <w:t> de outros que têm suas atividades resumidas e raramente mudam o foco. Á mérito</w:t>
      </w:r>
      <w:r>
        <w:rPr>
          <w:rFonts w:cs="Arial" w:hAnsi="Arial" w:eastAsia="Arial" w:ascii="Arial"/>
          <w:sz w:val="24"/>
          <w:szCs w:val="24"/>
        </w:rPr>
        <w:t> de conclusão, afirma-se que de forma direta e indireta, a sobrecarga profissional </w:t>
      </w:r>
      <w:r>
        <w:rPr>
          <w:rFonts w:cs="Arial" w:hAnsi="Arial" w:eastAsia="Arial" w:ascii="Arial"/>
          <w:sz w:val="24"/>
          <w:szCs w:val="24"/>
        </w:rPr>
        <w:t>–</w:t>
      </w:r>
      <w:r>
        <w:rPr>
          <w:rFonts w:cs="Arial" w:hAnsi="Arial" w:eastAsia="Arial" w:ascii="Arial"/>
          <w:sz w:val="24"/>
          <w:szCs w:val="24"/>
        </w:rPr>
        <w:t> </w:t>
      </w:r>
      <w:r>
        <w:rPr>
          <w:rFonts w:cs="Arial" w:hAnsi="Arial" w:eastAsia="Arial" w:ascii="Arial"/>
          <w:sz w:val="24"/>
          <w:szCs w:val="24"/>
        </w:rPr>
        <w:t>que leva a ociosidade de outros como consequência </w:t>
      </w:r>
      <w:r>
        <w:rPr>
          <w:rFonts w:cs="Arial" w:hAnsi="Arial" w:eastAsia="Arial" w:ascii="Arial"/>
          <w:sz w:val="24"/>
          <w:szCs w:val="24"/>
        </w:rPr>
        <w:t>– </w:t>
      </w:r>
      <w:r>
        <w:rPr>
          <w:rFonts w:cs="Arial" w:hAnsi="Arial" w:eastAsia="Arial" w:ascii="Arial"/>
          <w:sz w:val="24"/>
          <w:szCs w:val="24"/>
        </w:rPr>
        <w:t>prejudica no material final da</w:t>
      </w:r>
      <w:r>
        <w:rPr>
          <w:rFonts w:cs="Arial" w:hAnsi="Arial" w:eastAsia="Arial" w:ascii="Arial"/>
          <w:sz w:val="24"/>
          <w:szCs w:val="24"/>
        </w:rPr>
        <w:t> </w:t>
      </w:r>
      <w:r>
        <w:rPr>
          <w:rFonts w:cs="Arial" w:hAnsi="Arial" w:eastAsia="Arial" w:ascii="Arial"/>
          <w:i/>
          <w:sz w:val="24"/>
          <w:szCs w:val="24"/>
        </w:rPr>
        <w:t>empresa</w:t>
      </w:r>
      <w:r>
        <w:rPr>
          <w:rFonts w:cs="Arial" w:hAnsi="Arial" w:eastAsia="Arial" w:ascii="Arial"/>
          <w:sz w:val="24"/>
          <w:szCs w:val="24"/>
        </w:rPr>
        <w:t>, assim como na maioria das instituições. Apesar de pouco sentido, esse é</w:t>
      </w:r>
      <w:r>
        <w:rPr>
          <w:rFonts w:cs="Arial" w:hAnsi="Arial" w:eastAsia="Arial" w:ascii="Arial"/>
          <w:sz w:val="24"/>
          <w:szCs w:val="24"/>
        </w:rPr>
        <w:t> um problema que precisa ser tratado, justamente como a </w:t>
      </w:r>
      <w:r>
        <w:rPr>
          <w:rFonts w:cs="Arial" w:hAnsi="Arial" w:eastAsia="Arial" w:ascii="Arial"/>
          <w:i/>
          <w:sz w:val="24"/>
          <w:szCs w:val="24"/>
        </w:rPr>
        <w:t>empresa </w:t>
      </w:r>
      <w:r>
        <w:rPr>
          <w:rFonts w:cs="Arial" w:hAnsi="Arial" w:eastAsia="Arial" w:ascii="Arial"/>
          <w:sz w:val="24"/>
          <w:szCs w:val="24"/>
        </w:rPr>
        <w:t>observada busca</w:t>
      </w:r>
      <w:r>
        <w:rPr>
          <w:rFonts w:cs="Arial" w:hAnsi="Arial" w:eastAsia="Arial" w:ascii="Arial"/>
          <w:sz w:val="24"/>
          <w:szCs w:val="24"/>
        </w:rPr>
        <w:t> fazer.  O  ambiente  de trabalho,  bem  como  o processo  e o  resultado  tendem  a  ser</w:t>
      </w:r>
      <w:r>
        <w:rPr>
          <w:rFonts w:cs="Arial" w:hAnsi="Arial" w:eastAsia="Arial" w:ascii="Arial"/>
          <w:sz w:val="24"/>
          <w:szCs w:val="24"/>
        </w:rPr>
        <w:t> melhorados  quando  há  distribuição  e  valorização  adequada  e  proporcional  para</w:t>
      </w:r>
      <w:r>
        <w:rPr>
          <w:rFonts w:cs="Arial" w:hAnsi="Arial" w:eastAsia="Arial" w:ascii="Arial"/>
          <w:sz w:val="24"/>
          <w:szCs w:val="24"/>
        </w:rPr>
        <w:t> cada uma das atividades.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6"/>
      </w:pPr>
      <w:r>
        <w:rPr>
          <w:rFonts w:cs="Arial" w:hAnsi="Arial" w:eastAsia="Arial" w:ascii="Arial"/>
          <w:b/>
          <w:sz w:val="24"/>
          <w:szCs w:val="24"/>
        </w:rPr>
        <w:t>Palavras-chave: </w:t>
      </w:r>
      <w:r>
        <w:rPr>
          <w:rFonts w:cs="Arial" w:hAnsi="Arial" w:eastAsia="Arial" w:ascii="Arial"/>
          <w:sz w:val="24"/>
          <w:szCs w:val="24"/>
        </w:rPr>
        <w:t>Distribuição Inadequada, Ociosidade no Trabalho, Sobrecarga no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 w:lineRule="exact" w:line="260"/>
        <w:ind w:left="102" w:right="8200"/>
      </w:pPr>
      <w:r>
        <w:rPr>
          <w:rFonts w:cs="Arial" w:hAnsi="Arial" w:eastAsia="Arial" w:ascii="Arial"/>
          <w:position w:val="-1"/>
          <w:sz w:val="24"/>
          <w:szCs w:val="24"/>
        </w:rPr>
        <w:t>Trabalho</w:t>
      </w:r>
      <w:r>
        <w:rPr>
          <w:rFonts w:cs="Arial" w:hAnsi="Arial" w:eastAsia="Arial" w:ascii="Arial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Arial" w:hAnsi="Arial" w:eastAsia="Arial" w:ascii="Arial"/>
          <w:w w:val="99"/>
          <w:sz w:val="20"/>
          <w:szCs w:val="20"/>
        </w:rPr>
        <w:t>¹Samuel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Alves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Pereira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–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Acadêmico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curso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Administração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pela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Universidade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Estadual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Goiás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Arial" w:hAnsi="Arial" w:eastAsia="Arial" w:ascii="Arial"/>
          <w:w w:val="99"/>
          <w:sz w:val="20"/>
          <w:szCs w:val="20"/>
        </w:rPr>
        <w:t>(Goianésia);samuekaalves2017@gmail.com.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w w:val="99"/>
          <w:sz w:val="20"/>
          <w:szCs w:val="20"/>
        </w:rPr>
        <w:t>²Saulo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Henrique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Alves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dos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Santos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–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Professor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Orientador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curso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Administração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pela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w w:val="99"/>
          <w:sz w:val="20"/>
          <w:szCs w:val="20"/>
        </w:rPr>
        <w:t>Universidade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Estadual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Goiás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(Goianésia);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profsaulo123@gmail.com.</w:t>
      </w:r>
      <w:r>
        <w:rPr>
          <w:rFonts w:cs="Arial" w:hAnsi="Arial" w:eastAsia="Arial" w:ascii="Arial"/>
          <w:w w:val="100"/>
          <w:sz w:val="20"/>
          <w:szCs w:val="20"/>
        </w:rPr>
      </w:r>
    </w:p>
    <w:sectPr>
      <w:type w:val="continuous"/>
      <w:pgSz w:w="11920" w:h="16840"/>
      <w:pgMar w:top="1560" w:bottom="280" w:left="160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