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</w:rPr>
      </w:pPr>
      <w:r>
        <w:rPr>
          <w:color w:val="000000"/>
        </w:rPr>
        <w:drawing>
          <wp:inline distT="0" distB="0" distL="0" distR="0">
            <wp:extent cx="5400040" cy="1771650"/>
            <wp:effectExtent l="0" t="0" r="1016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jc w:val="right"/>
        <w:rPr>
          <w:rFonts w:ascii="Times New Roman" w:hAnsi="Times New Roman" w:eastAsia="Times New Roman" w:cs="Times New Roman"/>
        </w:rPr>
      </w:pPr>
    </w:p>
    <w:p>
      <w:pPr>
        <w:spacing w:line="360" w:lineRule="auto"/>
        <w:ind w:left="240" w:leftChars="10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QUEM TEM FOME TEM PRESSA: A ALIMENTAÇÃO ESCOLAR NO     CONTEXTO DE PÓS-PANDEMIA NO MUNICÍPIO DE SÃO GONÇALO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</w:rPr>
      </w:pPr>
    </w:p>
    <w:p>
      <w:pPr>
        <w:spacing w:line="360" w:lineRule="auto"/>
        <w:ind w:firstLine="3840" w:firstLineChars="16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Viviane Neve Fialho Pedagogia e IC UERJ/FFP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Maria Tereza Goudard Tavares-UERJ/PPGedu 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I- A EDUCAÇÃO INFANTIL EM SÃO GONÇALO NO CONTEXTO DE PÓS PANDEMIA DA COVID-19</w:t>
      </w:r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 presente trabalho, resultante de uma pesquisa em desenvolvimento, realizada no âmbito de um projeto de Iniciação Científica objetiva compreender a Educação Infantil gonçalense no contexto pós-pandêmico, levando em consideração o caráter transdisciplinar e complexo que a tríade infância, cidade e escola mobiliza no campo das relações entre Direitos, Políticas e Desigualdades (Leher, 2023) no país. Assim, ao pensarmos os estudos e pesquisas realizadas pelo Grupo de pesquisa Infâncias, Formação de Professores/as e Diversidade Cultural (GIFORDIC) na temporalidade de quase duas décadas de estudos e pesquisas na cidade de São Gonçalo/RJ, torna-se importante destacar a ênfase dada às relações entre educação da(s) Infância(s) e o direito à cidade, no qual procuramos dilatar a escala do lugar, do território vivido como um campo privilegiado de estudos e pesquisas acerca dos fatores macro e microssociológicos que tensionam a questão dos direitos de crianças pequenas à Educação Infantil, bem como o direito de serem acolhidas e protegidas como </w:t>
      </w:r>
      <w:r>
        <w:rPr>
          <w:rFonts w:ascii="Times New Roman" w:hAnsi="Times New Roman" w:eastAsia="Times New Roman" w:cs="Times New Roman"/>
          <w:i/>
        </w:rPr>
        <w:t xml:space="preserve">recém-chegadas </w:t>
      </w:r>
      <w:r>
        <w:rPr>
          <w:rFonts w:ascii="Times New Roman" w:hAnsi="Times New Roman" w:eastAsia="Times New Roman" w:cs="Times New Roman"/>
        </w:rPr>
        <w:t xml:space="preserve">em São Gonçalo, cidade com mais de um milhão de  habitantes, localizada no Leste Fluminense do Estado do Rio de Janeiro(Tavares, 2019). Do ponto de vista teórico-metodológico, trata-se de uma pesquisa qualitativa, de cunho participativo, fundamentado em procedimentos tais como, entrevistas, análise documental e de políticas públicas implementadas no Município. Nesse sentido, a dimensão política epistêmica de investigar a cidade de São Gonçalo, tomando-a como densidade analítica e compreensiva de processos educativos de crianças pequenas, nos leva a um diálogo com Santos (1994) que, em sua formulação teórica a respeito de sua </w:t>
      </w:r>
      <w:r>
        <w:rPr>
          <w:rFonts w:ascii="Times New Roman" w:hAnsi="Times New Roman" w:eastAsia="Times New Roman" w:cs="Times New Roman"/>
          <w:i/>
        </w:rPr>
        <w:t>epistemologia existencial</w:t>
      </w:r>
      <w:r>
        <w:rPr>
          <w:rFonts w:ascii="Times New Roman" w:hAnsi="Times New Roman" w:eastAsia="Times New Roman" w:cs="Times New Roman"/>
        </w:rPr>
        <w:t xml:space="preserve">, nos instiga a realizar o exercício de estudar o que cada lugar tem de singular, de específico, de diferente e original, visando compreender como os sujeitos agem e produzem modos de vida, relações e práticas sociais, dentre elas o direito à educação e à cidade ( Tavares, 2016).   Vale afirmar que o avanço na oferta quantitativa da Educação Infantil, primeira etapa da Educação Básica em São Gonçalo, não foi capaz de expandir a quantidade de matrículas na rede pública, nem  foi capaz de superar a dualidade quantidade-qualidade como uma das expressões da </w:t>
      </w:r>
      <w:r>
        <w:rPr>
          <w:rFonts w:ascii="Times New Roman" w:hAnsi="Times New Roman" w:eastAsia="Times New Roman" w:cs="Times New Roman"/>
          <w:i/>
        </w:rPr>
        <w:t>inclusão degradada</w:t>
      </w:r>
      <w:r>
        <w:rPr>
          <w:rFonts w:ascii="Times New Roman" w:hAnsi="Times New Roman" w:eastAsia="Times New Roman" w:cs="Times New Roman"/>
        </w:rPr>
        <w:t xml:space="preserve"> (Leher, 2023) de crianças de 0 a 6 anos, das classes populares no equipamentos educacionais, creches e pré-escolas disponíveis, especialmente no período de 2016 a 2022, de intensos retrocessos políticos, econômicos e sociais, bem como às eleições de 2018, que demarcaram o retorno do conservadorismo e a retirada dos direitos sociais, somados a profunda crise sociossanitária da pandemia da Covid-19 no país.  Deste modo, reafirmado principalmente, o nosso diálogo com obras de Paulo Freire e Milton Santos, ressaltamos que delimitar um campo de estudos e suas possíveis configurações e interseções não é uma tarefa fácil, requerendo uma razoável capacidade político-epistemológica para focar questões mais candentes da temática investigada.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Para a estruturação mais geral do artigo, optamos por enfocar algumas questões que dizem respeito à tríade infância, cidade e escola em tempos de pós-pandemia da Covid-19, dialogando, principalmente, com o trabalho de Iniciação Científica de Fialho  (2023), que vem  aprofundando o direito à alimentação escolar das crianças de 0 a 5 anos no município de São Gonçalo, a partir de um </w:t>
      </w:r>
      <w:r>
        <w:rPr>
          <w:rFonts w:ascii="Times New Roman" w:hAnsi="Times New Roman" w:eastAsia="Times New Roman" w:cs="Times New Roman"/>
          <w:i/>
        </w:rPr>
        <w:t>mergulho</w:t>
      </w:r>
      <w:r>
        <w:rPr>
          <w:rFonts w:ascii="Times New Roman" w:hAnsi="Times New Roman" w:eastAsia="Times New Roman" w:cs="Times New Roman"/>
        </w:rPr>
        <w:t xml:space="preserve">  na questão da alimentação escolar em Unidades Municipais de Educação Infantil (UMEIS) na cidade, sobretudo a partir de um diálogo com a equipe de Nutrição Escolar da Secretaria Municipal de Educação de São Gonçalo, buscando investigar e problematizar alguns elementos referentes à questão da alimentação escolar no período de pandemia e pós pandemia e seus impactos no desenvolvimento integral das crianças de 0 a 5 anos no município.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II-QUEM TEM FOME TEM PRESSA</w:t>
      </w:r>
      <w:r>
        <w:rPr>
          <w:rFonts w:ascii="Times New Roman" w:hAnsi="Times New Roman" w:eastAsia="Times New Roman" w:cs="Times New Roman"/>
        </w:rPr>
        <w:t xml:space="preserve">: O PROGRAMA NACIONAL DE ALIMENTAÇÃO ESCOLAR (PNAE) EM SÃO GONÇALO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O Programa Nacional de Alimentação Escolar (PNAE), popularmente conhecido como merenda escolar, é gerenciado pelo Fundo Nacional de Desenvolvimento da Educação (FNDE) e visa à transferência, em caráter suplementar, de recursos financeiros aos estados, ao Distrito Federal e aos municípios destinados a suprir, parcialmente, as necessidades nutricionais dos alunos e de garantia do direito humano à alimentação e nutrição adequada (Dhana).  É considerado um dos maiores programas na área de alimentação escolar no mundo e é o único com atendimento universalizado criado com o propósito de contribuir para o crescimento e desenvolvimento biopsicossocial, a aprendizagem, o rendimento escolar e a formação de hábitos saudáveis das crianças.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A alimentação escolar é definida de acordo com as etapas atendidas através dos cardápios. Cada faixa etária tem o seu cardápio organizado pela Secretaria de educação através de uma nutricionista chamada R.T. (responsável técnica), após ser feito é apresentado ao CAE - Conselho de Alimentação Escolar e o mesmo fiscaliza junto às Unidades Escolares.  Historicamente, a merenda escolar tem um papel fundamental para garantir a  segurança alimentar de crianças em situação de vulnerabilidade social. Existem crianças que vão para a escola, principalmente, por causa da merenda escolar, tendo em vista a pobreza extrema de suas famílias (Fialho, 2023)</w:t>
      </w:r>
      <w:r>
        <w:rPr>
          <w:rFonts w:ascii="Times New Roman" w:hAnsi="Times New Roman" w:eastAsia="Times New Roman" w:cs="Times New Roman"/>
          <w:b/>
        </w:rPr>
        <w:t>.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No ano de 2020, com o início da pandemia de Covid-19 e a suspensão do ensino presencial, a prefeitura de São Gonçalo entregou kits-alimentação, no valor de R$39,10, para atender as necessidades dos alunos durante o período de aulas remotas. No entanto, houve a tentativa de substituir o kit-alimentação por um cartão-alimentação para dar mais praticidade à ação. Apesar disso, mães com filhos matriculados na rede municipal enfrentaram dificuldades para ter acesso ao dinheiro. Além do atraso, nos casos de alunos que são irmãos, a prefeitura depositou o valor referente a apenas uma criança.  A qualidade nutricional dos kits/ cestas de alimentação não estavam de acordo com o que preconiza o PNAE, não distribuíam os alimentos de forma regular, com qualidade e a todos os estudantes, além de ter suspendido a compra de alimentos oriundos da agricultura familiar. Segundo falas de famílias ao jornal O SÃO GONÇALO (2021), relatam que o kit-alimentação tem poucos itens, mas ajudou bastante, durante o período de isolamento social, já que as coisas ficaram muito caras, principalmente a alimentação nossa do dia a dia, como arroz, feijão e o óleo. “Na escola, antes da pandemia, era oferecida uma alimentação variada e, após a pandemia, recebemos uma cesta com poucos alimentos” (fala de uma das mães ao Jornal O São Gonçalo (2021).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No período de pós-pandemia com o retorno das aulas e oferta integral das refeições, a Secretaria de Educação observou através de visitas escolares e conversa com diretores das unidades escolares, que as crianças estavam comendo bastante, repetiam as merendas, retornavam com </w:t>
      </w:r>
      <w:r>
        <w:rPr>
          <w:rFonts w:ascii="Times New Roman" w:hAnsi="Times New Roman" w:eastAsia="Times New Roman" w:cs="Times New Roman"/>
          <w:i/>
        </w:rPr>
        <w:t>fome de comida</w:t>
      </w:r>
      <w:r>
        <w:rPr>
          <w:rFonts w:ascii="Times New Roman" w:hAnsi="Times New Roman" w:eastAsia="Times New Roman" w:cs="Times New Roman"/>
        </w:rPr>
        <w:t xml:space="preserve">. Nesse sentido, a SME/SG atua de acordo com a realidade de consumo da comunidade local, não sendo proibido ao aluno repetir refeições, e desde 2006 os professores também foram incluídos como atores do PNAE, ou seja, é permitido que os/as professores/as se alimentem nas escolas, inclusive junto às crianças para a formação de bons hábitos alimentares como estratégia pedagógica.   A crise sanitária causada pela pandemia de Covid-19, e de como a garantia do acesso à alimentação escolar durante o isolamento social foi fundamental no momento de maior vulnerabilidade social é primordial para pensar no desafio da construção de uma outra postura epistemológica, problematizando a discussão sobre a própria natureza da alimentação escolar, sobre a própria natureza da cultura e da sociedade, reaproximando a tradição humanista, que coloca a questão da vida, da dignidade e dos direitos humanos em primeiro lugar. A merenda escolar, com seus múltiplos signos, pode ser cotidianamente </w:t>
      </w:r>
      <w:r>
        <w:rPr>
          <w:rFonts w:ascii="Times New Roman" w:hAnsi="Times New Roman" w:eastAsia="Times New Roman" w:cs="Times New Roman"/>
          <w:i/>
        </w:rPr>
        <w:t>conteúdo alfabetizado</w:t>
      </w:r>
      <w:r>
        <w:rPr>
          <w:rFonts w:ascii="Times New Roman" w:hAnsi="Times New Roman" w:eastAsia="Times New Roman" w:cs="Times New Roman"/>
        </w:rPr>
        <w:t xml:space="preserve">r para os sujeitos escolares - “nas cozinhas, luta-se contra o tempo, o tempo desta vida que sempre caminha para a morte. A arte de nutrir tem a ver com a arte de amar, portanto também com a arte de morrer” ( Giard, 2000, p, 233).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III-CONSIDERAÇÕES FINAIS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Em linhas Gerais, partimos do pressuposto de que os inúmeros impactos objetivos e subjetivos da Pandemia da COVID-19 ainda se refletem nos diferentes modos de educabilidade de crianças, (Tavares, 2020). Nesse sentido, discutir “Alimentação Escolar” na atualidade é, no mínimo, desafiador tendo em vista a variedade de abordagens possíveis sobre a temática.  No momento em que enfrentamos a maior situação de fome das últimas décadas, o Inquérito Nacional sobre Insegurança Alimentar no Contexto da Pandemia da Covid-19, realizado em dezembro de 2021 mostrou que 19,1 milhões de brasileiros, ou 9% da população, estava em situação de insegurança alimentar grave, uma condição análoga à fome. No estado do Rio de Janeiro, a fome quadruplicou no período de 2018 a 2022, </w:t>
      </w:r>
      <w:r>
        <w:rPr>
          <w:rFonts w:ascii="Times New Roman" w:hAnsi="Times New Roman" w:eastAsia="Times New Roman" w:cs="Times New Roman"/>
          <w:highlight w:val="none"/>
        </w:rPr>
        <w:t>sendo que 15,9</w:t>
      </w:r>
      <w:r>
        <w:rPr>
          <w:rFonts w:ascii="Times New Roman" w:hAnsi="Times New Roman" w:eastAsia="Times New Roman" w:cs="Times New Roman"/>
        </w:rPr>
        <w:t xml:space="preserve"> por cento da população fluminense encontrava-se em situação de insegurança alimentar grave. 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white"/>
        </w:rPr>
        <w:t>Diante do exposto,</w:t>
      </w:r>
      <w:r>
        <w:rPr>
          <w:rFonts w:ascii="Times New Roman" w:hAnsi="Times New Roman" w:eastAsia="Times New Roman" w:cs="Times New Roman"/>
          <w:highlight w:val="none"/>
        </w:rPr>
        <w:t xml:space="preserve"> defendemos que a educação alimentar é </w:t>
      </w:r>
      <w:r>
        <w:rPr>
          <w:rFonts w:ascii="Times New Roman" w:hAnsi="Times New Roman" w:eastAsia="Times New Roman" w:cs="Times New Roman"/>
          <w:highlight w:val="white"/>
        </w:rPr>
        <w:t>uma</w:t>
      </w:r>
      <w:r>
        <w:rPr>
          <w:rFonts w:ascii="Times New Roman" w:hAnsi="Times New Roman" w:eastAsia="Times New Roman" w:cs="Times New Roman"/>
        </w:rPr>
        <w:t xml:space="preserve"> política que </w:t>
      </w:r>
      <w:r>
        <w:rPr>
          <w:rFonts w:ascii="Times New Roman" w:hAnsi="Times New Roman" w:eastAsia="Times New Roman" w:cs="Times New Roman"/>
          <w:highlight w:val="white"/>
        </w:rPr>
        <w:t>deve ser amplamente empregada durante o ano letivo nas escolas, em especial nas unidades públicas de ensino, tendo em vista que o</w:t>
      </w:r>
      <w:r>
        <w:rPr>
          <w:rFonts w:ascii="Times New Roman" w:hAnsi="Times New Roman" w:eastAsia="Times New Roman" w:cs="Times New Roman"/>
        </w:rPr>
        <w:t xml:space="preserve"> direito à alimentação é um ato revolucionário desde a pequena infância.</w:t>
      </w:r>
      <w:r>
        <w:rPr>
          <w:rFonts w:ascii="Times New Roman" w:hAnsi="Times New Roman" w:eastAsia="Times New Roman" w:cs="Times New Roman"/>
          <w:highlight w:val="white"/>
        </w:rPr>
        <w:t xml:space="preserve"> As práticas alimentares, são terrenos fecundos para as múltiplas aprendizagens, além de nutrição biológica, aprende-se no refeitório, sobretudo, a cuidar e ser cuidado, especialmente quando se têm um projeto de humanização como horizonte educativo desde a pequena infância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highlight w:val="white"/>
        </w:rPr>
        <w:t xml:space="preserve"> D</w:t>
      </w:r>
      <w:r>
        <w:rPr>
          <w:rFonts w:ascii="Times New Roman" w:hAnsi="Times New Roman" w:eastAsia="Times New Roman" w:cs="Times New Roman"/>
        </w:rPr>
        <w:t>esse modo, o período de pandemia e pós-pandemia, suscitou a abertura de outras possibilidades de reflexão para compreender e problematizar as especificidades do que significa a alimentação escolar, sobretudo em territórios de vida atravessados pelas desigualdades sociais.</w:t>
      </w: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Referências: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BOFF, L</w:t>
      </w:r>
      <w:r>
        <w:rPr>
          <w:rFonts w:ascii="Times New Roman" w:hAnsi="Times New Roman" w:eastAsia="Times New Roman" w:cs="Times New Roman"/>
          <w:i/>
          <w:iCs/>
          <w:color w:val="000000"/>
        </w:rPr>
        <w:t>. Saber cuidar.</w:t>
      </w:r>
      <w:r>
        <w:rPr>
          <w:rFonts w:ascii="Times New Roman" w:hAnsi="Times New Roman" w:eastAsia="Times New Roman" w:cs="Times New Roman"/>
          <w:color w:val="000000"/>
        </w:rPr>
        <w:t xml:space="preserve"> Petropólis, RJ: Vozes, 2001.</w:t>
      </w:r>
    </w:p>
    <w:p>
      <w:pPr>
        <w:spacing w:before="240" w:after="240" w:line="240" w:lineRule="auto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BRASIL DE FATO, 2020. RJ: STF suspende decisão que obrigava rede pública a o</w:t>
      </w:r>
      <w:r>
        <w:rPr>
          <w:rFonts w:ascii="Times New Roman" w:hAnsi="Times New Roman" w:eastAsia="Arial" w:cs="Times New Roman"/>
          <w:b/>
          <w:sz w:val="22"/>
          <w:szCs w:val="22"/>
        </w:rPr>
        <w:t>ferecer merenda na pandemia. Direitos Humanos.</w:t>
      </w:r>
      <w:r>
        <w:rPr>
          <w:rFonts w:ascii="Times New Roman" w:hAnsi="Times New Roman" w:eastAsia="Arial" w:cs="Times New Roman"/>
          <w:sz w:val="22"/>
          <w:szCs w:val="22"/>
        </w:rPr>
        <w:t xml:space="preserve"> Disponível em: Acesso em: 08dez. 2020.COLARES. DOI: http://dx.doi.org/10.1590/S0103- 73312020300407.</w:t>
      </w:r>
    </w:p>
    <w:p>
      <w:pPr>
        <w:spacing w:before="240" w:after="240" w:line="240" w:lineRule="auto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FIALHO, Viviane. Relatório PIBIC/UERJ, Semic/ Uerj, 2023</w:t>
      </w:r>
    </w:p>
    <w:p>
      <w:pPr>
        <w:spacing w:before="240" w:after="240" w:line="240" w:lineRule="auto"/>
        <w:jc w:val="both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/>
          <w:sz w:val="22"/>
          <w:szCs w:val="22"/>
        </w:rPr>
        <w:t>FREIRE, Paulo. Pedagogia da esperança: Um reencontro com a pedagogia do oprimido. São Paulo: Paz e Terra, 1993.</w:t>
      </w:r>
    </w:p>
    <w:p>
      <w:pPr>
        <w:spacing w:before="240" w:after="240" w:line="240" w:lineRule="auto"/>
        <w:jc w:val="both"/>
        <w:rPr>
          <w:rFonts w:ascii="Times New Roman" w:hAnsi="Times New Roman" w:eastAsia="SimSun" w:cs="Times New Roman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LEHER, Roberto et al. Novas possibilidades históricas para a democracia e para a educação pública. </w:t>
      </w:r>
      <w:r>
        <w:rPr>
          <w:rFonts w:ascii="Times New Roman" w:hAnsi="Times New Roman" w:eastAsia="SimSun" w:cs="Times New Roman"/>
          <w:b/>
          <w:bCs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Educação &amp; Sociedade</w:t>
      </w:r>
      <w:r>
        <w:rPr>
          <w:rFonts w:ascii="Times New Roman" w:hAnsi="Times New Roman" w:eastAsia="SimSun" w:cs="Times New Roman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, v. 44, p. e271371, 2023.</w:t>
      </w:r>
    </w:p>
    <w:p>
      <w:pPr>
        <w:pStyle w:val="12"/>
        <w:spacing w:before="0" w:beforeAutospacing="0" w:after="360" w:afterAutospacing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INSTITUTO BRASILEIRO DE GEOGRAFIA E ESTATÍSTICA (IBGE). </w:t>
      </w:r>
      <w:r>
        <w:rPr>
          <w:b/>
          <w:bCs/>
          <w:color w:val="000000"/>
          <w:sz w:val="22"/>
          <w:szCs w:val="22"/>
        </w:rPr>
        <w:t>Censo Demográfico Nacional.</w:t>
      </w:r>
      <w:r>
        <w:rPr>
          <w:color w:val="000000"/>
          <w:sz w:val="22"/>
          <w:szCs w:val="22"/>
        </w:rPr>
        <w:t xml:space="preserve"> IBGE, 2023. 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MAYOL, Pierre; CERTEAU, Michel de; GIARD, Luce. A Invenção do Cotidiano. Petrópolis: Vozes, 2000. (V.2 – Morar, cozinhar).</w:t>
      </w:r>
    </w:p>
    <w:p>
      <w:pPr>
        <w:shd w:val="clear" w:color="auto" w:fill="FFFFFF"/>
        <w:spacing w:before="300" w:after="300" w:line="240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 xml:space="preserve"> </w:t>
      </w:r>
      <w:r>
        <w:rPr>
          <w:rFonts w:ascii="Times New Roman" w:hAnsi="Times New Roman" w:eastAsia="Arial" w:cs="Times New Roman"/>
          <w:sz w:val="22"/>
          <w:szCs w:val="22"/>
          <w:highlight w:val="white"/>
        </w:rPr>
        <w:t xml:space="preserve">O SÃO GONÇALO. </w:t>
      </w:r>
      <w:r>
        <w:rPr>
          <w:rFonts w:ascii="Times New Roman" w:hAnsi="Times New Roman" w:eastAsia="Arial" w:cs="Times New Roman"/>
          <w:b/>
          <w:sz w:val="22"/>
          <w:szCs w:val="22"/>
          <w:highlight w:val="white"/>
        </w:rPr>
        <w:t xml:space="preserve">Mães reclamam de atraso no cartão alimentação de alunos da rede municipal SG. </w:t>
      </w:r>
      <w:r>
        <w:rPr>
          <w:rFonts w:ascii="Times New Roman" w:hAnsi="Times New Roman" w:eastAsia="Arial" w:cs="Times New Roman"/>
          <w:sz w:val="22"/>
          <w:szCs w:val="22"/>
          <w:highlight w:val="white"/>
        </w:rPr>
        <w:t xml:space="preserve">22 de abril. 2021. Disponível em: </w:t>
      </w:r>
      <w:r>
        <w:fldChar w:fldCharType="begin"/>
      </w:r>
      <w:r>
        <w:instrText xml:space="preserve"> HYPERLINK "https://www.osaogoncalo.com.br/geral/106524/maes-reclamam-de-atraso-no-cartao-alimentacao-de-alunos-da-rede-municipal-de-sg" \h </w:instrText>
      </w:r>
      <w:r>
        <w:fldChar w:fldCharType="separate"/>
      </w:r>
      <w:r>
        <w:rPr>
          <w:rFonts w:ascii="Times New Roman" w:hAnsi="Times New Roman" w:eastAsia="Arial" w:cs="Times New Roman"/>
          <w:sz w:val="22"/>
          <w:szCs w:val="22"/>
          <w:highlight w:val="white"/>
          <w:u w:val="single"/>
        </w:rPr>
        <w:t>https://www.osaogoncalo.com.br/geral/106524/maes-reclamam-de-atraso-no-cartao-alimentacao-de-alunos-da-rede-municipal-de-sg</w:t>
      </w:r>
      <w:r>
        <w:rPr>
          <w:rFonts w:ascii="Times New Roman" w:hAnsi="Times New Roman" w:eastAsia="Arial" w:cs="Times New Roman"/>
          <w:sz w:val="22"/>
          <w:szCs w:val="22"/>
          <w:highlight w:val="white"/>
          <w:u w:val="single"/>
        </w:rPr>
        <w:fldChar w:fldCharType="end"/>
      </w:r>
      <w:r>
        <w:rPr>
          <w:rFonts w:ascii="Times New Roman" w:hAnsi="Times New Roman" w:eastAsia="Arial" w:cs="Times New Roman"/>
          <w:sz w:val="22"/>
          <w:szCs w:val="22"/>
          <w:highlight w:val="white"/>
        </w:rPr>
        <w:t xml:space="preserve"> 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SANTOS, Milton. O espaço do cidadão. São Paulo: Nobel, 1996.</w:t>
      </w:r>
    </w:p>
    <w:p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</w:rPr>
        <w:t>TAVARES, Maria Tereza Goudard. Os pequenos e a cidade: O Papel da Escola na construção de uma alfabetização cidadã. 2003. Tese (Doutorado em Educação) –Universidade Federal do Rio de Janeiro, Rio de Janeiro, 2003.</w:t>
      </w:r>
    </w:p>
    <w:p>
      <w:pPr>
        <w:shd w:val="clear" w:color="auto" w:fill="FFFFFF"/>
        <w:spacing w:before="300" w:after="300" w:line="240" w:lineRule="auto"/>
        <w:jc w:val="both"/>
        <w:rPr>
          <w:rFonts w:ascii="Times New Roman" w:hAnsi="Times New Roman" w:eastAsia="Arial" w:cs="Times New Roman"/>
          <w:color w:val="222222"/>
          <w:sz w:val="22"/>
          <w:szCs w:val="22"/>
        </w:rPr>
      </w:pPr>
      <w:r>
        <w:rPr>
          <w:rFonts w:ascii="Times New Roman" w:hAnsi="Times New Roman" w:eastAsia="Arial" w:cs="Times New Roman"/>
          <w:color w:val="222222"/>
          <w:sz w:val="22"/>
          <w:szCs w:val="22"/>
        </w:rPr>
        <w:t xml:space="preserve">TAVARES, M. T. G., de LIMA PESSANHA, F. N., &amp; MACEDO, N. A. (2021). </w:t>
      </w:r>
      <w:r>
        <w:rPr>
          <w:rFonts w:ascii="Times New Roman" w:hAnsi="Times New Roman" w:eastAsia="Arial" w:cs="Times New Roman"/>
          <w:b/>
          <w:color w:val="222222"/>
          <w:sz w:val="22"/>
          <w:szCs w:val="22"/>
        </w:rPr>
        <w:t>Impactos da pandemia de covid-19 na educação infantil em São Gonçalo/</w:t>
      </w:r>
      <w:r>
        <w:rPr>
          <w:rFonts w:ascii="Times New Roman" w:hAnsi="Times New Roman" w:eastAsia="Arial" w:cs="Times New Roman"/>
          <w:color w:val="222222"/>
          <w:sz w:val="22"/>
          <w:szCs w:val="22"/>
        </w:rPr>
        <w:t xml:space="preserve">RJ. </w:t>
      </w:r>
      <w:r>
        <w:rPr>
          <w:rFonts w:ascii="Times New Roman" w:hAnsi="Times New Roman" w:eastAsia="Arial" w:cs="Times New Roman"/>
          <w:i/>
          <w:color w:val="222222"/>
          <w:sz w:val="22"/>
          <w:szCs w:val="22"/>
        </w:rPr>
        <w:t>Zero-a-seis</w:t>
      </w:r>
      <w:r>
        <w:rPr>
          <w:rFonts w:ascii="Times New Roman" w:hAnsi="Times New Roman" w:eastAsia="Arial" w:cs="Times New Roman"/>
          <w:color w:val="222222"/>
          <w:sz w:val="22"/>
          <w:szCs w:val="22"/>
        </w:rPr>
        <w:t xml:space="preserve">, </w:t>
      </w:r>
      <w:r>
        <w:rPr>
          <w:rFonts w:ascii="Times New Roman" w:hAnsi="Times New Roman" w:eastAsia="Arial" w:cs="Times New Roman"/>
          <w:i/>
          <w:color w:val="222222"/>
          <w:sz w:val="22"/>
          <w:szCs w:val="22"/>
        </w:rPr>
        <w:t>23</w:t>
      </w:r>
      <w:r>
        <w:rPr>
          <w:rFonts w:ascii="Times New Roman" w:hAnsi="Times New Roman" w:eastAsia="Arial" w:cs="Times New Roman"/>
          <w:color w:val="222222"/>
          <w:sz w:val="22"/>
          <w:szCs w:val="22"/>
        </w:rPr>
        <w:t>, 77-100.</w:t>
      </w:r>
    </w:p>
    <w:p>
      <w:pPr>
        <w:shd w:val="clear" w:color="auto" w:fill="FFFFFF"/>
        <w:spacing w:before="300" w:after="300" w:line="240" w:lineRule="auto"/>
        <w:jc w:val="both"/>
        <w:rPr>
          <w:rFonts w:ascii="Times New Roman" w:hAnsi="Times New Roman" w:eastAsia="Arial" w:cs="Times New Roman"/>
          <w:color w:val="222222"/>
          <w:sz w:val="22"/>
          <w:szCs w:val="22"/>
        </w:rPr>
      </w:pPr>
      <w:r>
        <w:rPr>
          <w:rFonts w:ascii="Times New Roman" w:hAnsi="Times New Roman" w:eastAsia="Arial" w:cs="Times New Roman"/>
          <w:color w:val="222222"/>
          <w:sz w:val="22"/>
          <w:szCs w:val="22"/>
        </w:rPr>
        <w:t xml:space="preserve">TAVARES, M.T.G. </w:t>
      </w:r>
      <w:r>
        <w:rPr>
          <w:rFonts w:ascii="Times New Roman" w:hAnsi="Times New Roman" w:eastAsia="Arial" w:cs="Times New Roman"/>
          <w:b/>
          <w:color w:val="222222"/>
          <w:sz w:val="22"/>
          <w:szCs w:val="22"/>
        </w:rPr>
        <w:t>A Infância e a Cidade: investigando componentes territoriais de processos formativos de crianças na cidade de São Gonçalo.</w:t>
      </w:r>
      <w:r>
        <w:rPr>
          <w:rFonts w:ascii="Times New Roman" w:hAnsi="Times New Roman" w:eastAsia="Arial" w:cs="Times New Roman"/>
          <w:color w:val="222222"/>
          <w:sz w:val="22"/>
          <w:szCs w:val="22"/>
        </w:rPr>
        <w:t xml:space="preserve"> Projeto de Pesquisa Pibic -UERJ/FAPERJ, Rio de Janeiro, 2016.</w:t>
      </w:r>
    </w:p>
    <w:p>
      <w:p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5A31BD"/>
    <w:rsid w:val="00045372"/>
    <w:rsid w:val="000B65C6"/>
    <w:rsid w:val="0034790D"/>
    <w:rsid w:val="003E59CB"/>
    <w:rsid w:val="005A31BD"/>
    <w:rsid w:val="006C79B2"/>
    <w:rsid w:val="00927DE2"/>
    <w:rsid w:val="00C60DD8"/>
    <w:rsid w:val="00D83BC9"/>
    <w:rsid w:val="00F11B2A"/>
    <w:rsid w:val="031D37A8"/>
    <w:rsid w:val="03B22EA7"/>
    <w:rsid w:val="03E7408B"/>
    <w:rsid w:val="06DA391F"/>
    <w:rsid w:val="102E1D30"/>
    <w:rsid w:val="1431122C"/>
    <w:rsid w:val="308C1457"/>
    <w:rsid w:val="3CD902ED"/>
    <w:rsid w:val="4EF47204"/>
    <w:rsid w:val="5023629C"/>
    <w:rsid w:val="6E4504C3"/>
    <w:rsid w:val="729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pt-BR" w:eastAsia="pt-BR" w:bidi="ar-SA"/>
    </w:rPr>
  </w:style>
  <w:style w:type="paragraph" w:styleId="2">
    <w:name w:val="heading 1"/>
    <w:next w:val="1"/>
    <w:uiPriority w:val="0"/>
    <w:pPr>
      <w:keepNext/>
      <w:keepLines/>
      <w:spacing w:before="480" w:after="120"/>
      <w:outlineLvl w:val="0"/>
    </w:pPr>
    <w:rPr>
      <w:rFonts w:ascii="Calibri" w:hAnsi="Calibri" w:eastAsia="Calibri" w:cs="Calibri"/>
      <w:b/>
      <w:sz w:val="48"/>
      <w:szCs w:val="48"/>
      <w:lang w:val="pt-BR" w:eastAsia="pt-BR" w:bidi="ar-SA"/>
    </w:rPr>
  </w:style>
  <w:style w:type="paragraph" w:styleId="3">
    <w:name w:val="heading 2"/>
    <w:next w:val="1"/>
    <w:link w:val="20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pt-BR" w:eastAsia="pt-BR" w:bidi="ar-SA"/>
    </w:rPr>
  </w:style>
  <w:style w:type="paragraph" w:styleId="4">
    <w:name w:val="heading 3"/>
    <w:next w:val="1"/>
    <w:qFormat/>
    <w:uiPriority w:val="0"/>
    <w:pPr>
      <w:keepNext/>
      <w:keepLines/>
      <w:spacing w:before="280" w:after="80"/>
      <w:outlineLvl w:val="2"/>
    </w:pPr>
    <w:rPr>
      <w:rFonts w:ascii="Calibri" w:hAnsi="Calibri" w:eastAsia="Calibri" w:cs="Calibri"/>
      <w:b/>
      <w:sz w:val="28"/>
      <w:szCs w:val="28"/>
      <w:lang w:val="pt-BR" w:eastAsia="pt-BR" w:bidi="ar-SA"/>
    </w:rPr>
  </w:style>
  <w:style w:type="paragraph" w:styleId="5">
    <w:name w:val="heading 4"/>
    <w:next w:val="1"/>
    <w:qFormat/>
    <w:uiPriority w:val="0"/>
    <w:pPr>
      <w:keepNext/>
      <w:keepLines/>
      <w:spacing w:before="240" w:after="40"/>
      <w:outlineLvl w:val="3"/>
    </w:pPr>
    <w:rPr>
      <w:rFonts w:ascii="Calibri" w:hAnsi="Calibri" w:eastAsia="Calibri" w:cs="Calibri"/>
      <w:b/>
      <w:sz w:val="24"/>
      <w:szCs w:val="24"/>
      <w:lang w:val="pt-BR" w:eastAsia="pt-BR" w:bidi="ar-SA"/>
    </w:rPr>
  </w:style>
  <w:style w:type="paragraph" w:styleId="6">
    <w:name w:val="heading 5"/>
    <w:next w:val="1"/>
    <w:qFormat/>
    <w:uiPriority w:val="0"/>
    <w:pPr>
      <w:keepNext/>
      <w:keepLines/>
      <w:spacing w:before="220" w:after="40"/>
      <w:outlineLvl w:val="4"/>
    </w:pPr>
    <w:rPr>
      <w:rFonts w:ascii="Calibri" w:hAnsi="Calibri" w:eastAsia="Calibri" w:cs="Calibri"/>
      <w:b/>
      <w:sz w:val="22"/>
      <w:szCs w:val="22"/>
      <w:lang w:val="pt-BR" w:eastAsia="pt-BR" w:bidi="ar-SA"/>
    </w:rPr>
  </w:style>
  <w:style w:type="paragraph" w:styleId="7">
    <w:name w:val="heading 6"/>
    <w:next w:val="1"/>
    <w:qFormat/>
    <w:uiPriority w:val="0"/>
    <w:pPr>
      <w:keepNext/>
      <w:keepLines/>
      <w:spacing w:before="200" w:after="40"/>
      <w:outlineLvl w:val="5"/>
    </w:pPr>
    <w:rPr>
      <w:rFonts w:ascii="Calibri" w:hAnsi="Calibri" w:eastAsia="Calibri" w:cs="Calibri"/>
      <w:b/>
      <w:lang w:val="pt-BR" w:eastAsia="pt-BR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Title"/>
    <w:next w:val="1"/>
    <w:qFormat/>
    <w:uiPriority w:val="0"/>
    <w:pPr>
      <w:keepNext/>
      <w:keepLines/>
      <w:spacing w:before="480" w:after="120"/>
    </w:pPr>
    <w:rPr>
      <w:rFonts w:ascii="Calibri" w:hAnsi="Calibri" w:eastAsia="Calibri" w:cs="Calibri"/>
      <w:b/>
      <w:sz w:val="72"/>
      <w:szCs w:val="72"/>
      <w:lang w:val="pt-BR" w:eastAsia="pt-BR" w:bidi="ar-SA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4"/>
    <w:uiPriority w:val="0"/>
    <w:rPr>
      <w:rFonts w:ascii="Tahoma" w:hAnsi="Tahoma" w:cs="Tahoma"/>
      <w:sz w:val="16"/>
      <w:szCs w:val="16"/>
    </w:rPr>
  </w:style>
  <w:style w:type="paragraph" w:styleId="16">
    <w:name w:val="Subtitle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pt-BR" w:eastAsia="pt-BR" w:bidi="ar-SA"/>
    </w:r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Cabeçalho Char"/>
    <w:basedOn w:val="8"/>
    <w:link w:val="13"/>
    <w:uiPriority w:val="99"/>
  </w:style>
  <w:style w:type="character" w:customStyle="1" w:styleId="19">
    <w:name w:val="Rodapé Char"/>
    <w:basedOn w:val="8"/>
    <w:link w:val="14"/>
    <w:uiPriority w:val="99"/>
  </w:style>
  <w:style w:type="character" w:customStyle="1" w:styleId="20">
    <w:name w:val="Título 2 Char"/>
    <w:basedOn w:val="8"/>
    <w:link w:val="3"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character" w:customStyle="1" w:styleId="21">
    <w:name w:val="apple-converted-space"/>
    <w:basedOn w:val="8"/>
    <w:uiPriority w:val="0"/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Título Referências Anped SE"/>
    <w:basedOn w:val="1"/>
    <w:next w:val="1"/>
    <w:qFormat/>
    <w:uiPriority w:val="0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character" w:customStyle="1" w:styleId="24">
    <w:name w:val="Texto de balão Char"/>
    <w:basedOn w:val="8"/>
    <w:link w:val="15"/>
    <w:uiPriority w:val="0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zuheGLF7Te2ii1MgI+BK7urRw==">CgMxLjA4AHIhMUFHdnB6N3Q2M2k3dUZLQldMaGEzdU15aHh1S1BNcGxG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2021</Words>
  <Characters>11422</Characters>
  <Lines>207</Lines>
  <Paragraphs>34</Paragraphs>
  <TotalTime>28</TotalTime>
  <ScaleCrop>false</ScaleCrop>
  <LinksUpToDate>false</LinksUpToDate>
  <CharactersWithSpaces>13409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2024-04-26T10:50:00Z</dcterms:created>
  <dc:creator>ALEXANDRE PEREIRA MERIDA</dc:creator>
  <cp:lastModifiedBy>lina2</cp:lastModifiedBy>
  <dcterms:modified xsi:type="dcterms:W3CDTF">2024-04-26T14:06:09Z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EADC20AF183848279AFE18D95E4ADCE5_13</vt:lpwstr>
  </property>
</Properties>
</file>