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360BC" w14:textId="77777777" w:rsidR="00C77CE4" w:rsidRPr="009F4C69" w:rsidRDefault="00C77CE4">
      <w:pPr>
        <w:pStyle w:val="Standard"/>
        <w:rPr>
          <w:lang w:val="en-US"/>
        </w:rPr>
      </w:pPr>
    </w:p>
    <w:p w14:paraId="71AFA48B" w14:textId="34D7EBB4" w:rsidR="00C77CE4" w:rsidRDefault="00123784" w:rsidP="008245D8">
      <w:pPr>
        <w:jc w:val="center"/>
        <w:rPr>
          <w:rFonts w:ascii="Arial" w:eastAsia="Arial" w:hAnsi="Arial" w:cs="Arial"/>
          <w:b/>
        </w:rPr>
      </w:pPr>
      <w:r w:rsidRPr="00123784">
        <w:rPr>
          <w:rFonts w:ascii="Arial" w:eastAsia="Arial" w:hAnsi="Arial" w:cs="Arial"/>
          <w:b/>
          <w:bCs/>
        </w:rPr>
        <w:t>LC nº 182/2021 e o Sandbox Regulatório</w:t>
      </w:r>
      <w:r w:rsidRPr="00123784">
        <w:rPr>
          <w:rFonts w:ascii="Arial" w:eastAsia="Arial" w:hAnsi="Arial" w:cs="Arial"/>
        </w:rPr>
        <w:t xml:space="preserve">: Avanços </w:t>
      </w:r>
      <w:r>
        <w:rPr>
          <w:rFonts w:ascii="Arial" w:eastAsia="Arial" w:hAnsi="Arial" w:cs="Arial"/>
        </w:rPr>
        <w:t>n</w:t>
      </w:r>
      <w:r w:rsidRPr="00123784">
        <w:rPr>
          <w:rFonts w:ascii="Arial" w:eastAsia="Arial" w:hAnsi="Arial" w:cs="Arial"/>
        </w:rPr>
        <w:t xml:space="preserve">ormativos e os </w:t>
      </w:r>
      <w:r>
        <w:rPr>
          <w:rFonts w:ascii="Arial" w:eastAsia="Arial" w:hAnsi="Arial" w:cs="Arial"/>
        </w:rPr>
        <w:t>d</w:t>
      </w:r>
      <w:r w:rsidRPr="00123784">
        <w:rPr>
          <w:rFonts w:ascii="Arial" w:eastAsia="Arial" w:hAnsi="Arial" w:cs="Arial"/>
        </w:rPr>
        <w:t xml:space="preserve">esafios de sua </w:t>
      </w:r>
      <w:r>
        <w:rPr>
          <w:rFonts w:ascii="Arial" w:eastAsia="Arial" w:hAnsi="Arial" w:cs="Arial"/>
        </w:rPr>
        <w:t>c</w:t>
      </w:r>
      <w:r w:rsidRPr="00123784">
        <w:rPr>
          <w:rFonts w:ascii="Arial" w:eastAsia="Arial" w:hAnsi="Arial" w:cs="Arial"/>
        </w:rPr>
        <w:t>onsolidação</w:t>
      </w:r>
    </w:p>
    <w:p w14:paraId="7A486C24" w14:textId="53873DF2" w:rsidR="00C77CE4" w:rsidRDefault="00875840">
      <w:pPr>
        <w:jc w:val="right"/>
        <w:rPr>
          <w:rFonts w:hint="eastAsia"/>
        </w:rPr>
      </w:pPr>
      <w:r>
        <w:rPr>
          <w:rFonts w:ascii="Arial" w:eastAsia="Arial" w:hAnsi="Arial" w:cs="Arial"/>
          <w:b/>
          <w:sz w:val="20"/>
          <w:szCs w:val="20"/>
        </w:rPr>
        <w:t>Gabriela Sousa Gomes</w:t>
      </w:r>
    </w:p>
    <w:p w14:paraId="4769A6D3" w14:textId="762C31DB" w:rsidR="00C77CE4" w:rsidRDefault="00FE2A65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875840">
        <w:rPr>
          <w:rFonts w:ascii="Arial" w:eastAsia="Arial" w:hAnsi="Arial" w:cs="Arial"/>
          <w:sz w:val="20"/>
          <w:szCs w:val="20"/>
        </w:rPr>
        <w:t>vogelgomes@gmai.com</w:t>
      </w:r>
    </w:p>
    <w:p w14:paraId="3B31CF55" w14:textId="58DB80FF" w:rsidR="00C77CE4" w:rsidRDefault="009D2BA5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Graduand</w:t>
      </w:r>
      <w:r w:rsidR="00875840"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 em Direito pela Universidade Estadual de Ponta Grossa – Paraná, Brasil. </w:t>
      </w:r>
    </w:p>
    <w:p w14:paraId="00EBD230" w14:textId="77777777" w:rsidR="00C77CE4" w:rsidRDefault="00C77CE4">
      <w:pPr>
        <w:jc w:val="right"/>
        <w:rPr>
          <w:rFonts w:ascii="Arial" w:eastAsia="Arial" w:hAnsi="Arial" w:cs="Arial"/>
          <w:color w:val="FF0000"/>
          <w:sz w:val="20"/>
          <w:szCs w:val="20"/>
        </w:rPr>
      </w:pPr>
    </w:p>
    <w:p w14:paraId="71EB3AE6" w14:textId="076AB31F" w:rsidR="00C77CE4" w:rsidRPr="00FE2A65" w:rsidRDefault="009D2BA5">
      <w:pPr>
        <w:jc w:val="right"/>
        <w:rPr>
          <w:rFonts w:ascii="Arial" w:eastAsia="Arial" w:hAnsi="Arial" w:cs="Arial"/>
          <w:b/>
          <w:sz w:val="20"/>
          <w:szCs w:val="20"/>
        </w:rPr>
      </w:pPr>
      <w:r w:rsidRPr="00FE2A65">
        <w:rPr>
          <w:rFonts w:ascii="Arial" w:eastAsia="Arial" w:hAnsi="Arial" w:cs="Arial"/>
          <w:b/>
          <w:sz w:val="20"/>
          <w:szCs w:val="20"/>
        </w:rPr>
        <w:t xml:space="preserve"> </w:t>
      </w:r>
      <w:r w:rsidR="00E763A7" w:rsidRPr="00FE2A65">
        <w:rPr>
          <w:rFonts w:ascii="Arial" w:eastAsia="Arial" w:hAnsi="Arial" w:cs="Arial"/>
          <w:b/>
          <w:sz w:val="20"/>
          <w:szCs w:val="20"/>
        </w:rPr>
        <w:t xml:space="preserve">João Paulo </w:t>
      </w:r>
      <w:r w:rsidR="00FE2A65" w:rsidRPr="00FE2A65">
        <w:rPr>
          <w:rFonts w:ascii="Arial" w:eastAsia="Arial" w:hAnsi="Arial" w:cs="Arial"/>
          <w:b/>
          <w:sz w:val="20"/>
          <w:szCs w:val="20"/>
        </w:rPr>
        <w:t>V</w:t>
      </w:r>
      <w:r w:rsidR="00FE2A65" w:rsidRPr="00FE2A65">
        <w:rPr>
          <w:rFonts w:ascii="Arial" w:eastAsia="Arial" w:hAnsi="Arial" w:cs="Arial"/>
          <w:b/>
          <w:sz w:val="20"/>
          <w:szCs w:val="20"/>
        </w:rPr>
        <w:t>ieira</w:t>
      </w:r>
      <w:r w:rsidR="00FE2A65" w:rsidRPr="00FE2A65">
        <w:rPr>
          <w:rFonts w:ascii="Arial" w:eastAsia="Arial" w:hAnsi="Arial" w:cs="Arial"/>
          <w:b/>
          <w:sz w:val="20"/>
          <w:szCs w:val="20"/>
        </w:rPr>
        <w:t xml:space="preserve"> D</w:t>
      </w:r>
      <w:r w:rsidR="00FE2A65" w:rsidRPr="00FE2A65">
        <w:rPr>
          <w:rFonts w:ascii="Arial" w:eastAsia="Arial" w:hAnsi="Arial" w:cs="Arial"/>
          <w:b/>
          <w:sz w:val="20"/>
          <w:szCs w:val="20"/>
        </w:rPr>
        <w:t>eschk</w:t>
      </w:r>
      <w:r w:rsidR="00FE2A65" w:rsidRPr="00FE2A65">
        <w:rPr>
          <w:rFonts w:ascii="Arial" w:eastAsia="Arial" w:hAnsi="Arial" w:cs="Arial"/>
          <w:b/>
          <w:sz w:val="20"/>
          <w:szCs w:val="20"/>
        </w:rPr>
        <w:t xml:space="preserve"> </w:t>
      </w:r>
      <w:r w:rsidR="00E763A7" w:rsidRPr="00FE2A65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683F83FD" w14:textId="30893AF6" w:rsidR="00C77CE4" w:rsidRPr="00FE2A65" w:rsidRDefault="00FE2A65">
      <w:pPr>
        <w:jc w:val="right"/>
        <w:rPr>
          <w:rFonts w:ascii="Arial" w:eastAsia="Arial" w:hAnsi="Arial" w:cs="Arial"/>
          <w:sz w:val="20"/>
          <w:szCs w:val="20"/>
        </w:rPr>
      </w:pPr>
      <w:r w:rsidRPr="00FE2A65">
        <w:rPr>
          <w:rFonts w:ascii="Arial" w:eastAsia="Arial" w:hAnsi="Arial" w:cs="Arial"/>
          <w:sz w:val="20"/>
          <w:szCs w:val="20"/>
        </w:rPr>
        <w:t xml:space="preserve"> </w:t>
      </w:r>
      <w:hyperlink r:id="rId6" w:history="1">
        <w:r w:rsidRPr="00FE2A65">
          <w:rPr>
            <w:rStyle w:val="Hyperlink"/>
            <w:rFonts w:ascii="Arial" w:eastAsia="Arial" w:hAnsi="Arial" w:cs="Arial"/>
            <w:color w:val="auto"/>
            <w:sz w:val="20"/>
            <w:szCs w:val="20"/>
            <w:u w:val="none"/>
          </w:rPr>
          <w:t>joao.vieira@unicesumar.edu.br</w:t>
        </w:r>
      </w:hyperlink>
    </w:p>
    <w:p w14:paraId="477AD187" w14:textId="5958867F" w:rsidR="00FE2A65" w:rsidRPr="00FE2A65" w:rsidRDefault="009D2BA5" w:rsidP="00FE2A65">
      <w:pPr>
        <w:jc w:val="right"/>
        <w:rPr>
          <w:rFonts w:ascii="Arial" w:eastAsia="Arial" w:hAnsi="Arial" w:cs="Arial"/>
          <w:sz w:val="20"/>
          <w:szCs w:val="20"/>
        </w:rPr>
      </w:pPr>
      <w:r w:rsidRPr="00FE2A65">
        <w:rPr>
          <w:rFonts w:ascii="Arial" w:eastAsia="Arial" w:hAnsi="Arial" w:cs="Arial"/>
          <w:sz w:val="20"/>
          <w:szCs w:val="20"/>
        </w:rPr>
        <w:t xml:space="preserve"> </w:t>
      </w:r>
      <w:r w:rsidR="00FE2A65" w:rsidRPr="00FE2A65">
        <w:rPr>
          <w:rFonts w:ascii="Arial" w:eastAsia="Arial" w:hAnsi="Arial" w:cs="Arial"/>
          <w:sz w:val="20"/>
          <w:szCs w:val="20"/>
        </w:rPr>
        <w:t>Doutorando em Direito e Políticas Públicas pelo UNICEUB - Brasília, Brasil.</w:t>
      </w:r>
    </w:p>
    <w:p w14:paraId="00B6C2B3" w14:textId="4DC4FB4A" w:rsidR="00C77CE4" w:rsidRPr="00FE2A65" w:rsidRDefault="00C77CE4" w:rsidP="00FE2A65">
      <w:pPr>
        <w:jc w:val="right"/>
        <w:rPr>
          <w:rFonts w:ascii="Arial" w:eastAsia="Arial" w:hAnsi="Arial" w:cs="Arial"/>
          <w:color w:val="EE0000"/>
          <w:sz w:val="20"/>
          <w:szCs w:val="20"/>
        </w:rPr>
      </w:pPr>
    </w:p>
    <w:p w14:paraId="7E580FEF" w14:textId="77777777" w:rsidR="00C77CE4" w:rsidRDefault="00C77CE4">
      <w:pPr>
        <w:jc w:val="both"/>
        <w:rPr>
          <w:rFonts w:ascii="Arial" w:eastAsia="Arial" w:hAnsi="Arial" w:cs="Arial"/>
          <w:sz w:val="20"/>
          <w:szCs w:val="20"/>
        </w:rPr>
      </w:pPr>
    </w:p>
    <w:p w14:paraId="13684BE6" w14:textId="5A1EBCD1" w:rsidR="00C77CE4" w:rsidRPr="00977FFA" w:rsidRDefault="009D2BA5">
      <w:pPr>
        <w:jc w:val="both"/>
        <w:rPr>
          <w:rFonts w:ascii="Arial" w:eastAsia="Arial" w:hAnsi="Arial" w:cs="Arial" w:hint="eastAsia"/>
          <w:sz w:val="20"/>
          <w:szCs w:val="20"/>
        </w:rPr>
      </w:pPr>
      <w:r w:rsidRPr="007F769A">
        <w:rPr>
          <w:rFonts w:ascii="Arial" w:eastAsia="Arial" w:hAnsi="Arial" w:cs="Arial"/>
          <w:b/>
          <w:sz w:val="20"/>
          <w:szCs w:val="20"/>
        </w:rPr>
        <w:t xml:space="preserve">Resumo: </w:t>
      </w:r>
      <w:r w:rsidR="007F769A" w:rsidRPr="007F769A">
        <w:rPr>
          <w:rFonts w:ascii="Arial" w:eastAsia="Arial" w:hAnsi="Arial" w:cs="Arial"/>
          <w:sz w:val="20"/>
          <w:szCs w:val="20"/>
        </w:rPr>
        <w:t xml:space="preserve">A Lei Complementar nº 182/2021, conhecida como “Lei das Startups”, introduziu o </w:t>
      </w:r>
      <w:r w:rsidR="007F769A" w:rsidRPr="007F769A">
        <w:rPr>
          <w:rFonts w:ascii="Arial" w:eastAsia="Arial" w:hAnsi="Arial" w:cs="Arial"/>
          <w:i/>
          <w:iCs/>
          <w:sz w:val="20"/>
          <w:szCs w:val="20"/>
        </w:rPr>
        <w:t>sandbox regulatório</w:t>
      </w:r>
      <w:r w:rsidR="007F769A" w:rsidRPr="007F769A">
        <w:rPr>
          <w:rFonts w:ascii="Arial" w:eastAsia="Arial" w:hAnsi="Arial" w:cs="Arial"/>
          <w:sz w:val="20"/>
          <w:szCs w:val="20"/>
        </w:rPr>
        <w:t xml:space="preserve"> como mecanismo experimental para testar soluções inovadoras em condições supervisionadas, visando estimular a inovação e modernizar o ambiente empresarial.</w:t>
      </w:r>
      <w:r w:rsidR="00091C37">
        <w:rPr>
          <w:rFonts w:ascii="Arial" w:eastAsia="Arial" w:hAnsi="Arial" w:cs="Arial"/>
          <w:sz w:val="20"/>
          <w:szCs w:val="20"/>
        </w:rPr>
        <w:t xml:space="preserve"> </w:t>
      </w:r>
      <w:r w:rsidR="007F769A" w:rsidRPr="007F769A">
        <w:rPr>
          <w:rFonts w:ascii="Arial" w:eastAsia="Arial" w:hAnsi="Arial" w:cs="Arial"/>
          <w:sz w:val="20"/>
          <w:szCs w:val="20"/>
        </w:rPr>
        <w:t>Apesar</w:t>
      </w:r>
      <w:r w:rsidR="00FE2A65">
        <w:rPr>
          <w:rFonts w:ascii="Arial" w:eastAsia="Arial" w:hAnsi="Arial" w:cs="Arial"/>
          <w:sz w:val="20"/>
          <w:szCs w:val="20"/>
        </w:rPr>
        <w:t xml:space="preserve"> </w:t>
      </w:r>
      <w:r w:rsidR="007F769A" w:rsidRPr="007F769A">
        <w:rPr>
          <w:rFonts w:ascii="Arial" w:eastAsia="Arial" w:hAnsi="Arial" w:cs="Arial"/>
          <w:sz w:val="20"/>
          <w:szCs w:val="20"/>
        </w:rPr>
        <w:t xml:space="preserve">do potencial, sua implementação enfrenta desafios estruturais e normativos, como lacunas nos órgãos públicos, insegurança jurídica, assimetria de informações e falta de uniformidade entre entes federados. Riscos como </w:t>
      </w:r>
      <w:r w:rsidR="007F769A" w:rsidRPr="007F769A">
        <w:rPr>
          <w:rFonts w:ascii="Arial" w:eastAsia="Arial" w:hAnsi="Arial" w:cs="Arial"/>
          <w:i/>
          <w:iCs/>
          <w:sz w:val="20"/>
          <w:szCs w:val="20"/>
        </w:rPr>
        <w:t>by-pass regulatório</w:t>
      </w:r>
      <w:r w:rsidR="007F769A" w:rsidRPr="007F769A">
        <w:rPr>
          <w:rFonts w:ascii="Arial" w:eastAsia="Arial" w:hAnsi="Arial" w:cs="Arial"/>
          <w:sz w:val="20"/>
          <w:szCs w:val="20"/>
        </w:rPr>
        <w:t xml:space="preserve">, captura institucional, distorções concorrenciais e o </w:t>
      </w:r>
      <w:r w:rsidR="007F769A" w:rsidRPr="007F769A">
        <w:rPr>
          <w:rFonts w:ascii="Arial" w:eastAsia="Arial" w:hAnsi="Arial" w:cs="Arial"/>
          <w:i/>
          <w:iCs/>
          <w:sz w:val="20"/>
          <w:szCs w:val="20"/>
        </w:rPr>
        <w:t>efeito carona</w:t>
      </w:r>
      <w:r w:rsidR="007F769A" w:rsidRPr="007F769A">
        <w:rPr>
          <w:rFonts w:ascii="Arial" w:eastAsia="Arial" w:hAnsi="Arial" w:cs="Arial"/>
          <w:sz w:val="20"/>
          <w:szCs w:val="20"/>
        </w:rPr>
        <w:t xml:space="preserve"> podem comprometer a previsibilidade e a integridade do mercado.</w:t>
      </w:r>
      <w:r w:rsidR="00091C37">
        <w:rPr>
          <w:rFonts w:ascii="Arial" w:eastAsia="Arial" w:hAnsi="Arial" w:cs="Arial"/>
          <w:sz w:val="20"/>
          <w:szCs w:val="20"/>
        </w:rPr>
        <w:t xml:space="preserve"> </w:t>
      </w:r>
      <w:r w:rsidR="007F769A" w:rsidRPr="007F769A">
        <w:rPr>
          <w:rFonts w:ascii="Arial" w:eastAsia="Arial" w:hAnsi="Arial" w:cs="Arial"/>
          <w:sz w:val="20"/>
          <w:szCs w:val="20"/>
        </w:rPr>
        <w:t>Experiências municipais, como em Foz do Iguaçu e Londrina, demonstram rápida adoção, mas com indefinições sobre limites temporais, espaciais e objetivos das empresas participantes.</w:t>
      </w:r>
      <w:r w:rsidR="00091C37">
        <w:rPr>
          <w:rFonts w:ascii="Arial" w:eastAsia="Arial" w:hAnsi="Arial" w:cs="Arial"/>
          <w:sz w:val="20"/>
          <w:szCs w:val="20"/>
        </w:rPr>
        <w:t xml:space="preserve"> </w:t>
      </w:r>
      <w:r w:rsidR="007F769A" w:rsidRPr="007F769A">
        <w:rPr>
          <w:rFonts w:ascii="Arial" w:eastAsia="Arial" w:hAnsi="Arial" w:cs="Arial"/>
          <w:sz w:val="20"/>
          <w:szCs w:val="20"/>
        </w:rPr>
        <w:t>Conclui-se que o sandbox regulatório é promissor para fomentar inovação e empreendedorismo, mas depende do aprimoramento legislativo, coordenação intergovernamental e acompanhamento técnico contínuo para garantir equilíbrio entre inovação, segurança jurídica e efetividade no mercado empresarial brasileiro</w:t>
      </w:r>
    </w:p>
    <w:p w14:paraId="2334702D" w14:textId="77777777" w:rsidR="00C77CE4" w:rsidRDefault="00C77CE4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42C9A031" w14:textId="0B8D20D9" w:rsidR="00C77CE4" w:rsidRDefault="009D2BA5" w:rsidP="00787EEC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Palavras-chave: </w:t>
      </w:r>
      <w:r w:rsidR="001B2E55" w:rsidRPr="001B2E55">
        <w:rPr>
          <w:rFonts w:ascii="Arial" w:eastAsia="Arial" w:hAnsi="Arial" w:cs="Arial"/>
          <w:b/>
          <w:sz w:val="20"/>
          <w:szCs w:val="20"/>
        </w:rPr>
        <w:t>marco legal das startups</w:t>
      </w:r>
      <w:r w:rsidR="001B2E55">
        <w:rPr>
          <w:rFonts w:ascii="Arial" w:eastAsia="Arial" w:hAnsi="Arial" w:cs="Arial"/>
          <w:b/>
          <w:sz w:val="20"/>
          <w:szCs w:val="20"/>
        </w:rPr>
        <w:t>;</w:t>
      </w:r>
      <w:r w:rsidR="001B2E55" w:rsidRPr="001B2E55">
        <w:t xml:space="preserve"> </w:t>
      </w:r>
      <w:r w:rsidR="001B2E55" w:rsidRPr="001B2E55">
        <w:rPr>
          <w:rFonts w:ascii="Arial" w:eastAsia="Arial" w:hAnsi="Arial" w:cs="Arial"/>
          <w:b/>
          <w:sz w:val="20"/>
          <w:szCs w:val="20"/>
        </w:rPr>
        <w:t>empresa emergente</w:t>
      </w:r>
      <w:r w:rsidR="001B2E55">
        <w:rPr>
          <w:rFonts w:ascii="Arial" w:eastAsia="Arial" w:hAnsi="Arial" w:cs="Arial"/>
          <w:b/>
          <w:sz w:val="20"/>
          <w:szCs w:val="20"/>
        </w:rPr>
        <w:t xml:space="preserve">; desenvolvimento financeiro; gestão estatal. </w:t>
      </w:r>
    </w:p>
    <w:p w14:paraId="551B8B29" w14:textId="77777777" w:rsidR="001B2E55" w:rsidRDefault="001B2E55" w:rsidP="00787EEC">
      <w:pPr>
        <w:jc w:val="both"/>
        <w:rPr>
          <w:rFonts w:hint="eastAsia"/>
        </w:rPr>
      </w:pPr>
    </w:p>
    <w:p w14:paraId="4C133E62" w14:textId="289E910C" w:rsidR="00C77CE4" w:rsidRDefault="009D2BA5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Introdução</w:t>
      </w:r>
      <w:r w:rsidR="00977FFA">
        <w:rPr>
          <w:rFonts w:ascii="Arial" w:eastAsia="Arial" w:hAnsi="Arial" w:cs="Arial"/>
          <w:b/>
        </w:rPr>
        <w:t xml:space="preserve"> </w:t>
      </w:r>
    </w:p>
    <w:p w14:paraId="712B63BF" w14:textId="77777777" w:rsidR="00977FFA" w:rsidRDefault="00977FFA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07759E5A" w14:textId="6BAF0A1A" w:rsidR="000159BE" w:rsidRDefault="000159BE" w:rsidP="000159BE">
      <w:pPr>
        <w:spacing w:line="360" w:lineRule="auto"/>
        <w:ind w:firstLine="851"/>
        <w:jc w:val="both"/>
        <w:rPr>
          <w:rFonts w:ascii="Arial" w:eastAsia="Arial" w:hAnsi="Arial" w:cs="Arial"/>
        </w:rPr>
      </w:pPr>
      <w:r w:rsidRPr="000159BE">
        <w:rPr>
          <w:rFonts w:ascii="Arial" w:eastAsia="Arial" w:hAnsi="Arial" w:cs="Arial"/>
        </w:rPr>
        <w:t xml:space="preserve">A Lei Complementar nº 182/2021, </w:t>
      </w:r>
      <w:r>
        <w:rPr>
          <w:rFonts w:ascii="Arial" w:eastAsia="Arial" w:hAnsi="Arial" w:cs="Arial"/>
        </w:rPr>
        <w:t xml:space="preserve">popularmente conhecida </w:t>
      </w:r>
      <w:r w:rsidRPr="000159BE">
        <w:rPr>
          <w:rFonts w:ascii="Arial" w:eastAsia="Arial" w:hAnsi="Arial" w:cs="Arial"/>
        </w:rPr>
        <w:t>como “Lei das Startups”, represent</w:t>
      </w:r>
      <w:r>
        <w:rPr>
          <w:rFonts w:ascii="Arial" w:eastAsia="Arial" w:hAnsi="Arial" w:cs="Arial"/>
        </w:rPr>
        <w:t>ou</w:t>
      </w:r>
      <w:r w:rsidRPr="000159BE">
        <w:rPr>
          <w:rFonts w:ascii="Arial" w:eastAsia="Arial" w:hAnsi="Arial" w:cs="Arial"/>
        </w:rPr>
        <w:t xml:space="preserve"> um marco </w:t>
      </w:r>
      <w:r>
        <w:rPr>
          <w:rFonts w:ascii="Arial" w:eastAsia="Arial" w:hAnsi="Arial" w:cs="Arial"/>
        </w:rPr>
        <w:t>legislativo</w:t>
      </w:r>
      <w:r w:rsidRPr="000159BE">
        <w:rPr>
          <w:rFonts w:ascii="Arial" w:eastAsia="Arial" w:hAnsi="Arial" w:cs="Arial"/>
        </w:rPr>
        <w:t xml:space="preserve"> voltado à modernização</w:t>
      </w:r>
      <w:r w:rsidR="008245D8">
        <w:rPr>
          <w:rFonts w:ascii="Arial" w:eastAsia="Arial" w:hAnsi="Arial" w:cs="Arial"/>
        </w:rPr>
        <w:t xml:space="preserve"> n</w:t>
      </w:r>
      <w:r w:rsidRPr="000159BE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 âmbito</w:t>
      </w:r>
      <w:r w:rsidRPr="000159BE">
        <w:rPr>
          <w:rFonts w:ascii="Arial" w:eastAsia="Arial" w:hAnsi="Arial" w:cs="Arial"/>
        </w:rPr>
        <w:t xml:space="preserve"> </w:t>
      </w:r>
      <w:r w:rsidR="008245D8">
        <w:rPr>
          <w:rFonts w:ascii="Arial" w:eastAsia="Arial" w:hAnsi="Arial" w:cs="Arial"/>
        </w:rPr>
        <w:t xml:space="preserve">empresarial </w:t>
      </w:r>
      <w:r w:rsidRPr="000159BE">
        <w:rPr>
          <w:rFonts w:ascii="Arial" w:eastAsia="Arial" w:hAnsi="Arial" w:cs="Arial"/>
        </w:rPr>
        <w:t xml:space="preserve">e ao fomento </w:t>
      </w:r>
      <w:r>
        <w:rPr>
          <w:rFonts w:ascii="Arial" w:eastAsia="Arial" w:hAnsi="Arial" w:cs="Arial"/>
        </w:rPr>
        <w:t>da</w:t>
      </w:r>
      <w:r w:rsidRPr="000159BE">
        <w:rPr>
          <w:rFonts w:ascii="Arial" w:eastAsia="Arial" w:hAnsi="Arial" w:cs="Arial"/>
        </w:rPr>
        <w:t xml:space="preserve"> inovação </w:t>
      </w:r>
      <w:r w:rsidR="008245D8">
        <w:rPr>
          <w:rFonts w:ascii="Arial" w:eastAsia="Arial" w:hAnsi="Arial" w:cs="Arial"/>
        </w:rPr>
        <w:t>d</w:t>
      </w:r>
      <w:r w:rsidRPr="000159BE">
        <w:rPr>
          <w:rFonts w:ascii="Arial" w:eastAsia="Arial" w:hAnsi="Arial" w:cs="Arial"/>
        </w:rPr>
        <w:t>o</w:t>
      </w:r>
      <w:r w:rsidR="008245D8">
        <w:rPr>
          <w:rFonts w:ascii="Arial" w:eastAsia="Arial" w:hAnsi="Arial" w:cs="Arial"/>
        </w:rPr>
        <w:t>s investimentos</w:t>
      </w:r>
      <w:r w:rsidRPr="000159BE">
        <w:rPr>
          <w:rFonts w:ascii="Arial" w:eastAsia="Arial" w:hAnsi="Arial" w:cs="Arial"/>
        </w:rPr>
        <w:t xml:space="preserve"> </w:t>
      </w:r>
      <w:r w:rsidR="008245D8">
        <w:rPr>
          <w:rFonts w:ascii="Arial" w:eastAsia="Arial" w:hAnsi="Arial" w:cs="Arial"/>
        </w:rPr>
        <w:t>nacionais</w:t>
      </w:r>
      <w:r w:rsidRPr="000159BE">
        <w:rPr>
          <w:rFonts w:ascii="Arial" w:eastAsia="Arial" w:hAnsi="Arial" w:cs="Arial"/>
        </w:rPr>
        <w:t>.</w:t>
      </w:r>
      <w:r w:rsidR="00CC0828">
        <w:rPr>
          <w:rFonts w:ascii="Arial" w:eastAsia="Arial" w:hAnsi="Arial" w:cs="Arial"/>
        </w:rPr>
        <w:t xml:space="preserve"> </w:t>
      </w:r>
    </w:p>
    <w:p w14:paraId="7A974625" w14:textId="616A36C6" w:rsidR="000159BE" w:rsidRPr="000159BE" w:rsidRDefault="000159BE" w:rsidP="000159BE">
      <w:pPr>
        <w:spacing w:line="360" w:lineRule="auto"/>
        <w:ind w:firstLine="851"/>
        <w:jc w:val="both"/>
        <w:rPr>
          <w:rFonts w:ascii="Arial" w:eastAsia="Arial" w:hAnsi="Arial" w:cs="Arial"/>
        </w:rPr>
      </w:pPr>
      <w:r w:rsidRPr="000159B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Vislumbrados </w:t>
      </w:r>
      <w:r w:rsidRPr="000159BE">
        <w:rPr>
          <w:rFonts w:ascii="Arial" w:eastAsia="Arial" w:hAnsi="Arial" w:cs="Arial"/>
        </w:rPr>
        <w:t xml:space="preserve">os instrumentos previstos, destaca-se o Sandbox </w:t>
      </w:r>
      <w:r>
        <w:rPr>
          <w:rFonts w:ascii="Arial" w:eastAsia="Arial" w:hAnsi="Arial" w:cs="Arial"/>
        </w:rPr>
        <w:t>r</w:t>
      </w:r>
      <w:r w:rsidRPr="000159BE">
        <w:rPr>
          <w:rFonts w:ascii="Arial" w:eastAsia="Arial" w:hAnsi="Arial" w:cs="Arial"/>
        </w:rPr>
        <w:t xml:space="preserve">egulatório, </w:t>
      </w:r>
      <w:r w:rsidR="004422C7">
        <w:rPr>
          <w:rFonts w:ascii="Arial" w:eastAsia="Arial" w:hAnsi="Arial" w:cs="Arial"/>
        </w:rPr>
        <w:t xml:space="preserve">termo criado nos Estados Unidos que faz menção as caixas de areia, onde crianças em espaços delimitados brincam de todas as formas, essa terminologia se encaixa por ser um </w:t>
      </w:r>
      <w:r w:rsidRPr="000159BE">
        <w:rPr>
          <w:rFonts w:ascii="Arial" w:eastAsia="Arial" w:hAnsi="Arial" w:cs="Arial"/>
        </w:rPr>
        <w:t xml:space="preserve">mecanismo </w:t>
      </w:r>
      <w:r w:rsidR="0042118C">
        <w:rPr>
          <w:rFonts w:ascii="Arial" w:eastAsia="Arial" w:hAnsi="Arial" w:cs="Arial"/>
        </w:rPr>
        <w:t>direcionad</w:t>
      </w:r>
      <w:r w:rsidRPr="000159BE">
        <w:rPr>
          <w:rFonts w:ascii="Arial" w:eastAsia="Arial" w:hAnsi="Arial" w:cs="Arial"/>
        </w:rPr>
        <w:t xml:space="preserve">o a permitir que empresas desenvolvam soluções </w:t>
      </w:r>
      <w:r w:rsidR="0042118C">
        <w:rPr>
          <w:rFonts w:ascii="Arial" w:eastAsia="Arial" w:hAnsi="Arial" w:cs="Arial"/>
        </w:rPr>
        <w:t>c</w:t>
      </w:r>
      <w:r w:rsidR="004422C7">
        <w:rPr>
          <w:rFonts w:ascii="Arial" w:eastAsia="Arial" w:hAnsi="Arial" w:cs="Arial"/>
        </w:rPr>
        <w:t>riativas e inovadoras</w:t>
      </w:r>
      <w:r w:rsidRPr="000159BE">
        <w:rPr>
          <w:rFonts w:ascii="Arial" w:eastAsia="Arial" w:hAnsi="Arial" w:cs="Arial"/>
        </w:rPr>
        <w:t xml:space="preserve"> sob condições experimentais</w:t>
      </w:r>
      <w:r w:rsidR="004422C7">
        <w:rPr>
          <w:rFonts w:ascii="Arial" w:eastAsia="Arial" w:hAnsi="Arial" w:cs="Arial"/>
        </w:rPr>
        <w:t>,</w:t>
      </w:r>
      <w:r w:rsidR="008245D8">
        <w:rPr>
          <w:rFonts w:ascii="Arial" w:eastAsia="Arial" w:hAnsi="Arial" w:cs="Arial"/>
        </w:rPr>
        <w:t xml:space="preserve"> limitadas</w:t>
      </w:r>
      <w:r w:rsidRPr="000159BE">
        <w:rPr>
          <w:rFonts w:ascii="Arial" w:eastAsia="Arial" w:hAnsi="Arial" w:cs="Arial"/>
        </w:rPr>
        <w:t xml:space="preserve"> e supervisionadas pelo Estado</w:t>
      </w:r>
      <w:r w:rsidR="004422C7">
        <w:rPr>
          <w:rFonts w:ascii="Arial" w:eastAsia="Arial" w:hAnsi="Arial" w:cs="Arial"/>
        </w:rPr>
        <w:t xml:space="preserve"> com um órgão regulador.</w:t>
      </w:r>
      <w:r w:rsidR="00CC0828">
        <w:rPr>
          <w:rFonts w:ascii="Arial" w:eastAsia="Arial" w:hAnsi="Arial" w:cs="Arial"/>
        </w:rPr>
        <w:t xml:space="preserve"> </w:t>
      </w:r>
      <w:r w:rsidR="00D317EE">
        <w:rPr>
          <w:rFonts w:ascii="Arial" w:eastAsia="Arial" w:hAnsi="Arial" w:cs="Arial"/>
        </w:rPr>
        <w:t>(</w:t>
      </w:r>
      <w:r w:rsidR="00CC0828">
        <w:rPr>
          <w:rFonts w:ascii="Arial" w:eastAsia="Arial" w:hAnsi="Arial" w:cs="Arial"/>
        </w:rPr>
        <w:t>BARBOSA</w:t>
      </w:r>
      <w:r w:rsidR="00D317EE">
        <w:rPr>
          <w:rFonts w:ascii="Arial" w:eastAsia="Arial" w:hAnsi="Arial" w:cs="Arial"/>
        </w:rPr>
        <w:t xml:space="preserve"> 202</w:t>
      </w:r>
      <w:r w:rsidR="00CC0828">
        <w:rPr>
          <w:rFonts w:ascii="Arial" w:eastAsia="Arial" w:hAnsi="Arial" w:cs="Arial"/>
        </w:rPr>
        <w:t>5</w:t>
      </w:r>
      <w:r w:rsidR="00D317EE">
        <w:rPr>
          <w:rFonts w:ascii="Arial" w:eastAsia="Arial" w:hAnsi="Arial" w:cs="Arial"/>
        </w:rPr>
        <w:t>)</w:t>
      </w:r>
    </w:p>
    <w:p w14:paraId="4C611B4F" w14:textId="01AF963D" w:rsidR="000159BE" w:rsidRDefault="0042118C" w:rsidP="000159BE">
      <w:pPr>
        <w:spacing w:line="360" w:lineRule="auto"/>
        <w:ind w:firstLine="8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Porém, apesar </w:t>
      </w:r>
      <w:r w:rsidR="000159BE" w:rsidRPr="000159BE">
        <w:rPr>
          <w:rFonts w:ascii="Arial" w:eastAsia="Arial" w:hAnsi="Arial" w:cs="Arial"/>
        </w:rPr>
        <w:t>de seu</w:t>
      </w:r>
      <w:r w:rsidR="008245D8">
        <w:rPr>
          <w:rFonts w:ascii="Arial" w:eastAsia="Arial" w:hAnsi="Arial" w:cs="Arial"/>
        </w:rPr>
        <w:t xml:space="preserve"> elevado</w:t>
      </w:r>
      <w:r w:rsidR="000159BE" w:rsidRPr="000159BE">
        <w:rPr>
          <w:rFonts w:ascii="Arial" w:eastAsia="Arial" w:hAnsi="Arial" w:cs="Arial"/>
        </w:rPr>
        <w:t xml:space="preserve"> potencial para dinamizar o ecossistema empresarial, a implementação prática desse modelo evidencia </w:t>
      </w:r>
      <w:r w:rsidR="000159BE">
        <w:rPr>
          <w:rFonts w:ascii="Arial" w:eastAsia="Arial" w:hAnsi="Arial" w:cs="Arial"/>
        </w:rPr>
        <w:t>deficiências</w:t>
      </w:r>
      <w:r w:rsidR="000159BE" w:rsidRPr="000159BE">
        <w:rPr>
          <w:rFonts w:ascii="Arial" w:eastAsia="Arial" w:hAnsi="Arial" w:cs="Arial"/>
        </w:rPr>
        <w:t xml:space="preserve"> significativ</w:t>
      </w:r>
      <w:r w:rsidR="000159BE">
        <w:rPr>
          <w:rFonts w:ascii="Arial" w:eastAsia="Arial" w:hAnsi="Arial" w:cs="Arial"/>
        </w:rPr>
        <w:t>a</w:t>
      </w:r>
      <w:r w:rsidR="000159BE" w:rsidRPr="000159BE">
        <w:rPr>
          <w:rFonts w:ascii="Arial" w:eastAsia="Arial" w:hAnsi="Arial" w:cs="Arial"/>
        </w:rPr>
        <w:t>s</w:t>
      </w:r>
      <w:r w:rsidR="000159BE">
        <w:rPr>
          <w:rFonts w:ascii="Arial" w:eastAsia="Arial" w:hAnsi="Arial" w:cs="Arial"/>
        </w:rPr>
        <w:t>, como lacunas</w:t>
      </w:r>
      <w:r w:rsidR="000159BE" w:rsidRPr="000159BE">
        <w:rPr>
          <w:rFonts w:ascii="Arial" w:eastAsia="Arial" w:hAnsi="Arial" w:cs="Arial"/>
        </w:rPr>
        <w:t xml:space="preserve"> estrutur</w:t>
      </w:r>
      <w:r w:rsidR="000159BE">
        <w:rPr>
          <w:rFonts w:ascii="Arial" w:eastAsia="Arial" w:hAnsi="Arial" w:cs="Arial"/>
        </w:rPr>
        <w:t>ais</w:t>
      </w:r>
      <w:r w:rsidR="000159BE" w:rsidRPr="000159BE">
        <w:rPr>
          <w:rFonts w:ascii="Arial" w:eastAsia="Arial" w:hAnsi="Arial" w:cs="Arial"/>
        </w:rPr>
        <w:t xml:space="preserve"> dos órgãos públicos, </w:t>
      </w:r>
      <w:r w:rsidR="000159BE">
        <w:rPr>
          <w:rFonts w:ascii="Arial" w:eastAsia="Arial" w:hAnsi="Arial" w:cs="Arial"/>
        </w:rPr>
        <w:t>uma</w:t>
      </w:r>
      <w:r w:rsidR="000159BE" w:rsidRPr="000159BE">
        <w:rPr>
          <w:rFonts w:ascii="Arial" w:eastAsia="Arial" w:hAnsi="Arial" w:cs="Arial"/>
        </w:rPr>
        <w:t xml:space="preserve"> assimetria de </w:t>
      </w:r>
      <w:r w:rsidR="000159BE" w:rsidRPr="000159BE">
        <w:rPr>
          <w:rFonts w:ascii="Arial" w:eastAsia="Arial" w:hAnsi="Arial" w:cs="Arial"/>
        </w:rPr>
        <w:lastRenderedPageBreak/>
        <w:t xml:space="preserve">informações entre </w:t>
      </w:r>
      <w:r w:rsidR="000159BE">
        <w:rPr>
          <w:rFonts w:ascii="Arial" w:eastAsia="Arial" w:hAnsi="Arial" w:cs="Arial"/>
        </w:rPr>
        <w:t>o</w:t>
      </w:r>
      <w:r w:rsidR="0097043E">
        <w:rPr>
          <w:rFonts w:ascii="Arial" w:eastAsia="Arial" w:hAnsi="Arial" w:cs="Arial"/>
        </w:rPr>
        <w:t xml:space="preserve"> órgão</w:t>
      </w:r>
      <w:r w:rsidR="000159BE">
        <w:rPr>
          <w:rFonts w:ascii="Arial" w:eastAsia="Arial" w:hAnsi="Arial" w:cs="Arial"/>
        </w:rPr>
        <w:t xml:space="preserve"> </w:t>
      </w:r>
      <w:r w:rsidR="000159BE" w:rsidRPr="000159BE">
        <w:rPr>
          <w:rFonts w:ascii="Arial" w:eastAsia="Arial" w:hAnsi="Arial" w:cs="Arial"/>
        </w:rPr>
        <w:t>regulador</w:t>
      </w:r>
      <w:r w:rsidR="000159BE">
        <w:rPr>
          <w:rFonts w:ascii="Arial" w:eastAsia="Arial" w:hAnsi="Arial" w:cs="Arial"/>
        </w:rPr>
        <w:t xml:space="preserve"> e </w:t>
      </w:r>
      <w:r w:rsidR="000159BE" w:rsidRPr="000159BE">
        <w:rPr>
          <w:rFonts w:ascii="Arial" w:eastAsia="Arial" w:hAnsi="Arial" w:cs="Arial"/>
        </w:rPr>
        <w:t>empresas e</w:t>
      </w:r>
      <w:r w:rsidR="0097043E">
        <w:rPr>
          <w:rFonts w:ascii="Arial" w:eastAsia="Arial" w:hAnsi="Arial" w:cs="Arial"/>
        </w:rPr>
        <w:t>m consolidação com um sentimento de</w:t>
      </w:r>
      <w:r w:rsidR="000159BE" w:rsidRPr="000159BE">
        <w:rPr>
          <w:rFonts w:ascii="Arial" w:eastAsia="Arial" w:hAnsi="Arial" w:cs="Arial"/>
        </w:rPr>
        <w:t xml:space="preserve"> insegurança jurídica gerada pela flexibilização </w:t>
      </w:r>
      <w:r w:rsidR="000159BE">
        <w:rPr>
          <w:rFonts w:ascii="Arial" w:eastAsia="Arial" w:hAnsi="Arial" w:cs="Arial"/>
        </w:rPr>
        <w:t>da norma</w:t>
      </w:r>
      <w:r w:rsidR="000159BE" w:rsidRPr="000159BE">
        <w:rPr>
          <w:rFonts w:ascii="Arial" w:eastAsia="Arial" w:hAnsi="Arial" w:cs="Arial"/>
        </w:rPr>
        <w:t xml:space="preserve">. </w:t>
      </w:r>
      <w:r w:rsidR="0097043E">
        <w:rPr>
          <w:rFonts w:ascii="Arial" w:eastAsia="Arial" w:hAnsi="Arial" w:cs="Arial"/>
        </w:rPr>
        <w:t>(</w:t>
      </w:r>
      <w:r w:rsidR="00D317EE">
        <w:rPr>
          <w:rFonts w:ascii="Arial" w:eastAsia="Arial" w:hAnsi="Arial" w:cs="Arial"/>
        </w:rPr>
        <w:t>HEINEN  2022</w:t>
      </w:r>
      <w:r w:rsidR="0097043E">
        <w:rPr>
          <w:rFonts w:ascii="Arial" w:eastAsia="Arial" w:hAnsi="Arial" w:cs="Arial"/>
        </w:rPr>
        <w:t xml:space="preserve">) </w:t>
      </w:r>
    </w:p>
    <w:p w14:paraId="25B12A2F" w14:textId="64CE22E9" w:rsidR="00A24DC6" w:rsidRDefault="000159BE" w:rsidP="00A24DC6">
      <w:pPr>
        <w:spacing w:line="360" w:lineRule="auto"/>
        <w:ind w:firstLine="851"/>
        <w:jc w:val="both"/>
        <w:rPr>
          <w:rFonts w:ascii="Arial" w:eastAsia="Arial" w:hAnsi="Arial" w:cs="Arial"/>
        </w:rPr>
      </w:pPr>
      <w:r w:rsidRPr="000159BE">
        <w:rPr>
          <w:rFonts w:ascii="Arial" w:eastAsia="Arial" w:hAnsi="Arial" w:cs="Arial"/>
        </w:rPr>
        <w:t xml:space="preserve">Tais fatores </w:t>
      </w:r>
      <w:r>
        <w:rPr>
          <w:rFonts w:ascii="Arial" w:eastAsia="Arial" w:hAnsi="Arial" w:cs="Arial"/>
        </w:rPr>
        <w:t>acabam</w:t>
      </w:r>
      <w:r w:rsidR="00013535">
        <w:rPr>
          <w:rFonts w:ascii="Arial" w:eastAsia="Arial" w:hAnsi="Arial" w:cs="Arial"/>
        </w:rPr>
        <w:t xml:space="preserve"> prejudicando</w:t>
      </w:r>
      <w:r w:rsidRPr="000159BE">
        <w:rPr>
          <w:rFonts w:ascii="Arial" w:eastAsia="Arial" w:hAnsi="Arial" w:cs="Arial"/>
        </w:rPr>
        <w:t xml:space="preserve"> a efetividade da </w:t>
      </w:r>
      <w:r w:rsidR="0097043E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ei</w:t>
      </w:r>
      <w:r w:rsidRPr="000159BE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 xml:space="preserve">pois desenvolvem </w:t>
      </w:r>
      <w:r w:rsidRPr="000159BE">
        <w:rPr>
          <w:rFonts w:ascii="Arial" w:eastAsia="Arial" w:hAnsi="Arial" w:cs="Arial"/>
        </w:rPr>
        <w:t xml:space="preserve">um descompasso entre a inovação pretendida pelo legislador e a </w:t>
      </w:r>
      <w:r>
        <w:rPr>
          <w:rFonts w:ascii="Arial" w:eastAsia="Arial" w:hAnsi="Arial" w:cs="Arial"/>
        </w:rPr>
        <w:t xml:space="preserve">falta da </w:t>
      </w:r>
      <w:r w:rsidRPr="000159BE">
        <w:rPr>
          <w:rFonts w:ascii="Arial" w:eastAsia="Arial" w:hAnsi="Arial" w:cs="Arial"/>
        </w:rPr>
        <w:t>capacidade administrativa necessária para sua</w:t>
      </w:r>
      <w:r w:rsidR="00013535">
        <w:rPr>
          <w:rFonts w:ascii="Arial" w:eastAsia="Arial" w:hAnsi="Arial" w:cs="Arial"/>
        </w:rPr>
        <w:t xml:space="preserve"> devida</w:t>
      </w:r>
      <w:r w:rsidRPr="000159BE">
        <w:rPr>
          <w:rFonts w:ascii="Arial" w:eastAsia="Arial" w:hAnsi="Arial" w:cs="Arial"/>
        </w:rPr>
        <w:t xml:space="preserve"> execução.</w:t>
      </w:r>
    </w:p>
    <w:p w14:paraId="7C8BE84E" w14:textId="77777777" w:rsidR="00A24DC6" w:rsidRDefault="00A24DC6" w:rsidP="00A24DC6">
      <w:pPr>
        <w:spacing w:line="360" w:lineRule="auto"/>
        <w:ind w:firstLine="851"/>
        <w:jc w:val="both"/>
        <w:rPr>
          <w:rFonts w:ascii="Arial" w:eastAsia="Arial" w:hAnsi="Arial" w:cs="Arial"/>
        </w:rPr>
      </w:pPr>
    </w:p>
    <w:p w14:paraId="48FAE29F" w14:textId="5D93831F" w:rsidR="00C77CE4" w:rsidRDefault="009D2BA5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Objetivos</w:t>
      </w:r>
    </w:p>
    <w:p w14:paraId="26D194FD" w14:textId="77777777" w:rsidR="00A24DC6" w:rsidRDefault="00A24DC6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78DDEE20" w14:textId="4DB1ACEF" w:rsidR="000159BE" w:rsidRDefault="000159BE" w:rsidP="000159BE">
      <w:pPr>
        <w:spacing w:line="360" w:lineRule="auto"/>
        <w:ind w:firstLine="8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Diante da presente proposição, a pesquisa </w:t>
      </w:r>
      <w:r w:rsidR="00FC55EA">
        <w:rPr>
          <w:rFonts w:ascii="Arial" w:eastAsia="Arial" w:hAnsi="Arial" w:cs="Arial"/>
        </w:rPr>
        <w:t xml:space="preserve">divide-se primeiramente em </w:t>
      </w:r>
      <w:r>
        <w:rPr>
          <w:rFonts w:ascii="Arial" w:eastAsia="Arial" w:hAnsi="Arial" w:cs="Arial"/>
        </w:rPr>
        <w:t>averiguar a existência de</w:t>
      </w:r>
      <w:r w:rsidR="00013535">
        <w:rPr>
          <w:rFonts w:ascii="Arial" w:eastAsia="Arial" w:hAnsi="Arial" w:cs="Arial"/>
        </w:rPr>
        <w:t xml:space="preserve"> possíveis</w:t>
      </w:r>
      <w:r>
        <w:rPr>
          <w:rFonts w:ascii="Arial" w:eastAsia="Arial" w:hAnsi="Arial" w:cs="Arial"/>
        </w:rPr>
        <w:t xml:space="preserve"> conflitos entre a proposta elencada pela LC n°182/2021 e</w:t>
      </w:r>
      <w:r w:rsidR="00FC55EA">
        <w:rPr>
          <w:rFonts w:ascii="Arial" w:eastAsia="Arial" w:hAnsi="Arial" w:cs="Arial"/>
        </w:rPr>
        <w:t xml:space="preserve"> posteriormente sua</w:t>
      </w:r>
      <w:r>
        <w:rPr>
          <w:rFonts w:ascii="Arial" w:eastAsia="Arial" w:hAnsi="Arial" w:cs="Arial"/>
        </w:rPr>
        <w:t xml:space="preserve"> reflexão no </w:t>
      </w:r>
      <w:r w:rsidR="00FC55EA">
        <w:rPr>
          <w:rFonts w:ascii="Arial" w:eastAsia="Arial" w:hAnsi="Arial" w:cs="Arial"/>
        </w:rPr>
        <w:t>mercado</w:t>
      </w:r>
      <w:r>
        <w:rPr>
          <w:rFonts w:ascii="Arial" w:eastAsia="Arial" w:hAnsi="Arial" w:cs="Arial"/>
        </w:rPr>
        <w:t xml:space="preserve"> brasileiro.</w:t>
      </w:r>
    </w:p>
    <w:p w14:paraId="75053D67" w14:textId="52EF0486" w:rsidR="000159BE" w:rsidRDefault="000159BE" w:rsidP="000159BE">
      <w:pPr>
        <w:spacing w:line="360" w:lineRule="auto"/>
        <w:ind w:firstLine="8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Não basta apenas concretizar a</w:t>
      </w:r>
      <w:r w:rsidR="0042118C">
        <w:rPr>
          <w:rFonts w:ascii="Arial" w:eastAsia="Arial" w:hAnsi="Arial" w:cs="Arial"/>
        </w:rPr>
        <w:t xml:space="preserve"> existência de </w:t>
      </w:r>
      <w:r>
        <w:rPr>
          <w:rFonts w:ascii="Arial" w:eastAsia="Arial" w:hAnsi="Arial" w:cs="Arial"/>
        </w:rPr>
        <w:t>lacunas doutrinárias, mas sim documentar os efeitos d</w:t>
      </w:r>
      <w:r w:rsidR="00013535">
        <w:rPr>
          <w:rFonts w:ascii="Arial" w:eastAsia="Arial" w:hAnsi="Arial" w:cs="Arial"/>
        </w:rPr>
        <w:t xml:space="preserve">a sua </w:t>
      </w:r>
      <w:r>
        <w:rPr>
          <w:rFonts w:ascii="Arial" w:eastAsia="Arial" w:hAnsi="Arial" w:cs="Arial"/>
        </w:rPr>
        <w:t>gestão no balanço monetário nacional, grandes alterações como a ‘’Lei das Startups’’ impactam a direção do ramo corporativo</w:t>
      </w:r>
      <w:r w:rsidR="0042118C">
        <w:rPr>
          <w:rFonts w:ascii="Arial" w:eastAsia="Arial" w:hAnsi="Arial" w:cs="Arial"/>
        </w:rPr>
        <w:t>.</w:t>
      </w:r>
    </w:p>
    <w:p w14:paraId="79D24E4A" w14:textId="7166AD87" w:rsidR="0042118C" w:rsidRPr="0042118C" w:rsidRDefault="00FC55EA" w:rsidP="0042118C">
      <w:pPr>
        <w:spacing w:line="360" w:lineRule="auto"/>
        <w:ind w:firstLine="8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Destarte</w:t>
      </w:r>
      <w:r w:rsidR="0042118C" w:rsidRPr="0042118C">
        <w:rPr>
          <w:rFonts w:ascii="Arial" w:eastAsia="Arial" w:hAnsi="Arial" w:cs="Arial"/>
        </w:rPr>
        <w:t xml:space="preserve">, propõe-se examinar os impactos que </w:t>
      </w:r>
      <w:r w:rsidR="004422C7">
        <w:rPr>
          <w:rFonts w:ascii="Arial" w:eastAsia="Arial" w:hAnsi="Arial" w:cs="Arial"/>
        </w:rPr>
        <w:t xml:space="preserve">a sua </w:t>
      </w:r>
      <w:r w:rsidR="0042118C" w:rsidRPr="0042118C">
        <w:rPr>
          <w:rFonts w:ascii="Arial" w:eastAsia="Arial" w:hAnsi="Arial" w:cs="Arial"/>
        </w:rPr>
        <w:t>gestão produz na segurança jurídica e no ambiente d</w:t>
      </w:r>
      <w:r w:rsidR="0042118C">
        <w:rPr>
          <w:rFonts w:ascii="Arial" w:eastAsia="Arial" w:hAnsi="Arial" w:cs="Arial"/>
        </w:rPr>
        <w:t>a aclamada</w:t>
      </w:r>
      <w:r w:rsidR="0042118C" w:rsidRPr="0042118C">
        <w:rPr>
          <w:rFonts w:ascii="Arial" w:eastAsia="Arial" w:hAnsi="Arial" w:cs="Arial"/>
        </w:rPr>
        <w:t xml:space="preserve"> inovação, </w:t>
      </w:r>
      <w:r w:rsidR="004422C7">
        <w:rPr>
          <w:rFonts w:ascii="Arial" w:eastAsia="Arial" w:hAnsi="Arial" w:cs="Arial"/>
        </w:rPr>
        <w:t>podendo comprometer</w:t>
      </w:r>
      <w:r w:rsidR="0042118C" w:rsidRPr="0042118C">
        <w:rPr>
          <w:rFonts w:ascii="Arial" w:eastAsia="Arial" w:hAnsi="Arial" w:cs="Arial"/>
        </w:rPr>
        <w:t xml:space="preserve"> a previsibilidade e a confiança necessárias ao desenvolvimento empresarial.</w:t>
      </w:r>
    </w:p>
    <w:p w14:paraId="141265D2" w14:textId="5F6DD242" w:rsidR="0042118C" w:rsidRPr="0042118C" w:rsidRDefault="0042118C" w:rsidP="0042118C">
      <w:pPr>
        <w:spacing w:line="360" w:lineRule="auto"/>
        <w:ind w:firstLine="851"/>
        <w:jc w:val="both"/>
        <w:rPr>
          <w:rFonts w:ascii="Arial" w:eastAsia="Arial" w:hAnsi="Arial" w:cs="Arial"/>
        </w:rPr>
      </w:pPr>
      <w:r w:rsidRPr="0042118C">
        <w:rPr>
          <w:rFonts w:ascii="Arial" w:eastAsia="Arial" w:hAnsi="Arial" w:cs="Arial"/>
        </w:rPr>
        <w:t>Por fim, pretende-se avaliar os reflexos da legislação</w:t>
      </w:r>
      <w:r>
        <w:rPr>
          <w:rFonts w:ascii="Arial" w:eastAsia="Arial" w:hAnsi="Arial" w:cs="Arial"/>
        </w:rPr>
        <w:t>,</w:t>
      </w:r>
      <w:r w:rsidRPr="0042118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após os decorridos 4 anos de sua implementação no </w:t>
      </w:r>
      <w:r w:rsidRPr="0042118C">
        <w:rPr>
          <w:rFonts w:ascii="Arial" w:eastAsia="Arial" w:hAnsi="Arial" w:cs="Arial"/>
        </w:rPr>
        <w:t xml:space="preserve">sistema corporativo nacional, destacando </w:t>
      </w:r>
      <w:r>
        <w:rPr>
          <w:rFonts w:ascii="Arial" w:eastAsia="Arial" w:hAnsi="Arial" w:cs="Arial"/>
        </w:rPr>
        <w:t xml:space="preserve">as adversidades </w:t>
      </w:r>
      <w:r w:rsidRPr="0042118C">
        <w:rPr>
          <w:rFonts w:ascii="Arial" w:eastAsia="Arial" w:hAnsi="Arial" w:cs="Arial"/>
        </w:rPr>
        <w:t>e limitações que se impõem à sua plena execução.</w:t>
      </w:r>
    </w:p>
    <w:p w14:paraId="681B08D0" w14:textId="77777777" w:rsidR="00C77CE4" w:rsidRDefault="00C77CE4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1965EEF9" w14:textId="77777777" w:rsidR="00D317EE" w:rsidRPr="00D317EE" w:rsidRDefault="00D317EE" w:rsidP="00D317EE">
      <w:pPr>
        <w:spacing w:line="360" w:lineRule="auto"/>
        <w:jc w:val="both"/>
        <w:rPr>
          <w:rFonts w:ascii="Arial" w:eastAsia="Arial" w:hAnsi="Arial" w:cs="Arial"/>
          <w:b/>
        </w:rPr>
      </w:pPr>
      <w:r w:rsidRPr="00D317EE">
        <w:rPr>
          <w:rFonts w:ascii="Arial" w:eastAsia="Arial" w:hAnsi="Arial" w:cs="Arial"/>
          <w:b/>
        </w:rPr>
        <w:t>Métodos e técnicas de pesquisa</w:t>
      </w:r>
    </w:p>
    <w:p w14:paraId="2484431B" w14:textId="77777777" w:rsidR="00091C37" w:rsidRDefault="00091C37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4EA3357A" w14:textId="035D0A98" w:rsidR="00E71CC2" w:rsidRPr="00E71CC2" w:rsidRDefault="009229B2" w:rsidP="00091C37">
      <w:pPr>
        <w:spacing w:line="360" w:lineRule="auto"/>
        <w:ind w:firstLine="851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Na presente pesquisa adotou-se</w:t>
      </w:r>
      <w:r w:rsidR="00E71CC2" w:rsidRPr="00E71CC2">
        <w:rPr>
          <w:rFonts w:ascii="Arial" w:eastAsia="Arial" w:hAnsi="Arial" w:cs="Arial"/>
          <w:color w:val="000000" w:themeColor="text1"/>
        </w:rPr>
        <w:t xml:space="preserve"> o método dedutivo, partindo da análise da Lei Complementar nº 182/2021 e d</w:t>
      </w:r>
      <w:r w:rsidR="00F021D4">
        <w:rPr>
          <w:rFonts w:ascii="Arial" w:eastAsia="Arial" w:hAnsi="Arial" w:cs="Arial"/>
          <w:color w:val="000000" w:themeColor="text1"/>
        </w:rPr>
        <w:t xml:space="preserve">a </w:t>
      </w:r>
      <w:r w:rsidR="004422C7">
        <w:rPr>
          <w:rFonts w:ascii="Arial" w:eastAsia="Arial" w:hAnsi="Arial" w:cs="Arial"/>
          <w:color w:val="000000" w:themeColor="text1"/>
        </w:rPr>
        <w:t xml:space="preserve">Lei </w:t>
      </w:r>
      <w:r w:rsidR="004422C7" w:rsidRPr="00BB0283">
        <w:rPr>
          <w:rFonts w:ascii="Arial" w:eastAsia="Arial" w:hAnsi="Arial" w:cs="Arial"/>
          <w:color w:val="000000" w:themeColor="text1"/>
        </w:rPr>
        <w:t>13.874</w:t>
      </w:r>
      <w:r w:rsidR="004422C7">
        <w:rPr>
          <w:rFonts w:ascii="Arial" w:eastAsia="Arial" w:hAnsi="Arial" w:cs="Arial"/>
          <w:color w:val="000000" w:themeColor="text1"/>
        </w:rPr>
        <w:t>/2019 referentes ao</w:t>
      </w:r>
      <w:r w:rsidR="00E71CC2" w:rsidRPr="00E71CC2">
        <w:rPr>
          <w:rFonts w:ascii="Arial" w:eastAsia="Arial" w:hAnsi="Arial" w:cs="Arial"/>
          <w:color w:val="000000" w:themeColor="text1"/>
        </w:rPr>
        <w:t xml:space="preserve"> Sandbox Regulatório para, em seguida, exam</w:t>
      </w:r>
      <w:r>
        <w:rPr>
          <w:rFonts w:ascii="Arial" w:eastAsia="Arial" w:hAnsi="Arial" w:cs="Arial"/>
          <w:color w:val="000000" w:themeColor="text1"/>
        </w:rPr>
        <w:t xml:space="preserve">inar a eficácia de sua aplicação </w:t>
      </w:r>
      <w:r w:rsidR="00E71CC2" w:rsidRPr="00E71CC2">
        <w:rPr>
          <w:rFonts w:ascii="Arial" w:eastAsia="Arial" w:hAnsi="Arial" w:cs="Arial"/>
          <w:color w:val="000000" w:themeColor="text1"/>
        </w:rPr>
        <w:t>e os entraves institucionais que comprometem a efetividade da norma no direito empresarial brasileiro.</w:t>
      </w:r>
      <w:r w:rsidR="007F769A">
        <w:rPr>
          <w:rFonts w:ascii="Arial" w:eastAsia="Arial" w:hAnsi="Arial" w:cs="Arial"/>
          <w:color w:val="000000" w:themeColor="text1"/>
        </w:rPr>
        <w:t xml:space="preserve"> </w:t>
      </w:r>
      <w:r w:rsidR="00E71CC2" w:rsidRPr="00E71CC2">
        <w:rPr>
          <w:rFonts w:ascii="Arial" w:eastAsia="Arial" w:hAnsi="Arial" w:cs="Arial"/>
          <w:color w:val="000000" w:themeColor="text1"/>
        </w:rPr>
        <w:t>Essa abordagem permit</w:t>
      </w:r>
      <w:r w:rsidR="007F769A">
        <w:rPr>
          <w:rFonts w:ascii="Arial" w:eastAsia="Arial" w:hAnsi="Arial" w:cs="Arial"/>
          <w:color w:val="000000" w:themeColor="text1"/>
        </w:rPr>
        <w:t>iu</w:t>
      </w:r>
      <w:r w:rsidR="00E71CC2" w:rsidRPr="00E71CC2">
        <w:rPr>
          <w:rFonts w:ascii="Arial" w:eastAsia="Arial" w:hAnsi="Arial" w:cs="Arial"/>
          <w:color w:val="000000" w:themeColor="text1"/>
        </w:rPr>
        <w:t xml:space="preserve"> identificar o descompasso entre a inovação legislativa e a realidade estrutural da </w:t>
      </w:r>
      <w:r w:rsidR="00F021D4">
        <w:rPr>
          <w:rFonts w:ascii="Arial" w:eastAsia="Arial" w:hAnsi="Arial" w:cs="Arial"/>
          <w:color w:val="000000" w:themeColor="text1"/>
        </w:rPr>
        <w:t>a</w:t>
      </w:r>
      <w:r w:rsidR="00E71CC2" w:rsidRPr="00E71CC2">
        <w:rPr>
          <w:rFonts w:ascii="Arial" w:eastAsia="Arial" w:hAnsi="Arial" w:cs="Arial"/>
          <w:color w:val="000000" w:themeColor="text1"/>
        </w:rPr>
        <w:t xml:space="preserve">dministração </w:t>
      </w:r>
      <w:r w:rsidR="007F769A">
        <w:rPr>
          <w:rFonts w:ascii="Arial" w:eastAsia="Arial" w:hAnsi="Arial" w:cs="Arial"/>
          <w:color w:val="000000" w:themeColor="text1"/>
        </w:rPr>
        <w:t>normativa</w:t>
      </w:r>
      <w:r w:rsidR="00E71CC2" w:rsidRPr="00E71CC2">
        <w:rPr>
          <w:rFonts w:ascii="Arial" w:eastAsia="Arial" w:hAnsi="Arial" w:cs="Arial"/>
          <w:color w:val="000000" w:themeColor="text1"/>
        </w:rPr>
        <w:t xml:space="preserve">, evidenciando a relação entre o plano </w:t>
      </w:r>
      <w:r w:rsidR="007F769A">
        <w:rPr>
          <w:rFonts w:ascii="Arial" w:eastAsia="Arial" w:hAnsi="Arial" w:cs="Arial"/>
          <w:color w:val="000000" w:themeColor="text1"/>
        </w:rPr>
        <w:t>legislativo</w:t>
      </w:r>
      <w:r w:rsidR="00E71CC2" w:rsidRPr="00E71CC2">
        <w:rPr>
          <w:rFonts w:ascii="Arial" w:eastAsia="Arial" w:hAnsi="Arial" w:cs="Arial"/>
          <w:color w:val="000000" w:themeColor="text1"/>
        </w:rPr>
        <w:t xml:space="preserve"> e sua aplicação prática</w:t>
      </w:r>
      <w:r w:rsidR="007F769A">
        <w:rPr>
          <w:rFonts w:ascii="Arial" w:eastAsia="Arial" w:hAnsi="Arial" w:cs="Arial"/>
          <w:color w:val="000000" w:themeColor="text1"/>
        </w:rPr>
        <w:t>.</w:t>
      </w:r>
    </w:p>
    <w:p w14:paraId="7B7F61E2" w14:textId="77777777" w:rsidR="00D317EE" w:rsidRDefault="00C34E94" w:rsidP="00091C37">
      <w:pPr>
        <w:spacing w:line="360" w:lineRule="auto"/>
        <w:ind w:firstLine="851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lastRenderedPageBreak/>
        <w:t>Em relação as</w:t>
      </w:r>
      <w:r w:rsidR="00E71CC2" w:rsidRPr="00E71CC2">
        <w:rPr>
          <w:rFonts w:ascii="Arial" w:eastAsia="Arial" w:hAnsi="Arial" w:cs="Arial"/>
          <w:color w:val="000000" w:themeColor="text1"/>
        </w:rPr>
        <w:t xml:space="preserve"> técnicas de pesquisa, </w:t>
      </w:r>
      <w:r w:rsidR="007F769A">
        <w:rPr>
          <w:rFonts w:ascii="Arial" w:eastAsia="Arial" w:hAnsi="Arial" w:cs="Arial"/>
          <w:color w:val="000000" w:themeColor="text1"/>
        </w:rPr>
        <w:t>foi</w:t>
      </w:r>
      <w:r w:rsidR="00E71CC2" w:rsidRPr="00E71CC2">
        <w:rPr>
          <w:rFonts w:ascii="Arial" w:eastAsia="Arial" w:hAnsi="Arial" w:cs="Arial"/>
          <w:color w:val="000000" w:themeColor="text1"/>
        </w:rPr>
        <w:t xml:space="preserve"> utilizada a </w:t>
      </w:r>
      <w:r>
        <w:rPr>
          <w:rFonts w:ascii="Arial" w:eastAsia="Arial" w:hAnsi="Arial" w:cs="Arial"/>
          <w:color w:val="000000" w:themeColor="text1"/>
        </w:rPr>
        <w:t xml:space="preserve">forma </w:t>
      </w:r>
      <w:r w:rsidR="00E71CC2" w:rsidRPr="00E71CC2">
        <w:rPr>
          <w:rFonts w:ascii="Arial" w:eastAsia="Arial" w:hAnsi="Arial" w:cs="Arial"/>
          <w:color w:val="000000" w:themeColor="text1"/>
        </w:rPr>
        <w:t xml:space="preserve">documental indireta, </w:t>
      </w:r>
      <w:r>
        <w:rPr>
          <w:rFonts w:ascii="Arial" w:eastAsia="Arial" w:hAnsi="Arial" w:cs="Arial"/>
          <w:color w:val="000000" w:themeColor="text1"/>
        </w:rPr>
        <w:t>lastread</w:t>
      </w:r>
      <w:r w:rsidR="009229B2">
        <w:rPr>
          <w:rFonts w:ascii="Arial" w:eastAsia="Arial" w:hAnsi="Arial" w:cs="Arial"/>
          <w:color w:val="000000" w:themeColor="text1"/>
        </w:rPr>
        <w:t>a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="00E71CC2" w:rsidRPr="00E71CC2">
        <w:rPr>
          <w:rFonts w:ascii="Arial" w:eastAsia="Arial" w:hAnsi="Arial" w:cs="Arial"/>
          <w:color w:val="000000" w:themeColor="text1"/>
        </w:rPr>
        <w:t>em bibliografia</w:t>
      </w:r>
      <w:r>
        <w:rPr>
          <w:rFonts w:ascii="Arial" w:eastAsia="Arial" w:hAnsi="Arial" w:cs="Arial"/>
          <w:color w:val="000000" w:themeColor="text1"/>
        </w:rPr>
        <w:t>s</w:t>
      </w:r>
      <w:r w:rsidR="00E71CC2" w:rsidRPr="00E71CC2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 xml:space="preserve">centralizadas nos impactos da legislação </w:t>
      </w:r>
      <w:r w:rsidR="00E71CC2" w:rsidRPr="00E71CC2">
        <w:rPr>
          <w:rFonts w:ascii="Arial" w:eastAsia="Arial" w:hAnsi="Arial" w:cs="Arial"/>
          <w:color w:val="000000" w:themeColor="text1"/>
        </w:rPr>
        <w:t>e em documentos normativos</w:t>
      </w:r>
      <w:r w:rsidR="004422C7">
        <w:rPr>
          <w:rFonts w:ascii="Arial" w:eastAsia="Arial" w:hAnsi="Arial" w:cs="Arial"/>
          <w:color w:val="000000" w:themeColor="text1"/>
        </w:rPr>
        <w:t xml:space="preserve"> como o relatório publicado pelo TCU em 2023 referente ao tema ‘’Sandbox regulatório no marco legal das Startups’’ escrito por Rafael Carvalho de Fassio</w:t>
      </w:r>
      <w:r w:rsidR="00E71CC2" w:rsidRPr="00E71CC2">
        <w:rPr>
          <w:rFonts w:ascii="Arial" w:eastAsia="Arial" w:hAnsi="Arial" w:cs="Arial"/>
          <w:color w:val="000000" w:themeColor="text1"/>
        </w:rPr>
        <w:t xml:space="preserve">. </w:t>
      </w:r>
      <w:r>
        <w:rPr>
          <w:rFonts w:ascii="Arial" w:eastAsia="Arial" w:hAnsi="Arial" w:cs="Arial"/>
          <w:color w:val="000000" w:themeColor="text1"/>
        </w:rPr>
        <w:t>Dentre as predominantes</w:t>
      </w:r>
      <w:r w:rsidR="004422C7">
        <w:rPr>
          <w:rFonts w:ascii="Arial" w:eastAsia="Arial" w:hAnsi="Arial" w:cs="Arial"/>
          <w:color w:val="000000" w:themeColor="text1"/>
        </w:rPr>
        <w:t>,</w:t>
      </w:r>
      <w:r w:rsidR="00E71CC2" w:rsidRPr="00E71CC2">
        <w:rPr>
          <w:rFonts w:ascii="Arial" w:eastAsia="Arial" w:hAnsi="Arial" w:cs="Arial"/>
          <w:color w:val="000000" w:themeColor="text1"/>
        </w:rPr>
        <w:t xml:space="preserve"> artigos científicos nacionais que </w:t>
      </w:r>
      <w:r w:rsidR="009229B2">
        <w:rPr>
          <w:rFonts w:ascii="Arial" w:eastAsia="Arial" w:hAnsi="Arial" w:cs="Arial"/>
          <w:color w:val="000000" w:themeColor="text1"/>
        </w:rPr>
        <w:t>aprofundam-se amplamente na regulação experimental</w:t>
      </w:r>
      <w:r w:rsidR="00E71CC2" w:rsidRPr="00E71CC2">
        <w:rPr>
          <w:rFonts w:ascii="Arial" w:eastAsia="Arial" w:hAnsi="Arial" w:cs="Arial"/>
          <w:color w:val="000000" w:themeColor="text1"/>
        </w:rPr>
        <w:t>, como os trabalhos de Blanchet, Gazotto e Ferneda</w:t>
      </w:r>
      <w:r w:rsidR="009229B2">
        <w:rPr>
          <w:rFonts w:ascii="Arial" w:eastAsia="Arial" w:hAnsi="Arial" w:cs="Arial"/>
          <w:color w:val="000000" w:themeColor="text1"/>
        </w:rPr>
        <w:t xml:space="preserve"> pelo</w:t>
      </w:r>
      <w:r w:rsidR="009229B2" w:rsidRPr="009229B2">
        <w:rPr>
          <w:rFonts w:ascii="Arial" w:eastAsia="Arial" w:hAnsi="Arial" w:cs="Arial"/>
          <w:color w:val="000000" w:themeColor="text1"/>
        </w:rPr>
        <w:t xml:space="preserve"> </w:t>
      </w:r>
      <w:r w:rsidR="009229B2">
        <w:rPr>
          <w:rFonts w:ascii="Arial" w:eastAsia="Arial" w:hAnsi="Arial" w:cs="Arial"/>
          <w:color w:val="000000" w:themeColor="text1"/>
        </w:rPr>
        <w:t>‘’</w:t>
      </w:r>
      <w:r w:rsidR="009229B2" w:rsidRPr="009229B2">
        <w:rPr>
          <w:rFonts w:ascii="Arial" w:eastAsia="Arial" w:hAnsi="Arial" w:cs="Arial"/>
          <w:color w:val="000000" w:themeColor="text1"/>
        </w:rPr>
        <w:t>Sandbox regulatória e tecnologias disruptivas:</w:t>
      </w:r>
      <w:r w:rsidR="009229B2">
        <w:rPr>
          <w:rFonts w:ascii="Arial" w:eastAsia="Arial" w:hAnsi="Arial" w:cs="Arial"/>
          <w:color w:val="000000" w:themeColor="text1"/>
        </w:rPr>
        <w:t xml:space="preserve"> </w:t>
      </w:r>
      <w:r w:rsidR="009229B2" w:rsidRPr="009229B2">
        <w:rPr>
          <w:rFonts w:ascii="Arial" w:eastAsia="Arial" w:hAnsi="Arial" w:cs="Arial"/>
          <w:color w:val="000000" w:themeColor="text1"/>
        </w:rPr>
        <w:t>incentivos à inovação e inclusão financeira</w:t>
      </w:r>
      <w:r w:rsidR="009229B2">
        <w:rPr>
          <w:rFonts w:ascii="Arial" w:eastAsia="Arial" w:hAnsi="Arial" w:cs="Arial"/>
          <w:color w:val="000000" w:themeColor="text1"/>
        </w:rPr>
        <w:t xml:space="preserve"> </w:t>
      </w:r>
      <w:r w:rsidR="009229B2" w:rsidRPr="009229B2">
        <w:rPr>
          <w:rFonts w:ascii="Arial" w:eastAsia="Arial" w:hAnsi="Arial" w:cs="Arial"/>
          <w:color w:val="000000" w:themeColor="text1"/>
        </w:rPr>
        <w:t>por meio das Fintechs</w:t>
      </w:r>
      <w:r w:rsidR="009229B2">
        <w:rPr>
          <w:rFonts w:ascii="Arial" w:eastAsia="Arial" w:hAnsi="Arial" w:cs="Arial"/>
          <w:color w:val="000000" w:themeColor="text1"/>
        </w:rPr>
        <w:t>’’</w:t>
      </w:r>
      <w:r w:rsidR="00E71CC2" w:rsidRPr="00E71CC2">
        <w:rPr>
          <w:rFonts w:ascii="Arial" w:eastAsia="Arial" w:hAnsi="Arial" w:cs="Arial"/>
          <w:color w:val="000000" w:themeColor="text1"/>
        </w:rPr>
        <w:t xml:space="preserve"> (202</w:t>
      </w:r>
      <w:r>
        <w:rPr>
          <w:rFonts w:ascii="Arial" w:eastAsia="Arial" w:hAnsi="Arial" w:cs="Arial"/>
          <w:color w:val="000000" w:themeColor="text1"/>
        </w:rPr>
        <w:t>0</w:t>
      </w:r>
      <w:r w:rsidR="00E71CC2" w:rsidRPr="00E71CC2">
        <w:rPr>
          <w:rFonts w:ascii="Arial" w:eastAsia="Arial" w:hAnsi="Arial" w:cs="Arial"/>
          <w:color w:val="000000" w:themeColor="text1"/>
        </w:rPr>
        <w:t xml:space="preserve">), </w:t>
      </w:r>
      <w:r w:rsidR="009229B2">
        <w:rPr>
          <w:rFonts w:ascii="Arial" w:eastAsia="Arial" w:hAnsi="Arial" w:cs="Arial"/>
          <w:color w:val="000000" w:themeColor="text1"/>
        </w:rPr>
        <w:t xml:space="preserve">especialmente a ampla dissertação feita pelo Dr. </w:t>
      </w:r>
      <w:r w:rsidR="00E71CC2" w:rsidRPr="00E71CC2">
        <w:rPr>
          <w:rFonts w:ascii="Arial" w:eastAsia="Arial" w:hAnsi="Arial" w:cs="Arial"/>
          <w:color w:val="000000" w:themeColor="text1"/>
        </w:rPr>
        <w:t xml:space="preserve">Heinen </w:t>
      </w:r>
      <w:r w:rsidR="009229B2">
        <w:rPr>
          <w:rFonts w:ascii="Arial" w:eastAsia="Arial" w:hAnsi="Arial" w:cs="Arial"/>
          <w:color w:val="000000" w:themeColor="text1"/>
        </w:rPr>
        <w:t>em ‘</w:t>
      </w:r>
      <w:r w:rsidR="009229B2" w:rsidRPr="009229B2">
        <w:rPr>
          <w:rFonts w:ascii="Arial" w:eastAsia="Arial" w:hAnsi="Arial" w:cs="Arial"/>
          <w:color w:val="000000" w:themeColor="text1"/>
        </w:rPr>
        <w:t xml:space="preserve">’regulação experimental ou </w:t>
      </w:r>
      <w:r w:rsidR="009229B2">
        <w:rPr>
          <w:rFonts w:ascii="Arial" w:eastAsia="Arial" w:hAnsi="Arial" w:cs="Arial"/>
          <w:color w:val="000000" w:themeColor="text1"/>
        </w:rPr>
        <w:t>S</w:t>
      </w:r>
      <w:r w:rsidR="009229B2" w:rsidRPr="009229B2">
        <w:rPr>
          <w:rFonts w:ascii="Arial" w:eastAsia="Arial" w:hAnsi="Arial" w:cs="Arial"/>
          <w:color w:val="000000" w:themeColor="text1"/>
        </w:rPr>
        <w:t xml:space="preserve">andbox regulatório </w:t>
      </w:r>
      <w:r w:rsidR="009229B2" w:rsidRPr="009229B2">
        <w:rPr>
          <w:rFonts w:ascii="Arial" w:eastAsia="Arial" w:hAnsi="Arial" w:cs="Arial" w:hint="eastAsia"/>
          <w:color w:val="000000" w:themeColor="text1"/>
        </w:rPr>
        <w:t>–</w:t>
      </w:r>
      <w:r w:rsidR="009229B2" w:rsidRPr="009229B2">
        <w:rPr>
          <w:rFonts w:ascii="Arial" w:eastAsia="Arial" w:hAnsi="Arial" w:cs="Arial"/>
          <w:color w:val="000000" w:themeColor="text1"/>
        </w:rPr>
        <w:t xml:space="preserve">compreensões e desafios’’ </w:t>
      </w:r>
      <w:r w:rsidR="00E71CC2" w:rsidRPr="00E71CC2">
        <w:rPr>
          <w:rFonts w:ascii="Arial" w:eastAsia="Arial" w:hAnsi="Arial" w:cs="Arial"/>
          <w:color w:val="000000" w:themeColor="text1"/>
        </w:rPr>
        <w:t>(202</w:t>
      </w:r>
      <w:r>
        <w:rPr>
          <w:rFonts w:ascii="Arial" w:eastAsia="Arial" w:hAnsi="Arial" w:cs="Arial"/>
          <w:color w:val="000000" w:themeColor="text1"/>
        </w:rPr>
        <w:t>2</w:t>
      </w:r>
      <w:r w:rsidR="00E71CC2" w:rsidRPr="00E71CC2">
        <w:rPr>
          <w:rFonts w:ascii="Arial" w:eastAsia="Arial" w:hAnsi="Arial" w:cs="Arial"/>
          <w:color w:val="000000" w:themeColor="text1"/>
        </w:rPr>
        <w:t xml:space="preserve">) e Rocha </w:t>
      </w:r>
      <w:r w:rsidR="009229B2">
        <w:rPr>
          <w:rFonts w:ascii="Arial" w:eastAsia="Arial" w:hAnsi="Arial" w:cs="Arial"/>
          <w:color w:val="000000" w:themeColor="text1"/>
        </w:rPr>
        <w:t xml:space="preserve">com </w:t>
      </w:r>
      <w:r w:rsidR="009229B2" w:rsidRPr="009229B2">
        <w:rPr>
          <w:rFonts w:ascii="Arial" w:eastAsia="Arial" w:hAnsi="Arial" w:cs="Arial"/>
          <w:color w:val="000000" w:themeColor="text1"/>
        </w:rPr>
        <w:t>sandbox regulatório no sistema das startup</w:t>
      </w:r>
      <w:r w:rsidR="009229B2">
        <w:rPr>
          <w:rFonts w:ascii="Arial" w:eastAsia="Arial" w:hAnsi="Arial" w:cs="Arial"/>
          <w:color w:val="000000" w:themeColor="text1"/>
        </w:rPr>
        <w:t xml:space="preserve"> </w:t>
      </w:r>
      <w:r w:rsidR="009229B2" w:rsidRPr="009229B2">
        <w:rPr>
          <w:rFonts w:ascii="Arial" w:eastAsia="Arial" w:hAnsi="Arial" w:cs="Arial"/>
          <w:color w:val="000000" w:themeColor="text1"/>
        </w:rPr>
        <w:t xml:space="preserve">brasileiras </w:t>
      </w:r>
      <w:r w:rsidR="00E71CC2" w:rsidRPr="00E71CC2">
        <w:rPr>
          <w:rFonts w:ascii="Arial" w:eastAsia="Arial" w:hAnsi="Arial" w:cs="Arial"/>
          <w:color w:val="000000" w:themeColor="text1"/>
        </w:rPr>
        <w:t>(</w:t>
      </w:r>
      <w:r w:rsidR="00E71CC2">
        <w:rPr>
          <w:rFonts w:ascii="Arial" w:eastAsia="Arial" w:hAnsi="Arial" w:cs="Arial"/>
          <w:color w:val="000000" w:themeColor="text1"/>
        </w:rPr>
        <w:t>2022</w:t>
      </w:r>
      <w:r w:rsidR="00E71CC2" w:rsidRPr="00E71CC2">
        <w:rPr>
          <w:rFonts w:ascii="Arial" w:eastAsia="Arial" w:hAnsi="Arial" w:cs="Arial"/>
          <w:color w:val="000000" w:themeColor="text1"/>
        </w:rPr>
        <w:t>)</w:t>
      </w:r>
      <w:r w:rsidR="00F021D4">
        <w:rPr>
          <w:rFonts w:ascii="Arial" w:eastAsia="Arial" w:hAnsi="Arial" w:cs="Arial"/>
          <w:color w:val="000000" w:themeColor="text1"/>
        </w:rPr>
        <w:t>.</w:t>
      </w:r>
    </w:p>
    <w:p w14:paraId="70CD0ED5" w14:textId="76CFCD66" w:rsidR="00C77CE4" w:rsidRDefault="00E71CC2" w:rsidP="00D317EE">
      <w:pPr>
        <w:spacing w:line="360" w:lineRule="auto"/>
        <w:ind w:firstLine="851"/>
        <w:jc w:val="both"/>
        <w:rPr>
          <w:rFonts w:ascii="Arial" w:eastAsia="Arial" w:hAnsi="Arial" w:cs="Arial"/>
          <w:color w:val="000000" w:themeColor="text1"/>
        </w:rPr>
      </w:pPr>
      <w:r w:rsidRPr="00E71CC2">
        <w:rPr>
          <w:rFonts w:ascii="Arial" w:eastAsia="Arial" w:hAnsi="Arial" w:cs="Arial"/>
          <w:color w:val="000000" w:themeColor="text1"/>
        </w:rPr>
        <w:t>A análise dessas referências fornece</w:t>
      </w:r>
      <w:r w:rsidR="009229B2">
        <w:rPr>
          <w:rFonts w:ascii="Arial" w:eastAsia="Arial" w:hAnsi="Arial" w:cs="Arial"/>
          <w:color w:val="000000" w:themeColor="text1"/>
        </w:rPr>
        <w:t>u amplo</w:t>
      </w:r>
      <w:r w:rsidRPr="00E71CC2">
        <w:rPr>
          <w:rFonts w:ascii="Arial" w:eastAsia="Arial" w:hAnsi="Arial" w:cs="Arial"/>
          <w:color w:val="000000" w:themeColor="text1"/>
        </w:rPr>
        <w:t xml:space="preserve"> suporte teórico para a reflexão crítica sobre os </w:t>
      </w:r>
      <w:r w:rsidR="009229B2">
        <w:rPr>
          <w:rFonts w:ascii="Arial" w:eastAsia="Arial" w:hAnsi="Arial" w:cs="Arial"/>
          <w:color w:val="000000" w:themeColor="text1"/>
        </w:rPr>
        <w:t xml:space="preserve">enclaves </w:t>
      </w:r>
      <w:r w:rsidRPr="00E71CC2">
        <w:rPr>
          <w:rFonts w:ascii="Arial" w:eastAsia="Arial" w:hAnsi="Arial" w:cs="Arial"/>
          <w:color w:val="000000" w:themeColor="text1"/>
        </w:rPr>
        <w:t>estruturais que dificultam a</w:t>
      </w:r>
      <w:r w:rsidR="009229B2">
        <w:rPr>
          <w:rFonts w:ascii="Arial" w:eastAsia="Arial" w:hAnsi="Arial" w:cs="Arial"/>
          <w:color w:val="000000" w:themeColor="text1"/>
        </w:rPr>
        <w:t xml:space="preserve"> completa</w:t>
      </w:r>
      <w:r w:rsidRPr="00E71CC2">
        <w:rPr>
          <w:rFonts w:ascii="Arial" w:eastAsia="Arial" w:hAnsi="Arial" w:cs="Arial"/>
          <w:color w:val="000000" w:themeColor="text1"/>
        </w:rPr>
        <w:t xml:space="preserve"> implementação do Sandbox Regulatório no Brasil.</w:t>
      </w:r>
    </w:p>
    <w:p w14:paraId="4AA09329" w14:textId="77777777" w:rsidR="00D317EE" w:rsidRDefault="00D317EE" w:rsidP="00D317EE">
      <w:pPr>
        <w:spacing w:line="360" w:lineRule="auto"/>
        <w:ind w:firstLine="851"/>
        <w:jc w:val="both"/>
        <w:rPr>
          <w:rFonts w:ascii="Arial" w:eastAsia="Arial" w:hAnsi="Arial" w:cs="Arial"/>
          <w:color w:val="000000" w:themeColor="text1"/>
        </w:rPr>
      </w:pPr>
    </w:p>
    <w:p w14:paraId="773841AD" w14:textId="77777777" w:rsidR="00D317EE" w:rsidRDefault="00D317EE" w:rsidP="00D317EE">
      <w:pPr>
        <w:spacing w:line="360" w:lineRule="auto"/>
        <w:jc w:val="both"/>
        <w:rPr>
          <w:rFonts w:ascii="Arial" w:eastAsia="Arial" w:hAnsi="Arial" w:cs="Arial"/>
          <w:b/>
        </w:rPr>
      </w:pPr>
      <w:r w:rsidRPr="00091C37">
        <w:rPr>
          <w:rFonts w:ascii="Arial" w:eastAsia="Arial" w:hAnsi="Arial" w:cs="Arial" w:hint="eastAsia"/>
          <w:b/>
        </w:rPr>
        <w:t>Resultados e discussão</w:t>
      </w:r>
    </w:p>
    <w:p w14:paraId="5FE53959" w14:textId="77777777" w:rsidR="00D317EE" w:rsidRPr="00091C37" w:rsidRDefault="00D317EE" w:rsidP="00D317EE">
      <w:pPr>
        <w:spacing w:line="360" w:lineRule="auto"/>
        <w:ind w:firstLine="851"/>
        <w:jc w:val="both"/>
        <w:rPr>
          <w:rFonts w:ascii="Arial" w:eastAsia="Arial" w:hAnsi="Arial" w:cs="Arial"/>
          <w:color w:val="000000" w:themeColor="text1"/>
        </w:rPr>
      </w:pPr>
    </w:p>
    <w:p w14:paraId="07BEB31A" w14:textId="50C7CFA9" w:rsidR="005E16AD" w:rsidRDefault="005E16AD">
      <w:pPr>
        <w:spacing w:line="360" w:lineRule="auto"/>
        <w:ind w:firstLine="851"/>
        <w:jc w:val="both"/>
        <w:rPr>
          <w:rFonts w:ascii="Arial" w:eastAsia="Arial" w:hAnsi="Arial" w:cs="Arial"/>
          <w:color w:val="000000" w:themeColor="text1"/>
        </w:rPr>
      </w:pPr>
      <w:r w:rsidRPr="005E16AD">
        <w:rPr>
          <w:rFonts w:ascii="Arial" w:eastAsia="Arial" w:hAnsi="Arial" w:cs="Arial"/>
          <w:color w:val="000000" w:themeColor="text1"/>
        </w:rPr>
        <w:t>A regulamentação experimental é muito utilizada em escala global, tanto por ser versátil como pelos rápidos retornos em controle de erros, com seus resultados concretos invés de especulativos (antigamente</w:t>
      </w:r>
      <w:r w:rsidR="00E94421">
        <w:rPr>
          <w:rFonts w:ascii="Arial" w:eastAsia="Arial" w:hAnsi="Arial" w:cs="Arial"/>
          <w:color w:val="000000" w:themeColor="text1"/>
        </w:rPr>
        <w:t xml:space="preserve"> popularmente optados</w:t>
      </w:r>
      <w:r w:rsidRPr="005E16AD">
        <w:rPr>
          <w:rFonts w:ascii="Arial" w:eastAsia="Arial" w:hAnsi="Arial" w:cs="Arial"/>
          <w:color w:val="000000" w:themeColor="text1"/>
        </w:rPr>
        <w:t xml:space="preserve">) pois, garante ao </w:t>
      </w:r>
      <w:r w:rsidR="00BB0283">
        <w:rPr>
          <w:rFonts w:ascii="Arial" w:eastAsia="Arial" w:hAnsi="Arial" w:cs="Arial"/>
          <w:color w:val="000000" w:themeColor="text1"/>
        </w:rPr>
        <w:t>órgão</w:t>
      </w:r>
      <w:r w:rsidRPr="005E16AD">
        <w:rPr>
          <w:rFonts w:ascii="Arial" w:eastAsia="Arial" w:hAnsi="Arial" w:cs="Arial"/>
          <w:color w:val="000000" w:themeColor="text1"/>
        </w:rPr>
        <w:t xml:space="preserve"> regula</w:t>
      </w:r>
      <w:r w:rsidR="00BB0283">
        <w:rPr>
          <w:rFonts w:ascii="Arial" w:eastAsia="Arial" w:hAnsi="Arial" w:cs="Arial"/>
          <w:color w:val="000000" w:themeColor="text1"/>
        </w:rPr>
        <w:t>dor</w:t>
      </w:r>
      <w:r w:rsidRPr="005E16AD">
        <w:rPr>
          <w:rFonts w:ascii="Arial" w:eastAsia="Arial" w:hAnsi="Arial" w:cs="Arial"/>
          <w:color w:val="000000" w:themeColor="text1"/>
        </w:rPr>
        <w:t xml:space="preserve"> que pequenas empresas possu</w:t>
      </w:r>
      <w:r w:rsidR="00E94421">
        <w:rPr>
          <w:rFonts w:ascii="Arial" w:eastAsia="Arial" w:hAnsi="Arial" w:cs="Arial"/>
          <w:color w:val="000000" w:themeColor="text1"/>
        </w:rPr>
        <w:t>a</w:t>
      </w:r>
      <w:r w:rsidRPr="005E16AD">
        <w:rPr>
          <w:rFonts w:ascii="Arial" w:eastAsia="Arial" w:hAnsi="Arial" w:cs="Arial"/>
          <w:color w:val="000000" w:themeColor="text1"/>
        </w:rPr>
        <w:t>m a capacidade de testar suas novas ideias de maneira segura e limitada.</w:t>
      </w:r>
      <w:r w:rsidR="00BB0283">
        <w:rPr>
          <w:rFonts w:ascii="Arial" w:eastAsia="Arial" w:hAnsi="Arial" w:cs="Arial"/>
          <w:color w:val="000000" w:themeColor="text1"/>
        </w:rPr>
        <w:t xml:space="preserve"> (</w:t>
      </w:r>
      <w:r w:rsidR="00CC0828" w:rsidRPr="00E71CC2">
        <w:rPr>
          <w:rFonts w:ascii="Arial" w:eastAsia="Arial" w:hAnsi="Arial" w:cs="Arial"/>
          <w:color w:val="000000" w:themeColor="text1"/>
        </w:rPr>
        <w:t>BLANCHET</w:t>
      </w:r>
      <w:r w:rsidR="00BB0283">
        <w:rPr>
          <w:rFonts w:ascii="Arial" w:eastAsia="Arial" w:hAnsi="Arial" w:cs="Arial"/>
          <w:color w:val="000000" w:themeColor="text1"/>
        </w:rPr>
        <w:t xml:space="preserve"> et al., 2022) </w:t>
      </w:r>
    </w:p>
    <w:p w14:paraId="71E30F74" w14:textId="2C665EAE" w:rsidR="00E94421" w:rsidRDefault="00BB0283" w:rsidP="00E94421">
      <w:pPr>
        <w:spacing w:line="360" w:lineRule="auto"/>
        <w:ind w:firstLine="851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Vale ressaltar que antemão a LC N°182/2021, já havia a criação da </w:t>
      </w:r>
      <w:r w:rsidRPr="00BB0283">
        <w:rPr>
          <w:rFonts w:ascii="Arial" w:eastAsia="Arial" w:hAnsi="Arial" w:cs="Arial"/>
          <w:color w:val="000000" w:themeColor="text1"/>
        </w:rPr>
        <w:t>Lei nº 13.874</w:t>
      </w:r>
      <w:r>
        <w:rPr>
          <w:rFonts w:ascii="Arial" w:eastAsia="Arial" w:hAnsi="Arial" w:cs="Arial"/>
          <w:color w:val="000000" w:themeColor="text1"/>
        </w:rPr>
        <w:t xml:space="preserve"> no ano de </w:t>
      </w:r>
      <w:r w:rsidRPr="00BB0283">
        <w:rPr>
          <w:rFonts w:ascii="Arial" w:eastAsia="Arial" w:hAnsi="Arial" w:cs="Arial"/>
          <w:color w:val="000000" w:themeColor="text1"/>
        </w:rPr>
        <w:t xml:space="preserve">2019, </w:t>
      </w:r>
      <w:r>
        <w:rPr>
          <w:rFonts w:ascii="Arial" w:eastAsia="Arial" w:hAnsi="Arial" w:cs="Arial"/>
          <w:color w:val="000000" w:themeColor="text1"/>
        </w:rPr>
        <w:t>cuja, em</w:t>
      </w:r>
      <w:r w:rsidRPr="00BB0283">
        <w:rPr>
          <w:rFonts w:ascii="Arial" w:eastAsia="Arial" w:hAnsi="Arial" w:cs="Arial"/>
          <w:color w:val="000000" w:themeColor="text1"/>
        </w:rPr>
        <w:t xml:space="preserve"> seu art. 3º, inciso VI, </w:t>
      </w:r>
      <w:r>
        <w:rPr>
          <w:rFonts w:ascii="Arial" w:eastAsia="Arial" w:hAnsi="Arial" w:cs="Arial"/>
          <w:color w:val="000000" w:themeColor="text1"/>
        </w:rPr>
        <w:t xml:space="preserve">trouxe a possibilidade </w:t>
      </w:r>
      <w:r w:rsidRPr="00BB0283">
        <w:rPr>
          <w:rFonts w:ascii="Arial" w:eastAsia="Arial" w:hAnsi="Arial" w:cs="Arial"/>
          <w:color w:val="000000" w:themeColor="text1"/>
        </w:rPr>
        <w:t>para as empresas</w:t>
      </w:r>
      <w:r>
        <w:rPr>
          <w:rFonts w:ascii="Arial" w:eastAsia="Arial" w:hAnsi="Arial" w:cs="Arial"/>
          <w:color w:val="000000" w:themeColor="text1"/>
        </w:rPr>
        <w:t xml:space="preserve"> criarem</w:t>
      </w:r>
      <w:r w:rsidRPr="00BB0283">
        <w:rPr>
          <w:rFonts w:ascii="Arial" w:eastAsia="Arial" w:hAnsi="Arial" w:cs="Arial"/>
          <w:color w:val="000000" w:themeColor="text1"/>
        </w:rPr>
        <w:t xml:space="preserve">, executarem, </w:t>
      </w:r>
      <w:r>
        <w:rPr>
          <w:rFonts w:ascii="Arial" w:eastAsia="Arial" w:hAnsi="Arial" w:cs="Arial"/>
          <w:color w:val="000000" w:themeColor="text1"/>
        </w:rPr>
        <w:t xml:space="preserve">analisarem </w:t>
      </w:r>
      <w:r w:rsidRPr="00BB0283">
        <w:rPr>
          <w:rFonts w:ascii="Arial" w:eastAsia="Arial" w:hAnsi="Arial" w:cs="Arial"/>
          <w:color w:val="000000" w:themeColor="text1"/>
        </w:rPr>
        <w:t xml:space="preserve">ou comercializarem novas modalidades de produtos e serviços quando as normas infralegais </w:t>
      </w:r>
      <w:r>
        <w:rPr>
          <w:rFonts w:ascii="Arial" w:eastAsia="Arial" w:hAnsi="Arial" w:cs="Arial"/>
          <w:color w:val="000000" w:themeColor="text1"/>
        </w:rPr>
        <w:t xml:space="preserve">estivessem </w:t>
      </w:r>
      <w:r w:rsidRPr="00BB0283">
        <w:rPr>
          <w:rFonts w:ascii="Arial" w:eastAsia="Arial" w:hAnsi="Arial" w:cs="Arial"/>
          <w:color w:val="000000" w:themeColor="text1"/>
        </w:rPr>
        <w:t>desatualizadas devido ao</w:t>
      </w:r>
      <w:r>
        <w:rPr>
          <w:rFonts w:ascii="Arial" w:eastAsia="Arial" w:hAnsi="Arial" w:cs="Arial"/>
          <w:color w:val="000000" w:themeColor="text1"/>
        </w:rPr>
        <w:t xml:space="preserve"> rápido</w:t>
      </w:r>
      <w:r w:rsidRPr="00BB0283">
        <w:rPr>
          <w:rFonts w:ascii="Arial" w:eastAsia="Arial" w:hAnsi="Arial" w:cs="Arial"/>
          <w:color w:val="000000" w:themeColor="text1"/>
        </w:rPr>
        <w:t xml:space="preserve"> desenvolvimento tecnológico</w:t>
      </w:r>
      <w:r>
        <w:rPr>
          <w:rFonts w:ascii="Arial" w:eastAsia="Arial" w:hAnsi="Arial" w:cs="Arial"/>
          <w:color w:val="000000" w:themeColor="text1"/>
        </w:rPr>
        <w:t xml:space="preserve"> do mercado corporativo</w:t>
      </w:r>
      <w:r w:rsidRPr="00BB0283">
        <w:rPr>
          <w:rFonts w:ascii="Arial" w:eastAsia="Arial" w:hAnsi="Arial" w:cs="Arial"/>
          <w:color w:val="000000" w:themeColor="text1"/>
        </w:rPr>
        <w:t>.</w:t>
      </w:r>
      <w:r>
        <w:rPr>
          <w:rFonts w:ascii="Arial" w:eastAsia="Arial" w:hAnsi="Arial" w:cs="Arial"/>
          <w:color w:val="000000" w:themeColor="text1"/>
        </w:rPr>
        <w:t xml:space="preserve"> (F</w:t>
      </w:r>
      <w:r w:rsidR="00CC0828">
        <w:rPr>
          <w:rFonts w:ascii="Arial" w:eastAsia="Arial" w:hAnsi="Arial" w:cs="Arial"/>
          <w:color w:val="000000" w:themeColor="text1"/>
        </w:rPr>
        <w:t>AZOLO</w:t>
      </w:r>
      <w:r>
        <w:rPr>
          <w:rFonts w:ascii="Arial" w:eastAsia="Arial" w:hAnsi="Arial" w:cs="Arial"/>
          <w:color w:val="000000" w:themeColor="text1"/>
        </w:rPr>
        <w:t xml:space="preserve"> et al., 2023)</w:t>
      </w:r>
      <w:r w:rsidR="00E94421">
        <w:rPr>
          <w:rFonts w:ascii="Arial" w:eastAsia="Arial" w:hAnsi="Arial" w:cs="Arial"/>
          <w:color w:val="000000" w:themeColor="text1"/>
        </w:rPr>
        <w:t>.</w:t>
      </w:r>
    </w:p>
    <w:p w14:paraId="21B58FEB" w14:textId="556489F6" w:rsidR="00E94421" w:rsidRDefault="00E94421" w:rsidP="00E94421">
      <w:pPr>
        <w:spacing w:line="360" w:lineRule="auto"/>
        <w:ind w:firstLine="851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Nesse contexto, sua implementação em âmbito nacional</w:t>
      </w:r>
      <w:r w:rsidR="009F4C69">
        <w:rPr>
          <w:rFonts w:ascii="Arial" w:eastAsia="Arial" w:hAnsi="Arial" w:cs="Arial"/>
          <w:color w:val="000000" w:themeColor="text1"/>
        </w:rPr>
        <w:t xml:space="preserve"> cita-se Foz do Iguaçu pelo </w:t>
      </w:r>
      <w:r w:rsidR="009F4C69" w:rsidRPr="009F4C69">
        <w:rPr>
          <w:rFonts w:ascii="Arial" w:eastAsia="Arial" w:hAnsi="Arial" w:cs="Arial" w:hint="eastAsia"/>
          <w:color w:val="000000" w:themeColor="text1"/>
        </w:rPr>
        <w:t>Decreto Municipal nº 28.244, de 23 de junho de 2020,</w:t>
      </w:r>
      <w:r w:rsidR="007136A1">
        <w:rPr>
          <w:rFonts w:ascii="Arial" w:eastAsia="Arial" w:hAnsi="Arial" w:cs="Arial"/>
          <w:color w:val="000000" w:themeColor="text1"/>
        </w:rPr>
        <w:t xml:space="preserve"> cujo lançou o projeto muito </w:t>
      </w:r>
      <w:r w:rsidR="007136A1">
        <w:rPr>
          <w:rFonts w:ascii="Arial" w:eastAsia="Arial" w:hAnsi="Arial" w:cs="Arial"/>
          <w:color w:val="000000" w:themeColor="text1"/>
        </w:rPr>
        <w:lastRenderedPageBreak/>
        <w:t xml:space="preserve">antes da promulgação da Lei Complementar, porém com </w:t>
      </w:r>
      <w:r w:rsidR="00470E6A">
        <w:rPr>
          <w:rFonts w:ascii="Arial" w:eastAsia="Arial" w:hAnsi="Arial" w:cs="Arial"/>
          <w:color w:val="000000" w:themeColor="text1"/>
        </w:rPr>
        <w:t xml:space="preserve">alta </w:t>
      </w:r>
      <w:r w:rsidR="007136A1">
        <w:rPr>
          <w:rFonts w:ascii="Arial" w:eastAsia="Arial" w:hAnsi="Arial" w:cs="Arial"/>
          <w:color w:val="000000" w:themeColor="text1"/>
        </w:rPr>
        <w:t xml:space="preserve">ambiguidade em relação </w:t>
      </w:r>
      <w:r w:rsidR="00470E6A">
        <w:rPr>
          <w:rFonts w:ascii="Arial" w:eastAsia="Arial" w:hAnsi="Arial" w:cs="Arial"/>
          <w:color w:val="000000" w:themeColor="text1"/>
        </w:rPr>
        <w:t xml:space="preserve">as limitações presentes no </w:t>
      </w:r>
      <w:r w:rsidR="007136A1">
        <w:rPr>
          <w:rFonts w:ascii="Arial" w:eastAsia="Arial" w:hAnsi="Arial" w:cs="Arial"/>
          <w:color w:val="000000" w:themeColor="text1"/>
        </w:rPr>
        <w:t>ambiente regulatório</w:t>
      </w:r>
      <w:r w:rsidR="00470E6A">
        <w:rPr>
          <w:rFonts w:ascii="Arial" w:eastAsia="Arial" w:hAnsi="Arial" w:cs="Arial"/>
          <w:color w:val="000000" w:themeColor="text1"/>
        </w:rPr>
        <w:t xml:space="preserve">, houve uma grande amplitude no seu espaço experimental, o que acaba gerando problemas no futuro para outros projetos. </w:t>
      </w:r>
      <w:r w:rsidR="007136A1">
        <w:rPr>
          <w:rFonts w:ascii="Arial" w:eastAsia="Arial" w:hAnsi="Arial" w:cs="Arial"/>
          <w:color w:val="000000" w:themeColor="text1"/>
        </w:rPr>
        <w:t>(FASSIO, 2023)</w:t>
      </w:r>
      <w:r w:rsidR="00470E6A">
        <w:rPr>
          <w:rFonts w:ascii="Arial" w:eastAsia="Arial" w:hAnsi="Arial" w:cs="Arial"/>
          <w:color w:val="000000" w:themeColor="text1"/>
        </w:rPr>
        <w:t>.</w:t>
      </w:r>
    </w:p>
    <w:p w14:paraId="77E2C6D1" w14:textId="280E9EAC" w:rsidR="00470E6A" w:rsidRDefault="00470E6A" w:rsidP="00E763A7">
      <w:pPr>
        <w:spacing w:line="360" w:lineRule="auto"/>
        <w:ind w:firstLine="851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Outrossim,</w:t>
      </w:r>
      <w:r w:rsidR="00E763A7">
        <w:rPr>
          <w:rFonts w:ascii="Arial" w:eastAsia="Arial" w:hAnsi="Arial" w:cs="Arial"/>
          <w:color w:val="000000" w:themeColor="text1"/>
        </w:rPr>
        <w:t xml:space="preserve"> direcionando o foco ainda no Paraná, Londrina pelo </w:t>
      </w:r>
      <w:r w:rsidR="00E763A7" w:rsidRPr="00E763A7">
        <w:rPr>
          <w:rFonts w:ascii="Arial" w:eastAsia="Arial" w:hAnsi="Arial" w:cs="Arial" w:hint="eastAsia"/>
          <w:color w:val="000000" w:themeColor="text1"/>
        </w:rPr>
        <w:t>Decreto n</w:t>
      </w:r>
      <w:r w:rsidR="00E763A7">
        <w:rPr>
          <w:rFonts w:ascii="Arial" w:eastAsia="DengXian" w:hAnsi="Arial" w:cs="Arial" w:hint="eastAsia"/>
          <w:color w:val="000000" w:themeColor="text1"/>
        </w:rPr>
        <w:t>°</w:t>
      </w:r>
      <w:r w:rsidR="00E763A7">
        <w:rPr>
          <w:rFonts w:ascii="Arial" w:eastAsia="DengXian" w:hAnsi="Arial" w:cs="Arial"/>
          <w:color w:val="000000" w:themeColor="text1"/>
        </w:rPr>
        <w:t xml:space="preserve"> </w:t>
      </w:r>
      <w:r w:rsidR="00E763A7" w:rsidRPr="00E763A7">
        <w:rPr>
          <w:rFonts w:ascii="Arial" w:eastAsia="Arial" w:hAnsi="Arial" w:cs="Arial" w:hint="eastAsia"/>
          <w:color w:val="000000" w:themeColor="text1"/>
        </w:rPr>
        <w:t>310 de 15</w:t>
      </w:r>
      <w:r w:rsidR="00E763A7">
        <w:rPr>
          <w:rFonts w:ascii="Arial" w:eastAsia="Arial" w:hAnsi="Arial" w:cs="Arial"/>
          <w:color w:val="000000" w:themeColor="text1"/>
        </w:rPr>
        <w:t xml:space="preserve"> </w:t>
      </w:r>
      <w:r w:rsidR="00E763A7" w:rsidRPr="00E763A7">
        <w:rPr>
          <w:rFonts w:ascii="Arial" w:eastAsia="Arial" w:hAnsi="Arial" w:cs="Arial" w:hint="eastAsia"/>
          <w:color w:val="000000" w:themeColor="text1"/>
        </w:rPr>
        <w:t>de Março de</w:t>
      </w:r>
      <w:r w:rsidR="00E763A7">
        <w:rPr>
          <w:rFonts w:ascii="Arial" w:eastAsia="Arial" w:hAnsi="Arial" w:cs="Arial"/>
          <w:color w:val="000000" w:themeColor="text1"/>
        </w:rPr>
        <w:t xml:space="preserve"> </w:t>
      </w:r>
      <w:r w:rsidR="00E763A7" w:rsidRPr="00E763A7">
        <w:rPr>
          <w:rFonts w:ascii="Arial" w:eastAsia="Arial" w:hAnsi="Arial" w:cs="Arial" w:hint="eastAsia"/>
          <w:color w:val="000000" w:themeColor="text1"/>
        </w:rPr>
        <w:t>2021</w:t>
      </w:r>
      <w:r w:rsidR="00E763A7">
        <w:rPr>
          <w:rFonts w:ascii="Arial" w:eastAsia="Arial" w:hAnsi="Arial" w:cs="Arial"/>
          <w:color w:val="000000" w:themeColor="text1"/>
        </w:rPr>
        <w:t xml:space="preserve"> implementou seu próprio ‘’</w:t>
      </w:r>
      <w:r w:rsidR="00E763A7" w:rsidRPr="00E763A7">
        <w:rPr>
          <w:rFonts w:ascii="Arial" w:eastAsia="Arial" w:hAnsi="Arial" w:cs="Arial" w:hint="eastAsia"/>
          <w:color w:val="000000" w:themeColor="text1"/>
        </w:rPr>
        <w:t>Programa</w:t>
      </w:r>
      <w:r w:rsidR="00E763A7">
        <w:rPr>
          <w:rFonts w:ascii="Arial" w:eastAsia="Arial" w:hAnsi="Arial" w:cs="Arial"/>
          <w:color w:val="000000" w:themeColor="text1"/>
        </w:rPr>
        <w:t xml:space="preserve"> </w:t>
      </w:r>
      <w:r w:rsidR="00E763A7" w:rsidRPr="00E763A7">
        <w:rPr>
          <w:rFonts w:ascii="Arial" w:eastAsia="Arial" w:hAnsi="Arial" w:cs="Arial" w:hint="eastAsia"/>
          <w:color w:val="000000" w:themeColor="text1"/>
        </w:rPr>
        <w:t>Sandbox – Londrina</w:t>
      </w:r>
      <w:r w:rsidR="00E763A7">
        <w:rPr>
          <w:rFonts w:ascii="Arial" w:eastAsia="Arial" w:hAnsi="Arial" w:cs="Arial"/>
          <w:color w:val="000000" w:themeColor="text1"/>
        </w:rPr>
        <w:t>’’ com gestores encarregados pela criação do sandbox e delimitando sua duranção, atividades exercidas e objetivos, definindo a prática experimental e temporária da proposta. (FASSIO, 2023).</w:t>
      </w:r>
    </w:p>
    <w:p w14:paraId="7FFBCA1C" w14:textId="77777777" w:rsidR="00DE5EC5" w:rsidRDefault="00DE5EC5" w:rsidP="00E94421">
      <w:pPr>
        <w:spacing w:line="360" w:lineRule="auto"/>
        <w:ind w:firstLine="851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A a</w:t>
      </w:r>
      <w:r w:rsidRPr="00DE5EC5">
        <w:rPr>
          <w:rFonts w:ascii="Arial" w:eastAsia="Arial" w:hAnsi="Arial" w:cs="Arial"/>
          <w:color w:val="000000" w:themeColor="text1"/>
        </w:rPr>
        <w:t xml:space="preserve">doção da prática inovadora </w:t>
      </w:r>
      <w:r>
        <w:rPr>
          <w:rFonts w:ascii="Arial" w:eastAsia="Arial" w:hAnsi="Arial" w:cs="Arial"/>
          <w:color w:val="000000" w:themeColor="text1"/>
        </w:rPr>
        <w:t xml:space="preserve">ocorreu </w:t>
      </w:r>
      <w:r w:rsidRPr="00DE5EC5">
        <w:rPr>
          <w:rFonts w:ascii="Arial" w:eastAsia="Arial" w:hAnsi="Arial" w:cs="Arial"/>
          <w:color w:val="000000" w:themeColor="text1"/>
        </w:rPr>
        <w:t>de forma célere em alguns municípios,</w:t>
      </w:r>
      <w:r>
        <w:rPr>
          <w:rFonts w:ascii="Arial" w:eastAsia="Arial" w:hAnsi="Arial" w:cs="Arial"/>
          <w:color w:val="000000" w:themeColor="text1"/>
        </w:rPr>
        <w:t xml:space="preserve"> mas </w:t>
      </w:r>
      <w:r w:rsidRPr="00DE5EC5">
        <w:rPr>
          <w:rFonts w:ascii="Arial" w:eastAsia="Arial" w:hAnsi="Arial" w:cs="Arial"/>
          <w:color w:val="000000" w:themeColor="text1"/>
        </w:rPr>
        <w:t xml:space="preserve">observa-se uma carência de clareza normativa quanto aos parâmetros de aplicação do Sandbox Regulatório. </w:t>
      </w:r>
    </w:p>
    <w:p w14:paraId="61C68F03" w14:textId="1C0C46C9" w:rsidR="00470E6A" w:rsidRPr="00091C37" w:rsidRDefault="00DE5EC5" w:rsidP="00091C37">
      <w:pPr>
        <w:spacing w:line="360" w:lineRule="auto"/>
        <w:ind w:firstLine="851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Não obstante, p</w:t>
      </w:r>
      <w:r w:rsidRPr="00DE5EC5">
        <w:rPr>
          <w:rFonts w:ascii="Arial" w:eastAsia="Arial" w:hAnsi="Arial" w:cs="Arial"/>
          <w:color w:val="000000" w:themeColor="text1"/>
        </w:rPr>
        <w:t xml:space="preserve">ersistem incertezas sobre a delimitação temporal e espacial dos projetos </w:t>
      </w:r>
      <w:r w:rsidRPr="00DE5EC5">
        <w:rPr>
          <w:rFonts w:ascii="Arial" w:eastAsia="Arial" w:hAnsi="Arial" w:cs="Arial"/>
          <w:color w:val="000000" w:themeColor="text1"/>
        </w:rPr>
        <w:t>q</w:t>
      </w:r>
      <w:r w:rsidRPr="00DE5EC5">
        <w:rPr>
          <w:rFonts w:ascii="Arial" w:eastAsia="Arial" w:hAnsi="Arial" w:cs="Arial"/>
          <w:color w:val="000000" w:themeColor="text1"/>
        </w:rPr>
        <w:t>ue podem abranger desde áreas restritas</w:t>
      </w:r>
      <w:r>
        <w:rPr>
          <w:rFonts w:ascii="Arial" w:eastAsia="Arial" w:hAnsi="Arial" w:cs="Arial"/>
          <w:color w:val="000000" w:themeColor="text1"/>
        </w:rPr>
        <w:t xml:space="preserve"> (</w:t>
      </w:r>
      <w:r w:rsidRPr="00DE5EC5">
        <w:rPr>
          <w:rFonts w:ascii="Arial" w:eastAsia="Arial" w:hAnsi="Arial" w:cs="Arial"/>
          <w:color w:val="000000" w:themeColor="text1"/>
        </w:rPr>
        <w:t>como um bairro específico, até a totalidade do município</w:t>
      </w:r>
      <w:r>
        <w:rPr>
          <w:rFonts w:ascii="Arial" w:eastAsia="Arial" w:hAnsi="Arial" w:cs="Arial"/>
          <w:color w:val="000000" w:themeColor="text1"/>
        </w:rPr>
        <w:t xml:space="preserve">), </w:t>
      </w:r>
      <w:r w:rsidRPr="00DE5EC5">
        <w:rPr>
          <w:rFonts w:ascii="Arial" w:eastAsia="Arial" w:hAnsi="Arial" w:cs="Arial"/>
          <w:color w:val="000000" w:themeColor="text1"/>
        </w:rPr>
        <w:t>bem como</w:t>
      </w:r>
      <w:r w:rsidR="008D378E">
        <w:rPr>
          <w:rFonts w:ascii="Arial" w:eastAsia="Arial" w:hAnsi="Arial" w:cs="Arial"/>
          <w:color w:val="000000" w:themeColor="text1"/>
        </w:rPr>
        <w:t xml:space="preserve"> </w:t>
      </w:r>
      <w:r w:rsidRPr="00DE5EC5">
        <w:rPr>
          <w:rFonts w:ascii="Arial" w:eastAsia="Arial" w:hAnsi="Arial" w:cs="Arial"/>
          <w:color w:val="000000" w:themeColor="text1"/>
        </w:rPr>
        <w:t xml:space="preserve">os critérios que definem as atividades e objetivos das empresas participantes. Essa ausência de uniformidade regulatória </w:t>
      </w:r>
      <w:r>
        <w:rPr>
          <w:rFonts w:ascii="Arial" w:eastAsia="Arial" w:hAnsi="Arial" w:cs="Arial"/>
          <w:color w:val="000000" w:themeColor="text1"/>
        </w:rPr>
        <w:t xml:space="preserve">pode </w:t>
      </w:r>
      <w:r w:rsidRPr="00DE5EC5">
        <w:rPr>
          <w:rFonts w:ascii="Arial" w:eastAsia="Arial" w:hAnsi="Arial" w:cs="Arial"/>
          <w:color w:val="000000" w:themeColor="text1"/>
        </w:rPr>
        <w:t>compromete</w:t>
      </w:r>
      <w:r>
        <w:rPr>
          <w:rFonts w:ascii="Arial" w:eastAsia="Arial" w:hAnsi="Arial" w:cs="Arial"/>
          <w:color w:val="000000" w:themeColor="text1"/>
        </w:rPr>
        <w:t>r</w:t>
      </w:r>
      <w:r w:rsidRPr="00DE5EC5">
        <w:rPr>
          <w:rFonts w:ascii="Arial" w:eastAsia="Arial" w:hAnsi="Arial" w:cs="Arial"/>
          <w:color w:val="000000" w:themeColor="text1"/>
        </w:rPr>
        <w:t xml:space="preserve"> a previsibilidade do ambiente experimental</w:t>
      </w:r>
      <w:r>
        <w:rPr>
          <w:rFonts w:ascii="Arial" w:eastAsia="Arial" w:hAnsi="Arial" w:cs="Arial"/>
          <w:color w:val="000000" w:themeColor="text1"/>
        </w:rPr>
        <w:t xml:space="preserve">, gerando </w:t>
      </w:r>
      <w:r w:rsidRPr="00DE5EC5">
        <w:rPr>
          <w:rFonts w:ascii="Arial" w:eastAsia="Arial" w:hAnsi="Arial" w:cs="Arial"/>
          <w:color w:val="000000" w:themeColor="text1"/>
        </w:rPr>
        <w:t xml:space="preserve">inconsistências na replicação e avaliação de resultados em outros contextos </w:t>
      </w:r>
      <w:r>
        <w:rPr>
          <w:rFonts w:ascii="Arial" w:eastAsia="Arial" w:hAnsi="Arial" w:cs="Arial"/>
          <w:color w:val="000000" w:themeColor="text1"/>
        </w:rPr>
        <w:t>operacionais</w:t>
      </w:r>
      <w:r w:rsidRPr="00DE5EC5">
        <w:rPr>
          <w:rFonts w:ascii="Arial" w:eastAsia="Arial" w:hAnsi="Arial" w:cs="Arial"/>
          <w:color w:val="000000" w:themeColor="text1"/>
        </w:rPr>
        <w:t>.</w:t>
      </w:r>
    </w:p>
    <w:p w14:paraId="513499A3" w14:textId="75B8156C" w:rsidR="008D378E" w:rsidRPr="008D378E" w:rsidRDefault="008D378E" w:rsidP="008D378E">
      <w:pPr>
        <w:spacing w:line="360" w:lineRule="auto"/>
        <w:ind w:firstLine="851"/>
        <w:rPr>
          <w:rFonts w:ascii="Arial" w:eastAsia="Arial" w:hAnsi="Arial" w:cs="Arial"/>
          <w:bCs/>
        </w:rPr>
      </w:pPr>
      <w:r w:rsidRPr="008D378E">
        <w:rPr>
          <w:rFonts w:ascii="Arial" w:eastAsia="Arial" w:hAnsi="Arial" w:cs="Arial"/>
          <w:bCs/>
        </w:rPr>
        <w:t xml:space="preserve">O Sandbox Regulatório, embora represente um instrumento valioso para o fomento da inovação, </w:t>
      </w:r>
      <w:r>
        <w:rPr>
          <w:rFonts w:ascii="Arial" w:eastAsia="Arial" w:hAnsi="Arial" w:cs="Arial"/>
          <w:bCs/>
        </w:rPr>
        <w:t>tem</w:t>
      </w:r>
      <w:r w:rsidRPr="008D378E">
        <w:rPr>
          <w:rFonts w:ascii="Arial" w:eastAsia="Arial" w:hAnsi="Arial" w:cs="Arial"/>
          <w:bCs/>
        </w:rPr>
        <w:t xml:space="preserve"> possíveis fragilidades que, sem uma regulamentação rigorosa e acompanhamento contínuo, podem comprometer os resultados, gerar desperdício de recursos públicos e </w:t>
      </w:r>
      <w:r>
        <w:rPr>
          <w:rFonts w:ascii="Arial" w:eastAsia="Arial" w:hAnsi="Arial" w:cs="Arial"/>
          <w:bCs/>
        </w:rPr>
        <w:t xml:space="preserve">até </w:t>
      </w:r>
      <w:r w:rsidRPr="008D378E">
        <w:rPr>
          <w:rFonts w:ascii="Arial" w:eastAsia="Arial" w:hAnsi="Arial" w:cs="Arial"/>
          <w:bCs/>
        </w:rPr>
        <w:t>abrir brechas para comportamentos oportunistas por parte de agentes econômicos.</w:t>
      </w:r>
    </w:p>
    <w:p w14:paraId="7F2016EA" w14:textId="2CF4D86D" w:rsidR="008D378E" w:rsidRPr="008D378E" w:rsidRDefault="008D378E" w:rsidP="008D378E">
      <w:pPr>
        <w:spacing w:line="360" w:lineRule="auto"/>
        <w:ind w:firstLine="851"/>
        <w:rPr>
          <w:rFonts w:ascii="Arial" w:eastAsia="Arial" w:hAnsi="Arial" w:cs="Arial"/>
          <w:bCs/>
        </w:rPr>
      </w:pPr>
      <w:r w:rsidRPr="008D378E">
        <w:rPr>
          <w:rFonts w:ascii="Arial" w:eastAsia="Arial" w:hAnsi="Arial" w:cs="Arial"/>
          <w:bCs/>
        </w:rPr>
        <w:t xml:space="preserve">A implementação dos </w:t>
      </w:r>
      <w:r>
        <w:rPr>
          <w:rFonts w:ascii="Arial" w:eastAsia="Arial" w:hAnsi="Arial" w:cs="Arial"/>
          <w:bCs/>
        </w:rPr>
        <w:t>‘’</w:t>
      </w:r>
      <w:r w:rsidRPr="008D378E">
        <w:rPr>
          <w:rFonts w:ascii="Arial" w:eastAsia="Arial" w:hAnsi="Arial" w:cs="Arial"/>
          <w:bCs/>
        </w:rPr>
        <w:t>sandboxes regulatórios</w:t>
      </w:r>
      <w:r>
        <w:rPr>
          <w:rFonts w:ascii="Arial" w:eastAsia="Arial" w:hAnsi="Arial" w:cs="Arial"/>
          <w:bCs/>
        </w:rPr>
        <w:t>’’</w:t>
      </w:r>
      <w:r w:rsidRPr="008D378E">
        <w:rPr>
          <w:rFonts w:ascii="Arial" w:eastAsia="Arial" w:hAnsi="Arial" w:cs="Arial"/>
          <w:bCs/>
        </w:rPr>
        <w:t xml:space="preserve"> no Brasil, embora prometa estimular a inovação e reduzir </w:t>
      </w:r>
      <w:r>
        <w:rPr>
          <w:rFonts w:ascii="Arial" w:eastAsia="Arial" w:hAnsi="Arial" w:cs="Arial"/>
          <w:bCs/>
        </w:rPr>
        <w:t xml:space="preserve">os </w:t>
      </w:r>
      <w:r w:rsidRPr="008D378E">
        <w:rPr>
          <w:rFonts w:ascii="Arial" w:eastAsia="Arial" w:hAnsi="Arial" w:cs="Arial"/>
          <w:bCs/>
        </w:rPr>
        <w:t>entraves burocráticos, enfrenta obstáculos estruturais e riscos operacionais que comprometem sua efetividade. Entre os principais desafios, destaca-se o chamado “by-pass regulatório”, quando o ambiente experimental é utilizado como meio de burlar normas vigentes, em vez de aprimorá-las.</w:t>
      </w:r>
      <w:r>
        <w:rPr>
          <w:rFonts w:ascii="Arial" w:eastAsia="Arial" w:hAnsi="Arial" w:cs="Arial"/>
          <w:bCs/>
        </w:rPr>
        <w:t xml:space="preserve"> (FAZOLO</w:t>
      </w:r>
      <w:r w:rsidR="00CC0828">
        <w:rPr>
          <w:rFonts w:ascii="Arial" w:eastAsia="Arial" w:hAnsi="Arial" w:cs="Arial"/>
          <w:bCs/>
        </w:rPr>
        <w:t xml:space="preserve"> et al</w:t>
      </w:r>
      <w:r>
        <w:rPr>
          <w:rFonts w:ascii="Arial" w:eastAsia="Arial" w:hAnsi="Arial" w:cs="Arial"/>
          <w:bCs/>
        </w:rPr>
        <w:t xml:space="preserve"> 2023)</w:t>
      </w:r>
    </w:p>
    <w:p w14:paraId="70CD88A2" w14:textId="0D1C1163" w:rsidR="008D378E" w:rsidRPr="008D378E" w:rsidRDefault="008D378E" w:rsidP="008D378E">
      <w:pPr>
        <w:spacing w:line="360" w:lineRule="auto"/>
        <w:rPr>
          <w:rFonts w:ascii="Arial" w:eastAsia="Arial" w:hAnsi="Arial" w:cs="Arial"/>
          <w:bCs/>
        </w:rPr>
      </w:pPr>
    </w:p>
    <w:p w14:paraId="6DCE22BD" w14:textId="6FB8A67E" w:rsidR="007F769A" w:rsidRDefault="008D378E" w:rsidP="007F769A">
      <w:pPr>
        <w:spacing w:line="360" w:lineRule="auto"/>
        <w:ind w:firstLine="851"/>
        <w:rPr>
          <w:rFonts w:ascii="Arial" w:eastAsia="Arial" w:hAnsi="Arial" w:cs="Arial"/>
          <w:bCs/>
        </w:rPr>
      </w:pPr>
      <w:r w:rsidRPr="008D378E">
        <w:rPr>
          <w:rFonts w:ascii="Arial" w:eastAsia="Arial" w:hAnsi="Arial" w:cs="Arial"/>
          <w:bCs/>
        </w:rPr>
        <w:t>Outro problema recorrente está relacionado à alocação</w:t>
      </w:r>
      <w:r>
        <w:rPr>
          <w:rFonts w:ascii="Arial" w:eastAsia="Arial" w:hAnsi="Arial" w:cs="Arial"/>
          <w:bCs/>
        </w:rPr>
        <w:t xml:space="preserve"> de investimentos</w:t>
      </w:r>
      <w:r w:rsidRPr="008D378E">
        <w:rPr>
          <w:rFonts w:ascii="Arial" w:eastAsia="Arial" w:hAnsi="Arial" w:cs="Arial"/>
          <w:bCs/>
        </w:rPr>
        <w:t xml:space="preserve"> e ao chamado “efeito carona”, no qual empresas evitam participar das primeiras rodadas experimentais devido à incerteza jurídica, aguardando os resultados de outras participantes. Soma-se o risco de “captura regulatória” e “race to the bottom”, </w:t>
      </w:r>
      <w:r>
        <w:rPr>
          <w:rFonts w:ascii="Arial" w:eastAsia="Arial" w:hAnsi="Arial" w:cs="Arial"/>
          <w:bCs/>
        </w:rPr>
        <w:t xml:space="preserve">não apenas com competições prejudiciais </w:t>
      </w:r>
      <w:r w:rsidR="00091C37">
        <w:rPr>
          <w:rFonts w:ascii="Arial" w:eastAsia="Arial" w:hAnsi="Arial" w:cs="Arial"/>
          <w:bCs/>
        </w:rPr>
        <w:t>n</w:t>
      </w:r>
      <w:r>
        <w:rPr>
          <w:rFonts w:ascii="Arial" w:eastAsia="Arial" w:hAnsi="Arial" w:cs="Arial"/>
          <w:bCs/>
        </w:rPr>
        <w:t xml:space="preserve">as </w:t>
      </w:r>
      <w:r w:rsidRPr="008D378E">
        <w:rPr>
          <w:rFonts w:ascii="Arial" w:eastAsia="Arial" w:hAnsi="Arial" w:cs="Arial"/>
          <w:bCs/>
        </w:rPr>
        <w:t>situações em que a proximidade entre reguladores e regulados pode gerar afrouxamento excessivo das regras, prejudicando a concorrência e a integridade do mercado.</w:t>
      </w:r>
      <w:r w:rsidR="007F769A">
        <w:rPr>
          <w:rFonts w:ascii="Arial" w:eastAsia="Arial" w:hAnsi="Arial" w:cs="Arial"/>
          <w:bCs/>
        </w:rPr>
        <w:t xml:space="preserve"> </w:t>
      </w:r>
      <w:r w:rsidRPr="008D378E">
        <w:rPr>
          <w:rFonts w:ascii="Arial" w:eastAsia="Arial" w:hAnsi="Arial" w:cs="Arial"/>
          <w:bCs/>
        </w:rPr>
        <w:t>Há ainda o perigo de distorções concorrenciais, já que as empresas inseridas no ambiente experimental podem usufruir de vantagens econômicas e operacionais não acessíveis a competidores externos.</w:t>
      </w:r>
      <w:r w:rsidR="00CC0828">
        <w:rPr>
          <w:rFonts w:ascii="Arial" w:eastAsia="Arial" w:hAnsi="Arial" w:cs="Arial"/>
          <w:bCs/>
        </w:rPr>
        <w:t xml:space="preserve"> (</w:t>
      </w:r>
      <w:r w:rsidR="007F769A">
        <w:rPr>
          <w:rFonts w:ascii="Arial" w:eastAsia="Arial" w:hAnsi="Arial" w:cs="Arial"/>
          <w:bCs/>
        </w:rPr>
        <w:t>FAZOLO</w:t>
      </w:r>
      <w:r w:rsidR="00CC0828">
        <w:rPr>
          <w:rFonts w:ascii="Arial" w:eastAsia="Arial" w:hAnsi="Arial" w:cs="Arial"/>
          <w:bCs/>
        </w:rPr>
        <w:t xml:space="preserve"> et al</w:t>
      </w:r>
      <w:r w:rsidR="007F769A">
        <w:rPr>
          <w:rFonts w:ascii="Arial" w:eastAsia="Arial" w:hAnsi="Arial" w:cs="Arial"/>
          <w:bCs/>
        </w:rPr>
        <w:t xml:space="preserve"> 2023).</w:t>
      </w:r>
    </w:p>
    <w:p w14:paraId="04546AAA" w14:textId="62839A95" w:rsidR="008D378E" w:rsidRPr="007F769A" w:rsidRDefault="008D378E" w:rsidP="007F769A">
      <w:pPr>
        <w:spacing w:line="360" w:lineRule="auto"/>
        <w:ind w:firstLine="851"/>
        <w:rPr>
          <w:rFonts w:ascii="Arial" w:eastAsia="Arial" w:hAnsi="Arial" w:cs="Arial"/>
          <w:bCs/>
        </w:rPr>
      </w:pPr>
      <w:r w:rsidRPr="008D378E">
        <w:rPr>
          <w:rFonts w:ascii="Arial" w:eastAsia="Arial" w:hAnsi="Arial" w:cs="Arial"/>
          <w:bCs/>
        </w:rPr>
        <w:t xml:space="preserve">Por fim, a falta de uniformidade normativa entre diferentes entes federados, especialmente quando programas municipais e estaduais adotam decretos próprios, </w:t>
      </w:r>
      <w:r w:rsidR="007F769A">
        <w:rPr>
          <w:rFonts w:ascii="Arial" w:eastAsia="Arial" w:hAnsi="Arial" w:cs="Arial"/>
          <w:bCs/>
        </w:rPr>
        <w:t>pode trazer um sentimento de</w:t>
      </w:r>
      <w:r w:rsidRPr="008D378E">
        <w:rPr>
          <w:rFonts w:ascii="Arial" w:eastAsia="Arial" w:hAnsi="Arial" w:cs="Arial"/>
          <w:bCs/>
        </w:rPr>
        <w:t xml:space="preserve"> insegurança jurídica e fragilidade institucional do modelo, que ainda carece de diretrizes claras para o afastamento e harmonização de normas infralegais.</w:t>
      </w:r>
      <w:r w:rsidR="007F769A" w:rsidRPr="007F769A">
        <w:rPr>
          <w:rFonts w:ascii="Arial" w:eastAsia="Arial" w:hAnsi="Arial" w:cs="Arial"/>
          <w:color w:val="000000" w:themeColor="text1"/>
        </w:rPr>
        <w:t xml:space="preserve"> </w:t>
      </w:r>
      <w:r w:rsidR="007F769A">
        <w:rPr>
          <w:rFonts w:ascii="Arial" w:eastAsia="Arial" w:hAnsi="Arial" w:cs="Arial"/>
          <w:color w:val="000000" w:themeColor="text1"/>
        </w:rPr>
        <w:t>(FASSIO, 2023).</w:t>
      </w:r>
    </w:p>
    <w:p w14:paraId="3CB6F299" w14:textId="77777777" w:rsidR="008D378E" w:rsidRDefault="008D378E">
      <w:pPr>
        <w:spacing w:line="360" w:lineRule="auto"/>
        <w:jc w:val="both"/>
        <w:rPr>
          <w:rFonts w:ascii="Arial" w:eastAsia="Arial" w:hAnsi="Arial" w:cs="Arial"/>
        </w:rPr>
      </w:pPr>
    </w:p>
    <w:p w14:paraId="0E79F022" w14:textId="1ACFE222" w:rsidR="00C77CE4" w:rsidRPr="003C088F" w:rsidRDefault="009D2BA5">
      <w:pPr>
        <w:spacing w:line="360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>Conclusão</w:t>
      </w:r>
      <w:r w:rsidR="00BD6253">
        <w:rPr>
          <w:rFonts w:ascii="Arial" w:eastAsia="Arial" w:hAnsi="Arial" w:cs="Arial"/>
          <w:b/>
        </w:rPr>
        <w:t xml:space="preserve"> </w:t>
      </w:r>
    </w:p>
    <w:p w14:paraId="707F2B5A" w14:textId="77777777" w:rsidR="00091C37" w:rsidRDefault="00091C37">
      <w:pPr>
        <w:spacing w:line="360" w:lineRule="auto"/>
        <w:rPr>
          <w:rFonts w:ascii="Arial" w:eastAsia="Arial" w:hAnsi="Arial" w:cs="Arial"/>
        </w:rPr>
      </w:pPr>
    </w:p>
    <w:p w14:paraId="02BB3FDB" w14:textId="4F523B78" w:rsidR="00091C37" w:rsidRDefault="00091C37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Finaliza-se apontando que</w:t>
      </w:r>
      <w:r w:rsidR="007F769A" w:rsidRPr="007F769A">
        <w:rPr>
          <w:rFonts w:ascii="Arial" w:eastAsia="Arial" w:hAnsi="Arial" w:cs="Arial"/>
        </w:rPr>
        <w:t xml:space="preserve">, embora o </w:t>
      </w:r>
      <w:r w:rsidR="007F769A" w:rsidRPr="007F769A">
        <w:rPr>
          <w:rFonts w:ascii="Arial" w:eastAsia="Arial" w:hAnsi="Arial" w:cs="Arial"/>
        </w:rPr>
        <w:t>S</w:t>
      </w:r>
      <w:r w:rsidR="007F769A" w:rsidRPr="007F769A">
        <w:rPr>
          <w:rFonts w:ascii="Arial" w:eastAsia="Arial" w:hAnsi="Arial" w:cs="Arial"/>
        </w:rPr>
        <w:t xml:space="preserve">andbox </w:t>
      </w:r>
      <w:r w:rsidR="007F769A" w:rsidRPr="00D317EE">
        <w:rPr>
          <w:rFonts w:ascii="Arial" w:eastAsia="Arial" w:hAnsi="Arial" w:cs="Arial"/>
        </w:rPr>
        <w:t>regulatório</w:t>
      </w:r>
      <w:r w:rsidR="007F769A" w:rsidRPr="007F769A">
        <w:rPr>
          <w:rFonts w:ascii="Arial" w:eastAsia="Arial" w:hAnsi="Arial" w:cs="Arial"/>
        </w:rPr>
        <w:t xml:space="preserve"> previsto pela Lei Complementar nº 182/2021 represente um avanço importante na promoção da inovação e do empreendedorismo no Brasil, sua efetividade ainda é limitada por desafios estruturais, como a falta de uniformidade normativa, riscos de captura regulatória e insegurança jurídica. Ainda assim, trata-se de um instrumento</w:t>
      </w:r>
      <w:r w:rsidR="007F769A">
        <w:rPr>
          <w:rFonts w:ascii="Arial" w:eastAsia="Arial" w:hAnsi="Arial" w:cs="Arial"/>
        </w:rPr>
        <w:t xml:space="preserve"> extremamente</w:t>
      </w:r>
      <w:r w:rsidR="007F769A" w:rsidRPr="007F769A">
        <w:rPr>
          <w:rFonts w:ascii="Arial" w:eastAsia="Arial" w:hAnsi="Arial" w:cs="Arial"/>
        </w:rPr>
        <w:t xml:space="preserve"> promissor, cuja consolidação depende do aperfeiçoamento legislativo, da coordenação entre os entes federados e do acompanhamento técnico contínuo para garantir que cumpra seu papel de equilibrar inovação e segurança no ambiente empresarial.</w:t>
      </w:r>
    </w:p>
    <w:p w14:paraId="1E44C54F" w14:textId="77777777" w:rsidR="00091C37" w:rsidRDefault="00091C37">
      <w:pPr>
        <w:spacing w:line="360" w:lineRule="auto"/>
        <w:rPr>
          <w:rFonts w:ascii="Arial" w:eastAsia="Arial" w:hAnsi="Arial" w:cs="Arial"/>
          <w:b/>
        </w:rPr>
      </w:pPr>
    </w:p>
    <w:p w14:paraId="4AD00412" w14:textId="1854F31A" w:rsidR="00C77CE4" w:rsidRDefault="009D2BA5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Referências</w:t>
      </w:r>
    </w:p>
    <w:p w14:paraId="03E5FF97" w14:textId="77777777" w:rsidR="00D317EE" w:rsidRPr="00CC0828" w:rsidRDefault="00D317EE" w:rsidP="00D317EE">
      <w:pPr>
        <w:rPr>
          <w:rFonts w:ascii="Arial" w:eastAsia="Arial" w:hAnsi="Arial" w:cs="Arial"/>
        </w:rPr>
      </w:pPr>
    </w:p>
    <w:p w14:paraId="37D72F32" w14:textId="68D5238C" w:rsidR="00CC0828" w:rsidRPr="00CC0828" w:rsidRDefault="00CC0828" w:rsidP="00CC0828">
      <w:pPr>
        <w:rPr>
          <w:rFonts w:ascii="Arial" w:hAnsi="Arial" w:cs="Arial"/>
        </w:rPr>
      </w:pPr>
      <w:r w:rsidRPr="00CC0828">
        <w:rPr>
          <w:rFonts w:ascii="Arial" w:hAnsi="Arial" w:cs="Arial"/>
        </w:rPr>
        <w:t>BLANCHET,</w:t>
      </w:r>
      <w:r>
        <w:rPr>
          <w:rFonts w:ascii="Arial" w:hAnsi="Arial" w:cs="Arial"/>
        </w:rPr>
        <w:t xml:space="preserve"> Luiz Alberto</w:t>
      </w:r>
      <w:r w:rsidRPr="00CC0828">
        <w:rPr>
          <w:rFonts w:ascii="Arial" w:hAnsi="Arial" w:cs="Arial"/>
        </w:rPr>
        <w:t xml:space="preserve">; MARTINELLI </w:t>
      </w:r>
      <w:r>
        <w:rPr>
          <w:rFonts w:ascii="Arial" w:hAnsi="Arial" w:cs="Arial"/>
        </w:rPr>
        <w:t>T</w:t>
      </w:r>
      <w:r w:rsidRPr="00CC0828">
        <w:rPr>
          <w:rFonts w:ascii="Arial" w:hAnsi="Arial" w:cs="Arial"/>
        </w:rPr>
        <w:t xml:space="preserve">anganelli </w:t>
      </w:r>
      <w:r>
        <w:rPr>
          <w:rFonts w:ascii="Arial" w:hAnsi="Arial" w:cs="Arial"/>
        </w:rPr>
        <w:t>G</w:t>
      </w:r>
      <w:r w:rsidRPr="00CC0828">
        <w:rPr>
          <w:rFonts w:ascii="Arial" w:hAnsi="Arial" w:cs="Arial"/>
        </w:rPr>
        <w:t>azotto</w:t>
      </w:r>
      <w:r w:rsidRPr="00CC0828">
        <w:rPr>
          <w:rFonts w:ascii="Arial" w:hAnsi="Arial" w:cs="Arial"/>
        </w:rPr>
        <w:t xml:space="preserve">, GUSTAVO; </w:t>
      </w:r>
      <w:r>
        <w:rPr>
          <w:rFonts w:ascii="Arial" w:hAnsi="Arial" w:cs="Arial"/>
        </w:rPr>
        <w:t>S</w:t>
      </w:r>
      <w:r w:rsidRPr="00CC0828">
        <w:rPr>
          <w:rFonts w:ascii="Arial" w:hAnsi="Arial" w:cs="Arial"/>
        </w:rPr>
        <w:t xml:space="preserve">cherreier </w:t>
      </w:r>
      <w:r>
        <w:rPr>
          <w:rFonts w:ascii="Arial" w:hAnsi="Arial" w:cs="Arial"/>
        </w:rPr>
        <w:t>F</w:t>
      </w:r>
      <w:r w:rsidRPr="00CC0828">
        <w:rPr>
          <w:rFonts w:ascii="Arial" w:hAnsi="Arial" w:cs="Arial"/>
        </w:rPr>
        <w:t>erneda</w:t>
      </w:r>
      <w:r w:rsidRPr="00CC082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</w:t>
      </w:r>
      <w:r w:rsidRPr="00CC0828">
        <w:rPr>
          <w:rFonts w:ascii="Arial" w:hAnsi="Arial" w:cs="Arial"/>
        </w:rPr>
        <w:t xml:space="preserve">riê. </w:t>
      </w:r>
      <w:r w:rsidRPr="00CC0828">
        <w:rPr>
          <w:rFonts w:ascii="Arial" w:hAnsi="Arial" w:cs="Arial"/>
          <w:b/>
          <w:bCs/>
        </w:rPr>
        <w:t>Sandbox regulatória e tecnologias disruptivas: incentivos</w:t>
      </w:r>
      <w:r w:rsidRPr="00CC0828">
        <w:rPr>
          <w:rFonts w:ascii="Arial" w:hAnsi="Arial" w:cs="Arial"/>
          <w:b/>
          <w:bCs/>
        </w:rPr>
        <w:t xml:space="preserve"> </w:t>
      </w:r>
      <w:r w:rsidRPr="00CC0828">
        <w:rPr>
          <w:rFonts w:ascii="Arial" w:hAnsi="Arial" w:cs="Arial"/>
          <w:b/>
          <w:bCs/>
        </w:rPr>
        <w:t>à inovação e inclusão financeira por meio das Fintechs</w:t>
      </w:r>
    </w:p>
    <w:p w14:paraId="21074662" w14:textId="4866CA91" w:rsidR="00CC0828" w:rsidRPr="00CC0828" w:rsidRDefault="00CC0828" w:rsidP="00CC0828">
      <w:pPr>
        <w:rPr>
          <w:rFonts w:ascii="Arial" w:hAnsi="Arial" w:cs="Arial"/>
        </w:rPr>
      </w:pPr>
      <w:r w:rsidRPr="00CC0828">
        <w:rPr>
          <w:rFonts w:ascii="Arial" w:hAnsi="Arial" w:cs="Arial"/>
        </w:rPr>
        <w:t>Revista Eurolatinoamericana de Derecho Administrativo,</w:t>
      </w:r>
      <w:r w:rsidRPr="00CC0828">
        <w:rPr>
          <w:rFonts w:ascii="Arial" w:hAnsi="Arial" w:cs="Arial"/>
        </w:rPr>
        <w:t xml:space="preserve"> </w:t>
      </w:r>
      <w:r w:rsidRPr="00CC0828">
        <w:rPr>
          <w:rFonts w:ascii="Arial" w:hAnsi="Arial" w:cs="Arial"/>
        </w:rPr>
        <w:t>vol. 7, núm. 2, 2020, Julio</w:t>
      </w:r>
      <w:r w:rsidRPr="00CC0828">
        <w:rPr>
          <w:rFonts w:ascii="Arial" w:hAnsi="Arial" w:cs="Arial"/>
        </w:rPr>
        <w:t xml:space="preserve"> </w:t>
      </w:r>
      <w:r w:rsidRPr="00CC0828">
        <w:rPr>
          <w:rFonts w:ascii="Arial" w:hAnsi="Arial" w:cs="Arial"/>
        </w:rPr>
        <w:t>Diciembre, pp. 71-87</w:t>
      </w:r>
      <w:r w:rsidRPr="00CC0828">
        <w:rPr>
          <w:rFonts w:ascii="Arial" w:hAnsi="Arial" w:cs="Arial"/>
        </w:rPr>
        <w:t xml:space="preserve"> </w:t>
      </w:r>
      <w:r w:rsidRPr="00CC0828">
        <w:rPr>
          <w:rFonts w:ascii="Arial" w:hAnsi="Arial" w:cs="Arial"/>
        </w:rPr>
        <w:t>Universidad Nacional del Litoral</w:t>
      </w:r>
      <w:r w:rsidRPr="00CC0828">
        <w:rPr>
          <w:rFonts w:ascii="Arial" w:hAnsi="Arial" w:cs="Arial"/>
        </w:rPr>
        <w:t xml:space="preserve"> </w:t>
      </w:r>
      <w:r w:rsidRPr="00CC0828">
        <w:rPr>
          <w:rFonts w:ascii="Arial" w:hAnsi="Arial" w:cs="Arial"/>
        </w:rPr>
        <w:t>Santa Fe, Argentina</w:t>
      </w:r>
    </w:p>
    <w:p w14:paraId="489440E1" w14:textId="62679E5D" w:rsidR="00A24DC6" w:rsidRPr="00CC0828" w:rsidRDefault="00CC0828" w:rsidP="00CC0828">
      <w:pPr>
        <w:rPr>
          <w:rFonts w:ascii="Arial" w:eastAsia="Arial" w:hAnsi="Arial" w:cs="Arial"/>
          <w:b/>
          <w:bCs/>
        </w:rPr>
      </w:pPr>
      <w:r w:rsidRPr="00CC0828">
        <w:rPr>
          <w:rFonts w:ascii="Arial" w:hAnsi="Arial" w:cs="Arial"/>
        </w:rPr>
        <w:t>DOI: https://doi.org/10.14409/redoeda.v7i2.9387</w:t>
      </w:r>
      <w:r w:rsidRPr="00CC0828">
        <w:rPr>
          <w:rFonts w:ascii="Arial" w:eastAsia="Arial" w:hAnsi="Arial" w:cs="Arial"/>
          <w:b/>
          <w:bCs/>
        </w:rPr>
        <w:t xml:space="preserve"> </w:t>
      </w:r>
      <w:r w:rsidRPr="00CC0828">
        <w:rPr>
          <w:rFonts w:ascii="Arial" w:eastAsia="Arial" w:hAnsi="Arial" w:cs="Arial"/>
        </w:rPr>
        <w:t xml:space="preserve">Disponível em: </w:t>
      </w:r>
      <w:r w:rsidRPr="00CC0828">
        <w:rPr>
          <w:rFonts w:ascii="Arial" w:eastAsia="Arial" w:hAnsi="Arial" w:cs="Arial" w:hint="eastAsia"/>
        </w:rPr>
        <w:t>https://www.redalyc.org/journal/6559/655969232005/655969232005.pdf</w:t>
      </w:r>
      <w:r w:rsidR="00E94421" w:rsidRPr="00CC0828">
        <w:rPr>
          <w:rFonts w:ascii="Arial" w:hAnsi="Arial" w:cs="Arial"/>
        </w:rPr>
        <w:t xml:space="preserve"> </w:t>
      </w:r>
      <w:r w:rsidRPr="00CC0828">
        <w:rPr>
          <w:rFonts w:ascii="Arial" w:hAnsi="Arial" w:cs="Arial"/>
        </w:rPr>
        <w:t>Acesso em: 02 Out. 2025</w:t>
      </w:r>
    </w:p>
    <w:p w14:paraId="4CCD236C" w14:textId="77777777" w:rsidR="00A24DC6" w:rsidRPr="00CC0828" w:rsidRDefault="00A24DC6" w:rsidP="00787EEC">
      <w:pPr>
        <w:jc w:val="both"/>
        <w:rPr>
          <w:rFonts w:ascii="Arial" w:eastAsia="Arial" w:hAnsi="Arial" w:cs="Arial"/>
          <w:b/>
          <w:bCs/>
        </w:rPr>
      </w:pPr>
    </w:p>
    <w:p w14:paraId="06A72652" w14:textId="59D0583D" w:rsidR="0097043E" w:rsidRPr="00CC0828" w:rsidRDefault="0097043E" w:rsidP="0097043E">
      <w:pPr>
        <w:pStyle w:val="Standard"/>
        <w:rPr>
          <w:rFonts w:ascii="Arial" w:hAnsi="Arial" w:cs="Arial"/>
        </w:rPr>
      </w:pPr>
      <w:r w:rsidRPr="00CC0828">
        <w:rPr>
          <w:rFonts w:ascii="Arial" w:hAnsi="Arial" w:cs="Arial"/>
        </w:rPr>
        <w:t>BRASIL. Tribunal de Contas da União.</w:t>
      </w:r>
      <w:r w:rsidRPr="00CC0828">
        <w:rPr>
          <w:rFonts w:ascii="Arial" w:hAnsi="Arial" w:cs="Arial"/>
          <w:b/>
          <w:bCs/>
        </w:rPr>
        <w:t xml:space="preserve"> Sandbox Regulatório no Marco Legal das Startups</w:t>
      </w:r>
      <w:r w:rsidRPr="00CC0828">
        <w:rPr>
          <w:rFonts w:ascii="Arial" w:hAnsi="Arial" w:cs="Arial"/>
        </w:rPr>
        <w:t xml:space="preserve">. Tribunal de Contas da União, Rafael Carvalho de Fassio.  </w:t>
      </w:r>
      <w:r w:rsidR="00FE2A65" w:rsidRPr="00CC0828">
        <w:rPr>
          <w:rFonts w:ascii="Arial" w:hAnsi="Arial" w:cs="Arial"/>
        </w:rPr>
        <w:t>Brasília:</w:t>
      </w:r>
      <w:r w:rsidRPr="00CC0828">
        <w:rPr>
          <w:rFonts w:ascii="Arial" w:hAnsi="Arial" w:cs="Arial"/>
        </w:rPr>
        <w:t xml:space="preserve"> TCU, Laboratório de Inovação, 2023. Disponível em: https://www.redus.org.br/foruminovacidades/biblioteca/0c00bdbc-9195-4ff5-afa3-1453a726bfee. Acesso em: 03 out. 2025</w:t>
      </w:r>
    </w:p>
    <w:p w14:paraId="317B3BE0" w14:textId="31F1C36C" w:rsidR="00C77CE4" w:rsidRPr="00CC0828" w:rsidRDefault="00C77CE4" w:rsidP="00763548">
      <w:pPr>
        <w:rPr>
          <w:rFonts w:ascii="Arial" w:eastAsia="Arial" w:hAnsi="Arial" w:cs="Arial"/>
          <w:sz w:val="20"/>
          <w:szCs w:val="20"/>
        </w:rPr>
      </w:pPr>
    </w:p>
    <w:p w14:paraId="68A0B911" w14:textId="42C2E47C" w:rsidR="0042118C" w:rsidRPr="00CC0828" w:rsidRDefault="00763548" w:rsidP="00763548">
      <w:pPr>
        <w:rPr>
          <w:rFonts w:ascii="Arial" w:eastAsia="Arial" w:hAnsi="Arial" w:cs="Arial"/>
        </w:rPr>
      </w:pPr>
      <w:r w:rsidRPr="00CC0828">
        <w:rPr>
          <w:rFonts w:ascii="Arial" w:eastAsia="Arial" w:hAnsi="Arial" w:cs="Arial"/>
        </w:rPr>
        <w:t xml:space="preserve">BRASIL. </w:t>
      </w:r>
      <w:r w:rsidRPr="00CC0828">
        <w:rPr>
          <w:rFonts w:ascii="Arial" w:eastAsia="Arial" w:hAnsi="Arial" w:cs="Arial"/>
          <w:b/>
          <w:bCs/>
        </w:rPr>
        <w:t>Lei Complementar nº 182, de 1º de junho de 2021.</w:t>
      </w:r>
      <w:r w:rsidRPr="00CC0828">
        <w:rPr>
          <w:rFonts w:ascii="Arial" w:eastAsia="Arial" w:hAnsi="Arial" w:cs="Arial"/>
        </w:rPr>
        <w:t xml:space="preserve"> Institui o marco legal das startups e do empreendedorismo inovador; e altera a Lei nº 6.404, de 15 de dezembro de 1976, e a Lei Complementar nº 123, de 14 de dezembro de 2006. Diário Oficial da União, Brasília, DF, 2 jun.2021. Disponível em: https://bit.ly/3J3Sb8b. Acesso em: 03 out. 2025</w:t>
      </w:r>
    </w:p>
    <w:p w14:paraId="12BDB755" w14:textId="77777777" w:rsidR="00D317EE" w:rsidRPr="00CC0828" w:rsidRDefault="00D317EE" w:rsidP="00763548">
      <w:pPr>
        <w:rPr>
          <w:rFonts w:ascii="Arial" w:eastAsia="Arial" w:hAnsi="Arial" w:cs="Arial"/>
        </w:rPr>
      </w:pPr>
    </w:p>
    <w:p w14:paraId="68D611E5" w14:textId="77777777" w:rsidR="00D317EE" w:rsidRPr="00CC0828" w:rsidRDefault="00D317EE" w:rsidP="00D317EE">
      <w:pPr>
        <w:pStyle w:val="Standard"/>
        <w:rPr>
          <w:rFonts w:ascii="Arial" w:hAnsi="Arial" w:cs="Arial"/>
          <w:b/>
          <w:bCs/>
        </w:rPr>
      </w:pPr>
      <w:r w:rsidRPr="00CC0828">
        <w:rPr>
          <w:rFonts w:ascii="Arial" w:hAnsi="Arial" w:cs="Arial"/>
        </w:rPr>
        <w:t xml:space="preserve">BARBOSA, Camilla. </w:t>
      </w:r>
      <w:r w:rsidRPr="00CC0828">
        <w:rPr>
          <w:rFonts w:ascii="Arial" w:hAnsi="Arial" w:cs="Arial"/>
          <w:b/>
          <w:bCs/>
        </w:rPr>
        <w:t xml:space="preserve">Sandbox Regulatório e o seu impacto em startups inovadoras. </w:t>
      </w:r>
      <w:r w:rsidRPr="00CC0828">
        <w:rPr>
          <w:rFonts w:ascii="Arial" w:hAnsi="Arial" w:cs="Arial"/>
        </w:rPr>
        <w:t>Inhands jul. 2025.</w:t>
      </w:r>
      <w:r w:rsidRPr="00CC0828">
        <w:rPr>
          <w:rFonts w:ascii="Arial" w:hAnsi="Arial" w:cs="Arial"/>
          <w:b/>
          <w:bCs/>
        </w:rPr>
        <w:t xml:space="preserve"> </w:t>
      </w:r>
      <w:r w:rsidRPr="00CC0828">
        <w:rPr>
          <w:rFonts w:ascii="Arial" w:hAnsi="Arial" w:cs="Arial"/>
        </w:rPr>
        <w:t>Disponível em: https://blog.inhands.com.br/sandbox-regulatorio Acesso em: 04 out. 2025.</w:t>
      </w:r>
    </w:p>
    <w:p w14:paraId="4F206A64" w14:textId="77777777" w:rsidR="00D317EE" w:rsidRPr="00CC0828" w:rsidRDefault="00D317EE" w:rsidP="0042118C">
      <w:pPr>
        <w:rPr>
          <w:rFonts w:ascii="Arial" w:eastAsia="Arial" w:hAnsi="Arial" w:cs="Arial"/>
        </w:rPr>
      </w:pPr>
    </w:p>
    <w:p w14:paraId="5DAA37A0" w14:textId="77777777" w:rsidR="00D317EE" w:rsidRPr="00CC0828" w:rsidRDefault="00D317EE" w:rsidP="00D317EE">
      <w:pPr>
        <w:pStyle w:val="Standard"/>
        <w:rPr>
          <w:rFonts w:ascii="Arial" w:hAnsi="Arial" w:cs="Arial"/>
          <w:b/>
          <w:bCs/>
        </w:rPr>
      </w:pPr>
      <w:r w:rsidRPr="00CC0828">
        <w:rPr>
          <w:rFonts w:ascii="Arial" w:hAnsi="Arial" w:cs="Arial"/>
        </w:rPr>
        <w:t>FASSIO, Rafael Carvalho de</w:t>
      </w:r>
      <w:r w:rsidRPr="00CC0828">
        <w:rPr>
          <w:rFonts w:ascii="Arial" w:hAnsi="Arial" w:cs="Arial"/>
          <w:b/>
          <w:bCs/>
        </w:rPr>
        <w:t>. SANDBOX REGULATÓRIO NO</w:t>
      </w:r>
    </w:p>
    <w:p w14:paraId="3CB743A0" w14:textId="4706FCB1" w:rsidR="00D317EE" w:rsidRPr="00CC0828" w:rsidRDefault="00D317EE" w:rsidP="00D317EE">
      <w:pPr>
        <w:pStyle w:val="Standard"/>
        <w:rPr>
          <w:rFonts w:ascii="Arial" w:hAnsi="Arial" w:cs="Arial"/>
        </w:rPr>
      </w:pPr>
      <w:r w:rsidRPr="00CC0828">
        <w:rPr>
          <w:rFonts w:ascii="Arial" w:hAnsi="Arial" w:cs="Arial"/>
          <w:b/>
          <w:bCs/>
        </w:rPr>
        <w:t>MARCO LEGAL DAS STARTUPS</w:t>
      </w:r>
      <w:r w:rsidRPr="00CC0828">
        <w:rPr>
          <w:rFonts w:ascii="Arial" w:hAnsi="Arial" w:cs="Arial"/>
        </w:rPr>
        <w:t xml:space="preserve"> – TRIBUNAL DE CONTAS DA UNIÃO, Brasília, 2023. Disponível em: https://redus-pub.s3.sa-east-1.amazonaws.com/InitiativeLibraryItem/0c00bdbc-9195-4ff5-afa3-1453a726bfee/file/2023-sandbox-regulatorio-no-marco-legal-das-startups-rafael-carvalho-de-fassio-231303ac59.pdf?X-Amz-Algorithm=AWS4-HMAC-SHA256&amp;X-Amz-Content-Sha256=UNSIGNED-PAYLOAD&amp;X-Amz-Credential=AKIAW3MECQVJZJS6LU72%2F20251003%2Fsa-east-1%2Fs3%2Faws4_request&amp;X-Amz-Date=20251003T180748Z&amp;X-Amz-Expires=1800&amp;X-Amz-Signature=cd78b583c8f2e9920960f6064ea2c6b0d928e82fd65a5957c509b59bb54203cb&amp;X-Amz-SignedHeaders=host&amp;x-id=GetObject Acesso em: 04 out. 2025</w:t>
      </w:r>
    </w:p>
    <w:p w14:paraId="0508DFA4" w14:textId="77777777" w:rsidR="0097043E" w:rsidRPr="00CC0828" w:rsidRDefault="0097043E" w:rsidP="0042118C">
      <w:pPr>
        <w:rPr>
          <w:rFonts w:ascii="Arial" w:eastAsia="Arial" w:hAnsi="Arial" w:cs="Arial"/>
        </w:rPr>
      </w:pPr>
    </w:p>
    <w:p w14:paraId="4E414CF5" w14:textId="79967B67" w:rsidR="007136A1" w:rsidRPr="00CC0828" w:rsidRDefault="00D317EE" w:rsidP="00D317EE">
      <w:pPr>
        <w:rPr>
          <w:rFonts w:ascii="Arial" w:eastAsia="Arial" w:hAnsi="Arial" w:cs="Arial"/>
          <w:b/>
          <w:bCs/>
        </w:rPr>
      </w:pPr>
      <w:r w:rsidRPr="00CC0828">
        <w:rPr>
          <w:rFonts w:ascii="Arial" w:eastAsia="Arial" w:hAnsi="Arial" w:cs="Arial"/>
        </w:rPr>
        <w:t>FAZOLO</w:t>
      </w:r>
      <w:r w:rsidRPr="00D317EE">
        <w:rPr>
          <w:rFonts w:ascii="Arial" w:eastAsia="Arial" w:hAnsi="Arial" w:cs="Arial"/>
        </w:rPr>
        <w:t xml:space="preserve">, </w:t>
      </w:r>
      <w:r w:rsidR="00FE2A65" w:rsidRPr="00D317EE">
        <w:rPr>
          <w:rFonts w:ascii="Arial" w:eastAsia="Arial" w:hAnsi="Arial" w:cs="Arial"/>
        </w:rPr>
        <w:t>Guilherme</w:t>
      </w:r>
      <w:r w:rsidR="00FE2A65" w:rsidRPr="00CC0828">
        <w:rPr>
          <w:rFonts w:ascii="Arial" w:eastAsia="Arial" w:hAnsi="Arial" w:cs="Arial"/>
        </w:rPr>
        <w:t xml:space="preserve">; </w:t>
      </w:r>
      <w:proofErr w:type="spellStart"/>
      <w:r w:rsidR="00FE2A65" w:rsidRPr="00D317EE">
        <w:rPr>
          <w:rFonts w:ascii="Arial" w:eastAsia="Arial" w:hAnsi="Arial" w:cs="Arial"/>
        </w:rPr>
        <w:t>Peterle</w:t>
      </w:r>
      <w:proofErr w:type="spellEnd"/>
      <w:r w:rsidRPr="00CC0828">
        <w:rPr>
          <w:rFonts w:ascii="Arial" w:eastAsia="Arial" w:hAnsi="Arial" w:cs="Arial"/>
        </w:rPr>
        <w:t xml:space="preserve"> Luana;</w:t>
      </w:r>
      <w:r w:rsidRPr="00D317EE">
        <w:rPr>
          <w:rFonts w:ascii="Arial" w:eastAsia="Arial" w:hAnsi="Arial" w:cs="Arial"/>
        </w:rPr>
        <w:t xml:space="preserve"> </w:t>
      </w:r>
      <w:proofErr w:type="spellStart"/>
      <w:r w:rsidRPr="00D317EE">
        <w:rPr>
          <w:rFonts w:ascii="Arial" w:eastAsia="Arial" w:hAnsi="Arial" w:cs="Arial"/>
        </w:rPr>
        <w:t>Mignac</w:t>
      </w:r>
      <w:proofErr w:type="spellEnd"/>
      <w:r w:rsidRPr="00CC0828">
        <w:rPr>
          <w:rFonts w:ascii="Arial" w:eastAsia="Arial" w:hAnsi="Arial" w:cs="Arial"/>
        </w:rPr>
        <w:t>, M</w:t>
      </w:r>
      <w:r w:rsidRPr="00D317EE">
        <w:rPr>
          <w:rFonts w:ascii="Arial" w:eastAsia="Arial" w:hAnsi="Arial" w:cs="Arial"/>
        </w:rPr>
        <w:t>arian</w:t>
      </w:r>
      <w:r w:rsidRPr="00CC0828">
        <w:rPr>
          <w:rFonts w:ascii="Arial" w:eastAsia="Arial" w:hAnsi="Arial" w:cs="Arial"/>
        </w:rPr>
        <w:t xml:space="preserve">a </w:t>
      </w:r>
      <w:r w:rsidRPr="00CC0828">
        <w:rPr>
          <w:rFonts w:ascii="Arial" w:eastAsia="Arial" w:hAnsi="Arial" w:cs="Arial"/>
          <w:b/>
          <w:bCs/>
        </w:rPr>
        <w:t>Sandbox Regulatório: oportunidades, obstáculos e riscos.</w:t>
      </w:r>
      <w:r w:rsidRPr="00CC0828">
        <w:rPr>
          <w:rFonts w:ascii="Arial" w:eastAsia="Arial" w:hAnsi="Arial" w:cs="Arial"/>
          <w:b/>
          <w:bCs/>
        </w:rPr>
        <w:t xml:space="preserve"> </w:t>
      </w:r>
      <w:r w:rsidRPr="00CC0828">
        <w:rPr>
          <w:rFonts w:ascii="Arial" w:eastAsia="Arial" w:hAnsi="Arial" w:cs="Arial"/>
        </w:rPr>
        <w:t>FCM Law. 2023. Disponível em:</w:t>
      </w:r>
      <w:r w:rsidRPr="00CC0828">
        <w:rPr>
          <w:rFonts w:ascii="Arial" w:eastAsia="Arial" w:hAnsi="Arial" w:cs="Arial"/>
          <w:b/>
          <w:bCs/>
        </w:rPr>
        <w:t xml:space="preserve"> </w:t>
      </w:r>
      <w:r w:rsidRPr="00CC0828">
        <w:rPr>
          <w:rFonts w:ascii="Arial" w:eastAsia="Arial" w:hAnsi="Arial" w:cs="Arial"/>
        </w:rPr>
        <w:t>https://www.fcm.law/blog/sandbox-regulatorio-oportunidades-obstaculos-e-riscos Acesso em: 04 out. 2025</w:t>
      </w:r>
    </w:p>
    <w:p w14:paraId="6645428A" w14:textId="77777777" w:rsidR="007136A1" w:rsidRDefault="007136A1" w:rsidP="0097043E">
      <w:pPr>
        <w:pStyle w:val="Standard"/>
        <w:rPr>
          <w:rFonts w:ascii="Arial" w:hAnsi="Arial" w:cs="Arial"/>
        </w:rPr>
      </w:pPr>
    </w:p>
    <w:p w14:paraId="417C65A1" w14:textId="77777777" w:rsidR="00CC0828" w:rsidRPr="00CC0828" w:rsidRDefault="00CC0828" w:rsidP="00CC0828">
      <w:pPr>
        <w:rPr>
          <w:rFonts w:ascii="Arial" w:eastAsia="Arial" w:hAnsi="Arial" w:cs="Arial"/>
        </w:rPr>
      </w:pPr>
      <w:r w:rsidRPr="00CC0828">
        <w:rPr>
          <w:rFonts w:ascii="Arial" w:eastAsia="Arial" w:hAnsi="Arial" w:cs="Arial"/>
        </w:rPr>
        <w:lastRenderedPageBreak/>
        <w:t xml:space="preserve">HEINEN, Juliano. </w:t>
      </w:r>
      <w:r w:rsidRPr="00CC0828">
        <w:rPr>
          <w:rFonts w:ascii="Arial" w:eastAsia="Arial" w:hAnsi="Arial" w:cs="Arial"/>
          <w:b/>
          <w:bCs/>
        </w:rPr>
        <w:t xml:space="preserve">Regulação experimental ou sandbox regulatório </w:t>
      </w:r>
      <w:r w:rsidRPr="00CC0828">
        <w:rPr>
          <w:rFonts w:ascii="Arial" w:eastAsia="Arial" w:hAnsi="Arial" w:cs="Arial"/>
        </w:rPr>
        <w:t xml:space="preserve">– compreensões e desafios. Revista da Faculdade de Direito UFPR, Curitiba, v. 68, n. 1, p. 113-136, jan./abr. 2023. ISSN 2236-7284. Disponível em: https://revistas.ufpr.br/direito/article/view/85389. Acesso em: 03 out. 2025. </w:t>
      </w:r>
    </w:p>
    <w:p w14:paraId="6D57198F" w14:textId="77777777" w:rsidR="00CC0828" w:rsidRPr="00CC0828" w:rsidRDefault="00CC0828" w:rsidP="0097043E">
      <w:pPr>
        <w:pStyle w:val="Standard"/>
        <w:rPr>
          <w:rFonts w:ascii="Arial" w:hAnsi="Arial" w:cs="Arial"/>
        </w:rPr>
      </w:pPr>
    </w:p>
    <w:p w14:paraId="084E9FD0" w14:textId="3B582507" w:rsidR="00CC0828" w:rsidRPr="00CC0828" w:rsidRDefault="00CC0828" w:rsidP="00CC0828">
      <w:pPr>
        <w:rPr>
          <w:rFonts w:ascii="Arial" w:eastAsia="Arial" w:hAnsi="Arial" w:cs="Arial"/>
        </w:rPr>
      </w:pPr>
      <w:r w:rsidRPr="00CC0828">
        <w:rPr>
          <w:rFonts w:ascii="Arial" w:hAnsi="Arial" w:cs="Arial"/>
        </w:rPr>
        <w:t xml:space="preserve">ROCHA, Veronica Ferreira da. </w:t>
      </w:r>
      <w:r w:rsidRPr="00CC0828">
        <w:rPr>
          <w:rFonts w:ascii="Arial" w:hAnsi="Arial" w:cs="Arial"/>
          <w:b/>
          <w:bCs/>
        </w:rPr>
        <w:t xml:space="preserve">Sandbox regulatório no sistema </w:t>
      </w:r>
      <w:r w:rsidR="00FE2A65" w:rsidRPr="00CC0828">
        <w:rPr>
          <w:rFonts w:ascii="Arial" w:hAnsi="Arial" w:cs="Arial"/>
          <w:b/>
          <w:bCs/>
        </w:rPr>
        <w:t>das startups</w:t>
      </w:r>
      <w:r w:rsidRPr="00CC0828">
        <w:rPr>
          <w:rFonts w:ascii="Arial" w:hAnsi="Arial" w:cs="Arial"/>
          <w:b/>
          <w:bCs/>
        </w:rPr>
        <w:t xml:space="preserve"> brasileiras. </w:t>
      </w:r>
      <w:r w:rsidRPr="00CC0828">
        <w:rPr>
          <w:rFonts w:ascii="Arial" w:hAnsi="Arial" w:cs="Arial"/>
        </w:rPr>
        <w:t>Mackenzie. São Paulo 19 mai. 2022. Disponível em:</w:t>
      </w:r>
      <w:r w:rsidRPr="00CC0828">
        <w:rPr>
          <w:rFonts w:ascii="Arial" w:hAnsi="Arial" w:cs="Arial"/>
          <w:b/>
          <w:bCs/>
        </w:rPr>
        <w:t xml:space="preserve"> </w:t>
      </w:r>
      <w:r w:rsidRPr="00CC0828">
        <w:rPr>
          <w:rFonts w:ascii="Arial" w:hAnsi="Arial" w:cs="Arial"/>
        </w:rPr>
        <w:t xml:space="preserve"> </w:t>
      </w:r>
      <w:r w:rsidRPr="00CC0828">
        <w:rPr>
          <w:rFonts w:ascii="Arial" w:eastAsia="Arial" w:hAnsi="Arial" w:cs="Arial"/>
        </w:rPr>
        <w:t>https://dspace.mackenzie.br/items/7bd96f69-a87c-4c83-9f90-bf6785f685b2 Acesso em: 02 Out. 2025</w:t>
      </w:r>
    </w:p>
    <w:p w14:paraId="3DED3AFD" w14:textId="2FED8B55" w:rsidR="007136A1" w:rsidRPr="00CC0828" w:rsidRDefault="007136A1" w:rsidP="00091C37">
      <w:pPr>
        <w:pStyle w:val="Standard"/>
        <w:rPr>
          <w:rFonts w:ascii="Arial" w:hAnsi="Arial" w:cs="Arial"/>
        </w:rPr>
      </w:pPr>
    </w:p>
    <w:sectPr w:rsidR="007136A1" w:rsidRPr="00CC0828">
      <w:headerReference w:type="default" r:id="rId7"/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523FD" w14:textId="77777777" w:rsidR="00955275" w:rsidRDefault="00955275">
      <w:pPr>
        <w:rPr>
          <w:rFonts w:hint="eastAsia"/>
        </w:rPr>
      </w:pPr>
      <w:r>
        <w:separator/>
      </w:r>
    </w:p>
  </w:endnote>
  <w:endnote w:type="continuationSeparator" w:id="0">
    <w:p w14:paraId="1877BBAD" w14:textId="77777777" w:rsidR="00955275" w:rsidRDefault="0095527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aleway, sans-serif">
    <w:altName w:val="Arial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ED126" w14:textId="77777777" w:rsidR="00955275" w:rsidRDefault="0095527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45B5D8D" w14:textId="77777777" w:rsidR="00955275" w:rsidRDefault="0095527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F3FB4" w14:textId="77777777" w:rsidR="00755C37" w:rsidRDefault="009D2BA5">
    <w:pPr>
      <w:pStyle w:val="Cabealh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38669482" wp14:editId="525C12B2">
          <wp:simplePos x="0" y="0"/>
          <wp:positionH relativeFrom="column">
            <wp:posOffset>2231282</wp:posOffset>
          </wp:positionH>
          <wp:positionV relativeFrom="paragraph">
            <wp:posOffset>-348477</wp:posOffset>
          </wp:positionV>
          <wp:extent cx="1857960" cy="834481"/>
          <wp:effectExtent l="0" t="0" r="0" b="3719"/>
          <wp:wrapSquare wrapText="bothSides"/>
          <wp:docPr id="1884251327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7960" cy="83448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B5BAEBC" w14:textId="77777777" w:rsidR="00755C37" w:rsidRDefault="00755C37">
    <w:pPr>
      <w:pStyle w:val="Cabealho"/>
      <w:rPr>
        <w:rFonts w:hint="eastAsia"/>
      </w:rPr>
    </w:pPr>
  </w:p>
  <w:p w14:paraId="674B5409" w14:textId="77777777" w:rsidR="00755C37" w:rsidRDefault="00755C37">
    <w:pPr>
      <w:pStyle w:val="Ttulo1"/>
      <w:spacing w:after="150" w:line="264" w:lineRule="auto"/>
      <w:jc w:val="center"/>
      <w:rPr>
        <w:rFonts w:ascii="Raleway, sans-serif" w:hAnsi="Raleway, sans-serif" w:hint="eastAsia"/>
        <w:b w:val="0"/>
        <w:color w:val="2980B9"/>
        <w:sz w:val="20"/>
        <w:szCs w:val="20"/>
      </w:rPr>
    </w:pPr>
  </w:p>
  <w:p w14:paraId="4FE3D322" w14:textId="77777777" w:rsidR="00755C37" w:rsidRDefault="009D2BA5">
    <w:pPr>
      <w:pStyle w:val="Ttulo1"/>
      <w:spacing w:after="150" w:line="264" w:lineRule="auto"/>
      <w:jc w:val="center"/>
      <w:rPr>
        <w:rFonts w:hint="eastAsia"/>
      </w:rPr>
    </w:pPr>
    <w:bookmarkStart w:id="0" w:name="title-event-out-of-banner"/>
    <w:bookmarkEnd w:id="0"/>
    <w:r>
      <w:rPr>
        <w:rFonts w:ascii="Raleway, sans-serif" w:hAnsi="Raleway, sans-serif"/>
        <w:color w:val="2980B9"/>
        <w:sz w:val="20"/>
        <w:szCs w:val="20"/>
      </w:rPr>
      <w:t>2º SEMANA ACADÊMICA INTEGRADA DO CENTRO DE CIÊNCIAS HUMANAS E SOCIAIS APLICADAS - CCHSA - UNICESUMAR PG</w:t>
    </w:r>
  </w:p>
  <w:p w14:paraId="72278E79" w14:textId="63CADC56" w:rsidR="00755C37" w:rsidRDefault="009D2BA5">
    <w:pPr>
      <w:pStyle w:val="Textbody"/>
      <w:spacing w:after="150" w:line="264" w:lineRule="auto"/>
      <w:jc w:val="center"/>
      <w:rPr>
        <w:rFonts w:hint="eastAsia"/>
      </w:rPr>
    </w:pPr>
    <w:r>
      <w:rPr>
        <w:rFonts w:ascii="Raleway, sans-serif" w:hAnsi="Raleway, sans-serif"/>
        <w:color w:val="2980B9"/>
        <w:sz w:val="20"/>
        <w:szCs w:val="20"/>
      </w:rPr>
      <w:t>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CE4"/>
    <w:rsid w:val="00013535"/>
    <w:rsid w:val="000159BE"/>
    <w:rsid w:val="00024CCB"/>
    <w:rsid w:val="00091C37"/>
    <w:rsid w:val="00123784"/>
    <w:rsid w:val="001B2E55"/>
    <w:rsid w:val="00270664"/>
    <w:rsid w:val="003C088F"/>
    <w:rsid w:val="0042118C"/>
    <w:rsid w:val="004422C7"/>
    <w:rsid w:val="00470E6A"/>
    <w:rsid w:val="005E16AD"/>
    <w:rsid w:val="0064619A"/>
    <w:rsid w:val="007136A1"/>
    <w:rsid w:val="0073388F"/>
    <w:rsid w:val="00755C37"/>
    <w:rsid w:val="00763548"/>
    <w:rsid w:val="007708E7"/>
    <w:rsid w:val="00787EEC"/>
    <w:rsid w:val="007F769A"/>
    <w:rsid w:val="008245D8"/>
    <w:rsid w:val="00875840"/>
    <w:rsid w:val="008D378E"/>
    <w:rsid w:val="009229B2"/>
    <w:rsid w:val="00955275"/>
    <w:rsid w:val="0097043E"/>
    <w:rsid w:val="00977FFA"/>
    <w:rsid w:val="009D2BA5"/>
    <w:rsid w:val="009F28E6"/>
    <w:rsid w:val="009F4C69"/>
    <w:rsid w:val="00A24DC6"/>
    <w:rsid w:val="00B45341"/>
    <w:rsid w:val="00B80D2B"/>
    <w:rsid w:val="00B94E51"/>
    <w:rsid w:val="00BB0283"/>
    <w:rsid w:val="00BD6253"/>
    <w:rsid w:val="00C34E94"/>
    <w:rsid w:val="00C7702E"/>
    <w:rsid w:val="00C77CE4"/>
    <w:rsid w:val="00CC0828"/>
    <w:rsid w:val="00CC2481"/>
    <w:rsid w:val="00D317EE"/>
    <w:rsid w:val="00DA692C"/>
    <w:rsid w:val="00DE5EC5"/>
    <w:rsid w:val="00E71CC2"/>
    <w:rsid w:val="00E763A7"/>
    <w:rsid w:val="00E94421"/>
    <w:rsid w:val="00F021D4"/>
    <w:rsid w:val="00FC55EA"/>
    <w:rsid w:val="00FE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39F83"/>
  <w15:docId w15:val="{EBDDF168-4814-144D-9D4E-99777E07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378E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0A2F40" w:themeColor="accent1" w:themeShade="7F"/>
      <w:szCs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1C37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0F4761" w:themeColor="accent1" w:themeShade="BF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HeaderandFooter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rPr>
      <w:rFonts w:cs="Mangal"/>
      <w:szCs w:val="21"/>
    </w:rPr>
  </w:style>
  <w:style w:type="character" w:styleId="Hyperlink">
    <w:name w:val="Hyperlink"/>
    <w:basedOn w:val="Fontepargpadro"/>
    <w:uiPriority w:val="99"/>
    <w:unhideWhenUsed/>
    <w:rsid w:val="00787EE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87EEC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378E"/>
    <w:rPr>
      <w:rFonts w:asciiTheme="majorHAnsi" w:eastAsiaTheme="majorEastAsia" w:hAnsiTheme="majorHAnsi" w:cs="Mangal"/>
      <w:color w:val="0A2F40" w:themeColor="accent1" w:themeShade="7F"/>
      <w:szCs w:val="21"/>
    </w:rPr>
  </w:style>
  <w:style w:type="paragraph" w:styleId="NormalWeb">
    <w:name w:val="Normal (Web)"/>
    <w:basedOn w:val="Normal"/>
    <w:uiPriority w:val="99"/>
    <w:semiHidden/>
    <w:unhideWhenUsed/>
    <w:rsid w:val="007F769A"/>
    <w:rPr>
      <w:rFonts w:ascii="Times New Roman" w:hAnsi="Times New Roman" w:cs="Mangal"/>
      <w:szCs w:val="2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1C37"/>
    <w:rPr>
      <w:rFonts w:asciiTheme="majorHAnsi" w:eastAsiaTheme="majorEastAsia" w:hAnsiTheme="majorHAnsi" w:cs="Mangal"/>
      <w:color w:val="0F4761" w:themeColor="accent1" w:themeShade="B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ao.vieira@unicesumar.edu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2023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Gabriela Sousa Gomes</cp:lastModifiedBy>
  <cp:revision>4</cp:revision>
  <dcterms:created xsi:type="dcterms:W3CDTF">2025-10-06T02:43:00Z</dcterms:created>
  <dcterms:modified xsi:type="dcterms:W3CDTF">2025-10-06T02:50:00Z</dcterms:modified>
</cp:coreProperties>
</file>