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="240" w:lineRule="auto"/>
        <w:ind w:right="14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Arial" w:cs="Arial" w:eastAsia="Arial" w:hAnsi="Arial"/>
          <w:rtl w:val="0"/>
        </w:rPr>
        <w:t xml:space="preserve">Engenharias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="240" w:lineRule="auto"/>
        <w:ind w:right="142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80" w:line="240" w:lineRule="auto"/>
        <w:jc w:val="center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Projeto de elemento de bombeio mecânico acionado com ligas com efeito memória de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60" w:line="240" w:lineRule="auto"/>
        <w:ind w:right="14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before="8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Rita Patrícia Cruz de Andrade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Zoroastro Torres Vilar</w:t>
      </w:r>
    </w:p>
    <w:p w:rsidR="00000000" w:rsidDel="00000000" w:rsidP="00000000" w:rsidRDefault="00000000" w:rsidRPr="00000000" w14:paraId="00000006">
      <w:pPr>
        <w:spacing w:after="80" w:before="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before="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Dentre os mais diversos materiais existentes, temos os chamados materiais ativos, também conhecidos usualmente como materiais inteligentes, multifuncionais, entre outros. E como definição podemos afirmar que eles são capazes de reagir a estímulos ou mudanças externas e/ou ambientais. Dentro desse grupo temos as chamadas ligas com memória de forma (LMF) ou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shape memory alloys </w:t>
      </w:r>
      <w:r w:rsidDel="00000000" w:rsidR="00000000" w:rsidRPr="00000000">
        <w:rPr>
          <w:rFonts w:ascii="Arial" w:cs="Arial" w:eastAsia="Arial" w:hAnsi="Arial"/>
          <w:rtl w:val="0"/>
        </w:rPr>
        <w:t xml:space="preserve">(SMA), que são materiais que podem sofrer deformações em seu “estado normal” e após serem submetidas a temperaturas mais elevadas, são capazes de retornarem a seu estado inicial. A LMF mais utilizada comercialmente é a liga a base de NiTi (Níquel e Titânio), devido às suas características. E dentre as aplicações temos como principal a ortodontia, mas sua utilização vem sendo bastante difundida em diversas áreas como a biomedicina, a aeronáutica, robótica. Assim, o objetivo do trabalho foi construir um dispositivo capaz de ser acionado através das LMF, com a realização de uma ciclagem </w:t>
      </w:r>
      <w:r w:rsidDel="00000000" w:rsidR="00000000" w:rsidRPr="00000000">
        <w:rPr>
          <w:rFonts w:ascii="Arial" w:cs="Arial" w:eastAsia="Arial" w:hAnsi="Arial"/>
          <w:rtl w:val="0"/>
        </w:rPr>
        <w:t xml:space="preserve">eletrotérmica nos fios, acionados através de um relé, com tempo de abertura e fechamento controlado por um Arduino. Onde o dispositivo fica a determinada altura, preso na parede com uma massa suspensa ao fio. Quando o fio sofre essa variação de temperatura, ele passa por uma ciclagem de deformação-retorno à forma inicial. Com isso, foram utilizadas amostras aplicando diferentes tratamentos térmicos, com o intuito de determinar qual conjunto de parâmetros forneceria temperaturas de transformação de fase adequadas para a nossa aplicação. Foram realizados ensaios de resistência x temperatura para definir qual a ideal a ser utilizada. Submetendo as amostras tratadas termicamente ao chamado treinamento do fio. Com isso, concluímos que os tratamentos aplicados fornecem temperaturas de transformação diferentes, mas que a liga adquirida não apresentou resultados satisfatórios para se trabalhar na temperatura ambiente, devendo receber o devido tratamento térmico para a sua utilização.</w:t>
      </w:r>
    </w:p>
    <w:p w:rsidR="00000000" w:rsidDel="00000000" w:rsidP="00000000" w:rsidRDefault="00000000" w:rsidRPr="00000000" w14:paraId="00000008">
      <w:pPr>
        <w:spacing w:after="60" w:before="60" w:line="240" w:lineRule="auto"/>
        <w:ind w:right="142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60" w:line="240" w:lineRule="auto"/>
        <w:ind w:right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Materi</w:t>
      </w:r>
      <w:r w:rsidDel="00000000" w:rsidR="00000000" w:rsidRPr="00000000">
        <w:rPr>
          <w:rFonts w:ascii="Arial" w:cs="Arial" w:eastAsia="Arial" w:hAnsi="Arial"/>
          <w:rtl w:val="0"/>
        </w:rPr>
        <w:t xml:space="preserve">ais inteligentes, memória de forma, ligas NiTi, tratamento térmico.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Agência financiadora: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Bolsista IC PIBIC - CNPq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color="c45911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257.0" w:type="dxa"/>
      <w:jc w:val="left"/>
      <w:tblInd w:w="0.0" w:type="dxa"/>
      <w:tblBorders>
        <w:top w:color="000000" w:space="0" w:sz="0" w:val="nil"/>
        <w:left w:color="000000" w:space="0" w:sz="0" w:val="nil"/>
        <w:bottom w:color="c45911" w:space="0" w:sz="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6958"/>
      <w:gridCol w:w="2299"/>
      <w:tblGridChange w:id="0">
        <w:tblGrid>
          <w:gridCol w:w="6958"/>
          <w:gridCol w:w="2299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3400425" cy="89154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Anais 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Mossoró-RN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60" w:before="6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ed7d3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