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22" w:line="240" w:lineRule="auto"/>
        <w:ind w:right="28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LESÕES DENTÁRIAS EM CRIANÇAS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05" w:right="71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Júlia Farias Tenório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¹,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Kildson Costa Gaudencio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², Matheus Lucas Cordeiro³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Milena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Victor Leonardo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Lohana Maylane Aquino Correia de Lima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Ricardo Eugenio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Federal de Pernambuco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Universidade Federal de Pernambuco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Universidade Federal de Pernambuco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Faculdade de Medicina de Olinda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5 Universidade Mauríc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 de Nassau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juliatenorio46@gmail.com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lesões dentárias traumáticas acometem bastante crianças e adolescentes e, portanto, é considerada uma problemática de saúde pública. As consequências do trauma podem gerar cargas psicológicas que impactam na vida cotidiana. Logo, essas crianças começam a ter malefícios em seus desempenhos básicos diários como comer e saborear a comida, limpar os dentes, sorrir e mostrar os dentes sem sentir vergonha, manter o emocional sem se irritar com facilidade e desfrutar do convívio com as pessoas.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Abordar os fatores de risco para lesões dentárias em crianças e o seu manejo em dentes decíduos.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estudo trata-se de uma revisão de literatura, a busca pelos artigos foi realizada nas bases PubMed e BVS. Foram utilizados os descritores “saúde oral”, “criança”, “traumatismo dentário”, usando o operador booleano “and|", a pesquisa resultou em 588 artigos, dos quais 5 foram selecionados. Como critério de inclusão, definiu-se o período de publicação de 5 anos, textos completos, idioma inglês, português e espanhol. Os critérios de exclusão foram: resumos, anais, editoriais, cartas ao editor, reflexão e duplicidade.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fatores que implicam nas lesões dentárias em crianças se relacionam a sobressaliência incisal superior a 5mm, cobertura labial inadequada, status socioeconômico baixo, além de possuir maior prevalência no sexo masculino. A literatura aponta ainda que, a maioria das lesões dentárias traumáticas ocorreu em casa e na escola durante a prática de esportes, por serem atividades relacionadas a colisões e quedas. É importante ressaltar que, mesmo em traumas leves existe a possibilidade de sequelas que devem ser acompanhadas através de exames clínicos e radiográficos periódicos. Ademais, no caso de lesões em dentes decíduos, o manejo mais adequado é a imobilização para que seja permitido a proteção do dente permanente e proteção do tecido de suporte.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Conclui-se que, as lesões dentárias são um infortúnio comum no período da infância que deve ser monitorado e tratado a fim de não ocasionar problemas que envolvam função e qualidade de vida das crianças.</w:t>
      </w:r>
    </w:p>
    <w:p w:rsidR="00000000" w:rsidDel="00000000" w:rsidP="00000000" w:rsidRDefault="00000000" w:rsidRPr="00000000" w14:paraId="0000000D">
      <w:pPr>
        <w:spacing w:after="0" w:before="51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Traumas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Emergência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Dentário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Emergências Clínicas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bODpi0mROQY660ZPjCHo/EmIA==">CgMxLjA4AHIhMXlzTWd1bm9mSWRRZXZ1X1BvMlpKdDEwTDBLS19yekpV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