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7619FFC8" w14:textId="19B4BC56" w:rsidR="00A30AF6" w:rsidRPr="00501425" w:rsidRDefault="00FE702D" w:rsidP="00FE702D">
      <w:pPr>
        <w:ind w:right="-427"/>
        <w:jc w:val="center"/>
        <w:rPr>
          <w:rFonts w:ascii="Arial" w:hAnsi="Arial" w:cs="Arial"/>
          <w:b/>
          <w:bCs/>
          <w:sz w:val="28"/>
          <w:szCs w:val="28"/>
          <w:lang w:val="en-US"/>
        </w:rPr>
      </w:pPr>
      <w:r w:rsidRPr="00FE702D">
        <w:rPr>
          <w:rFonts w:ascii="Arial" w:hAnsi="Arial" w:cs="Arial"/>
          <w:b/>
          <w:bCs/>
          <w:sz w:val="28"/>
          <w:szCs w:val="28"/>
          <w:lang w:val="en-US"/>
        </w:rPr>
        <w:t>EVALUATION OF THE POSSIBLE HEALING ACTIVITY OF</w:t>
      </w:r>
      <w:r>
        <w:rPr>
          <w:rFonts w:ascii="Arial" w:hAnsi="Arial" w:cs="Arial"/>
          <w:b/>
          <w:bCs/>
          <w:sz w:val="28"/>
          <w:szCs w:val="28"/>
          <w:lang w:val="en-US"/>
        </w:rPr>
        <w:t xml:space="preserve"> </w:t>
      </w:r>
      <w:r w:rsidRPr="00FE702D">
        <w:rPr>
          <w:rFonts w:ascii="Arial" w:hAnsi="Arial" w:cs="Arial"/>
          <w:b/>
          <w:bCs/>
          <w:sz w:val="28"/>
          <w:szCs w:val="28"/>
          <w:lang w:val="en-US"/>
        </w:rPr>
        <w:t>FARNESOL IN RODENTS</w:t>
      </w:r>
    </w:p>
    <w:p w14:paraId="6E822807" w14:textId="38EB80A5" w:rsidR="00BE45CD" w:rsidRDefault="00545B18" w:rsidP="00BE45CD">
      <w:pPr>
        <w:spacing w:after="120"/>
        <w:ind w:right="-427"/>
        <w:jc w:val="both"/>
        <w:rPr>
          <w:rFonts w:ascii="Arial" w:eastAsia="Arial" w:hAnsi="Arial" w:cs="Arial"/>
          <w:b/>
          <w:color w:val="000000"/>
          <w:sz w:val="20"/>
          <w:szCs w:val="20"/>
          <w:lang w:val="en-US"/>
        </w:rPr>
      </w:pPr>
      <w:r>
        <w:rPr>
          <w:rFonts w:ascii="Arial" w:eastAsia="Arial" w:hAnsi="Arial" w:cs="Arial"/>
          <w:b/>
          <w:color w:val="000000"/>
          <w:sz w:val="20"/>
          <w:szCs w:val="20"/>
          <w:u w:val="single"/>
          <w:lang w:val="en-US"/>
        </w:rPr>
        <w:t>Mikssael</w:t>
      </w:r>
      <w:r w:rsidR="00BE45CD" w:rsidRPr="00BE45CD">
        <w:rPr>
          <w:rFonts w:ascii="Arial" w:eastAsia="Arial" w:hAnsi="Arial" w:cs="Arial"/>
          <w:b/>
          <w:color w:val="000000"/>
          <w:sz w:val="20"/>
          <w:szCs w:val="20"/>
          <w:u w:val="single"/>
          <w:lang w:val="en-US"/>
        </w:rPr>
        <w:t xml:space="preserve"> </w:t>
      </w:r>
      <w:r>
        <w:rPr>
          <w:rFonts w:ascii="Arial" w:eastAsia="Arial" w:hAnsi="Arial" w:cs="Arial"/>
          <w:b/>
          <w:color w:val="000000"/>
          <w:sz w:val="20"/>
          <w:szCs w:val="20"/>
          <w:u w:val="single"/>
          <w:lang w:val="en-US"/>
        </w:rPr>
        <w:t>G</w:t>
      </w:r>
      <w:r w:rsidR="00BE45CD" w:rsidRPr="00BE45CD">
        <w:rPr>
          <w:rFonts w:ascii="Arial" w:eastAsia="Arial" w:hAnsi="Arial" w:cs="Arial"/>
          <w:b/>
          <w:color w:val="000000"/>
          <w:sz w:val="20"/>
          <w:szCs w:val="20"/>
          <w:u w:val="single"/>
          <w:lang w:val="en-US"/>
        </w:rPr>
        <w:t xml:space="preserve">. </w:t>
      </w:r>
      <w:r>
        <w:rPr>
          <w:rFonts w:ascii="Arial" w:eastAsia="Arial" w:hAnsi="Arial" w:cs="Arial"/>
          <w:b/>
          <w:color w:val="000000"/>
          <w:sz w:val="20"/>
          <w:szCs w:val="20"/>
          <w:u w:val="single"/>
          <w:lang w:val="en-US"/>
        </w:rPr>
        <w:t>Ferreira</w:t>
      </w:r>
      <w:r w:rsidR="00BE45CD" w:rsidRPr="00C0646B">
        <w:rPr>
          <w:rFonts w:ascii="Arial" w:eastAsia="Arial" w:hAnsi="Arial" w:cs="Arial"/>
          <w:bCs/>
          <w:color w:val="000000"/>
          <w:sz w:val="20"/>
          <w:szCs w:val="20"/>
          <w:lang w:val="en-US"/>
        </w:rPr>
        <w:t>*</w:t>
      </w:r>
      <w:r w:rsidR="00BE45CD" w:rsidRPr="00501425">
        <w:rPr>
          <w:rFonts w:ascii="Arial" w:eastAsia="Arial" w:hAnsi="Arial" w:cs="Arial"/>
          <w:b/>
          <w:color w:val="000000"/>
          <w:sz w:val="20"/>
          <w:szCs w:val="20"/>
          <w:lang w:val="en-US"/>
        </w:rPr>
        <w:t>(</w:t>
      </w:r>
      <w:r w:rsidR="00BE45CD">
        <w:rPr>
          <w:rFonts w:ascii="Arial" w:eastAsia="Arial" w:hAnsi="Arial" w:cs="Arial"/>
          <w:b/>
          <w:color w:val="000000"/>
          <w:sz w:val="20"/>
          <w:szCs w:val="20"/>
          <w:lang w:val="en-US"/>
        </w:rPr>
        <w:t>G</w:t>
      </w:r>
      <w:r w:rsidR="00BE45CD" w:rsidRPr="00501425">
        <w:rPr>
          <w:rFonts w:ascii="Arial" w:eastAsia="Arial" w:hAnsi="Arial" w:cs="Arial"/>
          <w:b/>
          <w:color w:val="000000"/>
          <w:sz w:val="20"/>
          <w:szCs w:val="20"/>
          <w:lang w:val="en-US"/>
        </w:rPr>
        <w:t>)</w:t>
      </w:r>
      <w:r w:rsidR="00BE45CD" w:rsidRPr="00BE45CD">
        <w:rPr>
          <w:rFonts w:ascii="Arial" w:eastAsia="Arial" w:hAnsi="Arial" w:cs="Arial"/>
          <w:b/>
          <w:color w:val="000000"/>
          <w:sz w:val="20"/>
          <w:szCs w:val="20"/>
          <w:vertAlign w:val="superscript"/>
          <w:lang w:val="en-US"/>
        </w:rPr>
        <w:t xml:space="preserve"> </w:t>
      </w:r>
      <w:r w:rsidR="00BE45CD" w:rsidRPr="00501425">
        <w:rPr>
          <w:rFonts w:ascii="Arial" w:eastAsia="Arial" w:hAnsi="Arial" w:cs="Arial"/>
          <w:b/>
          <w:color w:val="000000"/>
          <w:sz w:val="20"/>
          <w:szCs w:val="20"/>
          <w:vertAlign w:val="superscript"/>
          <w:lang w:val="en-US"/>
        </w:rPr>
        <w:t>1</w:t>
      </w:r>
      <w:r w:rsidR="00BE45CD" w:rsidRPr="00501425">
        <w:rPr>
          <w:rFonts w:ascii="Arial" w:eastAsia="Arial" w:hAnsi="Arial" w:cs="Arial"/>
          <w:b/>
          <w:color w:val="000000"/>
          <w:sz w:val="20"/>
          <w:szCs w:val="20"/>
          <w:lang w:val="en-US"/>
        </w:rPr>
        <w:t>,</w:t>
      </w:r>
      <w:r w:rsidR="00BE45CD">
        <w:rPr>
          <w:rFonts w:ascii="Arial" w:eastAsia="Arial" w:hAnsi="Arial" w:cs="Arial"/>
          <w:b/>
          <w:color w:val="000000"/>
          <w:sz w:val="20"/>
          <w:szCs w:val="20"/>
          <w:lang w:val="en-US"/>
        </w:rPr>
        <w:t xml:space="preserve"> </w:t>
      </w:r>
      <w:r w:rsidR="00726988">
        <w:rPr>
          <w:rFonts w:ascii="Arial" w:eastAsia="Arial" w:hAnsi="Arial" w:cs="Arial"/>
          <w:b/>
          <w:color w:val="000000"/>
          <w:sz w:val="20"/>
          <w:szCs w:val="20"/>
          <w:lang w:val="en-US"/>
        </w:rPr>
        <w:t>Leidjane Alves de Souza (G)</w:t>
      </w:r>
      <w:r w:rsidR="00726988" w:rsidRPr="00501425">
        <w:rPr>
          <w:rFonts w:ascii="Arial" w:eastAsia="Arial" w:hAnsi="Arial" w:cs="Arial"/>
          <w:b/>
          <w:color w:val="000000"/>
          <w:sz w:val="20"/>
          <w:szCs w:val="20"/>
          <w:vertAlign w:val="superscript"/>
          <w:lang w:val="en-US"/>
        </w:rPr>
        <w:t>1</w:t>
      </w:r>
      <w:r w:rsidR="00726988">
        <w:rPr>
          <w:rFonts w:ascii="Arial" w:eastAsia="Arial" w:hAnsi="Arial" w:cs="Arial"/>
          <w:b/>
          <w:color w:val="000000"/>
          <w:sz w:val="20"/>
          <w:szCs w:val="20"/>
          <w:lang w:val="en-US"/>
        </w:rPr>
        <w:t xml:space="preserve">, </w:t>
      </w:r>
      <w:r w:rsidR="00205820" w:rsidRPr="00205820">
        <w:rPr>
          <w:rFonts w:ascii="Arial" w:eastAsia="Arial" w:hAnsi="Arial" w:cs="Arial"/>
          <w:b/>
          <w:color w:val="000000"/>
          <w:sz w:val="20"/>
          <w:szCs w:val="20"/>
          <w:lang w:val="en-US"/>
        </w:rPr>
        <w:t xml:space="preserve">Isaías Vicente Santos </w:t>
      </w:r>
      <w:r w:rsidR="00BE45CD" w:rsidRPr="00501425">
        <w:rPr>
          <w:rFonts w:ascii="Arial" w:eastAsia="Arial" w:hAnsi="Arial" w:cs="Arial"/>
          <w:b/>
          <w:color w:val="000000"/>
          <w:sz w:val="20"/>
          <w:szCs w:val="20"/>
          <w:lang w:val="en-US"/>
        </w:rPr>
        <w:t>(T)</w:t>
      </w:r>
      <w:r w:rsidR="00BE45CD" w:rsidRPr="00BE45CD">
        <w:rPr>
          <w:rFonts w:ascii="Arial" w:eastAsia="Arial" w:hAnsi="Arial" w:cs="Arial"/>
          <w:b/>
          <w:color w:val="000000"/>
          <w:sz w:val="20"/>
          <w:szCs w:val="20"/>
          <w:vertAlign w:val="superscript"/>
          <w:lang w:val="en-US"/>
        </w:rPr>
        <w:t xml:space="preserve"> </w:t>
      </w:r>
      <w:r w:rsidR="00205820">
        <w:rPr>
          <w:rFonts w:ascii="Arial" w:eastAsia="Arial" w:hAnsi="Arial" w:cs="Arial"/>
          <w:b/>
          <w:color w:val="000000"/>
          <w:sz w:val="20"/>
          <w:szCs w:val="20"/>
          <w:vertAlign w:val="superscript"/>
          <w:lang w:val="en-US"/>
        </w:rPr>
        <w:t>1,2</w:t>
      </w:r>
      <w:r w:rsidR="00BE45CD" w:rsidRPr="00501425">
        <w:rPr>
          <w:rFonts w:ascii="Arial" w:eastAsia="Arial" w:hAnsi="Arial" w:cs="Arial"/>
          <w:b/>
          <w:color w:val="000000"/>
          <w:sz w:val="20"/>
          <w:szCs w:val="20"/>
          <w:lang w:val="en-US"/>
        </w:rPr>
        <w:t>,</w:t>
      </w:r>
      <w:r w:rsidR="00205820" w:rsidRPr="00205820">
        <w:t xml:space="preserve"> </w:t>
      </w:r>
      <w:r w:rsidR="00205820" w:rsidRPr="00205820">
        <w:rPr>
          <w:rFonts w:ascii="Arial" w:eastAsia="Arial" w:hAnsi="Arial" w:cs="Arial"/>
          <w:b/>
          <w:color w:val="000000"/>
          <w:sz w:val="20"/>
          <w:szCs w:val="20"/>
          <w:lang w:val="en-US"/>
        </w:rPr>
        <w:t xml:space="preserve">Matheus Soares </w:t>
      </w:r>
      <w:r w:rsidR="00205820">
        <w:rPr>
          <w:rFonts w:ascii="Arial" w:eastAsia="Arial" w:hAnsi="Arial" w:cs="Arial"/>
          <w:b/>
          <w:color w:val="000000"/>
          <w:sz w:val="20"/>
          <w:szCs w:val="20"/>
          <w:lang w:val="en-US"/>
        </w:rPr>
        <w:t>d</w:t>
      </w:r>
      <w:r w:rsidR="00205820" w:rsidRPr="00205820">
        <w:rPr>
          <w:rFonts w:ascii="Arial" w:eastAsia="Arial" w:hAnsi="Arial" w:cs="Arial"/>
          <w:b/>
          <w:color w:val="000000"/>
          <w:sz w:val="20"/>
          <w:szCs w:val="20"/>
          <w:lang w:val="en-US"/>
        </w:rPr>
        <w:t>a Silva Cavalcanti</w:t>
      </w:r>
      <w:r w:rsidR="00205820">
        <w:rPr>
          <w:rFonts w:ascii="Arial" w:eastAsia="Arial" w:hAnsi="Arial" w:cs="Arial"/>
          <w:b/>
          <w:color w:val="000000"/>
          <w:sz w:val="20"/>
          <w:szCs w:val="20"/>
          <w:lang w:val="en-US"/>
        </w:rPr>
        <w:t xml:space="preserve"> </w:t>
      </w:r>
      <w:r w:rsidR="00205820" w:rsidRPr="00501425">
        <w:rPr>
          <w:rFonts w:ascii="Arial" w:eastAsia="Arial" w:hAnsi="Arial" w:cs="Arial"/>
          <w:b/>
          <w:color w:val="000000"/>
          <w:sz w:val="20"/>
          <w:szCs w:val="20"/>
          <w:lang w:val="en-US"/>
        </w:rPr>
        <w:t>(T)</w:t>
      </w:r>
      <w:r w:rsidR="00205820" w:rsidRPr="00BE45CD">
        <w:rPr>
          <w:rFonts w:ascii="Arial" w:eastAsia="Arial" w:hAnsi="Arial" w:cs="Arial"/>
          <w:b/>
          <w:color w:val="000000"/>
          <w:sz w:val="20"/>
          <w:szCs w:val="20"/>
          <w:vertAlign w:val="superscript"/>
          <w:lang w:val="en-US"/>
        </w:rPr>
        <w:t xml:space="preserve"> </w:t>
      </w:r>
      <w:r w:rsidR="00205820">
        <w:rPr>
          <w:rFonts w:ascii="Arial" w:eastAsia="Arial" w:hAnsi="Arial" w:cs="Arial"/>
          <w:b/>
          <w:color w:val="000000"/>
          <w:sz w:val="20"/>
          <w:szCs w:val="20"/>
          <w:vertAlign w:val="superscript"/>
          <w:lang w:val="en-US"/>
        </w:rPr>
        <w:t>1</w:t>
      </w:r>
      <w:r w:rsidR="00BE45CD" w:rsidRPr="00501425">
        <w:rPr>
          <w:rFonts w:ascii="Arial" w:eastAsia="Arial" w:hAnsi="Arial" w:cs="Arial"/>
          <w:b/>
          <w:color w:val="000000"/>
          <w:sz w:val="20"/>
          <w:szCs w:val="20"/>
          <w:lang w:val="en-US"/>
        </w:rPr>
        <w:t>,</w:t>
      </w:r>
      <w:r w:rsidR="00BE45CD">
        <w:rPr>
          <w:rFonts w:ascii="Arial" w:eastAsia="Arial" w:hAnsi="Arial" w:cs="Arial"/>
          <w:b/>
          <w:color w:val="000000"/>
          <w:sz w:val="20"/>
          <w:szCs w:val="20"/>
          <w:lang w:val="en-US"/>
        </w:rPr>
        <w:t xml:space="preserve"> </w:t>
      </w:r>
      <w:r w:rsidR="00043391" w:rsidRPr="00043391">
        <w:rPr>
          <w:rFonts w:ascii="Arial" w:eastAsia="Arial" w:hAnsi="Arial" w:cs="Arial"/>
          <w:b/>
          <w:color w:val="000000"/>
          <w:sz w:val="20"/>
          <w:szCs w:val="20"/>
          <w:lang w:val="en-US"/>
        </w:rPr>
        <w:t>Julianderson Oliveira Carmo</w:t>
      </w:r>
      <w:r w:rsidR="00043391">
        <w:rPr>
          <w:rFonts w:ascii="Arial" w:eastAsia="Arial" w:hAnsi="Arial" w:cs="Arial"/>
          <w:b/>
          <w:color w:val="000000"/>
          <w:sz w:val="20"/>
          <w:szCs w:val="20"/>
          <w:lang w:val="en-US"/>
        </w:rPr>
        <w:t xml:space="preserve"> (G)</w:t>
      </w:r>
      <w:r w:rsidR="00043391" w:rsidRPr="00043391">
        <w:rPr>
          <w:rFonts w:ascii="Arial" w:eastAsia="Arial" w:hAnsi="Arial" w:cs="Arial"/>
          <w:b/>
          <w:color w:val="000000"/>
          <w:sz w:val="20"/>
          <w:szCs w:val="20"/>
          <w:vertAlign w:val="superscript"/>
          <w:lang w:val="en-US"/>
        </w:rPr>
        <w:t xml:space="preserve"> </w:t>
      </w:r>
      <w:r w:rsidR="00043391">
        <w:rPr>
          <w:rFonts w:ascii="Arial" w:eastAsia="Arial" w:hAnsi="Arial" w:cs="Arial"/>
          <w:b/>
          <w:color w:val="000000"/>
          <w:sz w:val="20"/>
          <w:szCs w:val="20"/>
          <w:vertAlign w:val="superscript"/>
          <w:lang w:val="en-US"/>
        </w:rPr>
        <w:t>2</w:t>
      </w:r>
      <w:bookmarkStart w:id="0" w:name="_GoBack"/>
      <w:bookmarkEnd w:id="0"/>
      <w:r w:rsidR="00043391">
        <w:rPr>
          <w:rFonts w:ascii="Arial" w:eastAsia="Arial" w:hAnsi="Arial" w:cs="Arial"/>
          <w:b/>
          <w:color w:val="000000"/>
          <w:sz w:val="20"/>
          <w:szCs w:val="20"/>
          <w:lang w:val="en-US"/>
        </w:rPr>
        <w:t xml:space="preserve">, </w:t>
      </w:r>
      <w:r w:rsidR="00205820" w:rsidRPr="00205820">
        <w:rPr>
          <w:rFonts w:ascii="Arial" w:eastAsia="Arial" w:hAnsi="Arial" w:cs="Arial"/>
          <w:b/>
          <w:color w:val="000000"/>
          <w:sz w:val="20"/>
          <w:szCs w:val="20"/>
          <w:lang w:val="en-US"/>
        </w:rPr>
        <w:t>Ana Paula Fernandes Barbosa</w:t>
      </w:r>
      <w:r w:rsidR="00205820">
        <w:rPr>
          <w:rFonts w:ascii="Arial" w:eastAsia="Arial" w:hAnsi="Arial" w:cs="Arial"/>
          <w:b/>
          <w:color w:val="000000"/>
          <w:sz w:val="20"/>
          <w:szCs w:val="20"/>
          <w:lang w:val="en-US"/>
        </w:rPr>
        <w:t xml:space="preserve"> </w:t>
      </w:r>
      <w:r w:rsidR="00205820" w:rsidRPr="00BE45CD">
        <w:rPr>
          <w:rFonts w:ascii="Arial" w:eastAsia="Arial" w:hAnsi="Arial" w:cs="Arial"/>
          <w:b/>
          <w:color w:val="000000"/>
          <w:sz w:val="20"/>
          <w:szCs w:val="20"/>
          <w:lang w:val="en-US"/>
        </w:rPr>
        <w:t>(Prof)</w:t>
      </w:r>
      <w:r w:rsidR="00205820" w:rsidRPr="00BE45CD">
        <w:rPr>
          <w:rFonts w:ascii="Arial" w:eastAsia="Arial" w:hAnsi="Arial" w:cs="Arial"/>
          <w:b/>
          <w:color w:val="000000"/>
          <w:sz w:val="20"/>
          <w:szCs w:val="20"/>
          <w:vertAlign w:val="superscript"/>
          <w:lang w:val="en-US"/>
        </w:rPr>
        <w:t xml:space="preserve"> </w:t>
      </w:r>
      <w:r w:rsidR="00205820">
        <w:rPr>
          <w:rFonts w:ascii="Arial" w:eastAsia="Arial" w:hAnsi="Arial" w:cs="Arial"/>
          <w:b/>
          <w:color w:val="000000"/>
          <w:sz w:val="20"/>
          <w:szCs w:val="20"/>
          <w:vertAlign w:val="superscript"/>
          <w:lang w:val="en-US"/>
        </w:rPr>
        <w:t>1</w:t>
      </w:r>
      <w:r w:rsidR="00205820">
        <w:rPr>
          <w:rFonts w:ascii="Arial" w:eastAsia="Arial" w:hAnsi="Arial" w:cs="Arial"/>
          <w:b/>
          <w:color w:val="000000"/>
          <w:sz w:val="20"/>
          <w:szCs w:val="20"/>
          <w:lang w:val="en-US"/>
        </w:rPr>
        <w:t xml:space="preserve">, </w:t>
      </w:r>
      <w:r w:rsidR="00205820" w:rsidRPr="00205820">
        <w:rPr>
          <w:rFonts w:ascii="Arial" w:eastAsia="Arial" w:hAnsi="Arial" w:cs="Arial"/>
          <w:b/>
          <w:color w:val="000000"/>
          <w:sz w:val="20"/>
          <w:szCs w:val="20"/>
          <w:lang w:val="en-US"/>
        </w:rPr>
        <w:t xml:space="preserve">Lucindo José Quintans-Júnior </w:t>
      </w:r>
      <w:r w:rsidR="00205820" w:rsidRPr="00BE45CD">
        <w:rPr>
          <w:rFonts w:ascii="Arial" w:eastAsia="Arial" w:hAnsi="Arial" w:cs="Arial"/>
          <w:b/>
          <w:color w:val="000000"/>
          <w:sz w:val="20"/>
          <w:szCs w:val="20"/>
          <w:lang w:val="en-US"/>
        </w:rPr>
        <w:t>(Prof)</w:t>
      </w:r>
      <w:r w:rsidR="00205820" w:rsidRPr="00BE45CD">
        <w:rPr>
          <w:rFonts w:ascii="Arial" w:eastAsia="Arial" w:hAnsi="Arial" w:cs="Arial"/>
          <w:b/>
          <w:color w:val="000000"/>
          <w:sz w:val="20"/>
          <w:szCs w:val="20"/>
          <w:vertAlign w:val="superscript"/>
          <w:lang w:val="en-US"/>
        </w:rPr>
        <w:t xml:space="preserve"> </w:t>
      </w:r>
      <w:r w:rsidR="00205820">
        <w:rPr>
          <w:rFonts w:ascii="Arial" w:eastAsia="Arial" w:hAnsi="Arial" w:cs="Arial"/>
          <w:b/>
          <w:color w:val="000000"/>
          <w:sz w:val="20"/>
          <w:szCs w:val="20"/>
          <w:vertAlign w:val="superscript"/>
          <w:lang w:val="en-US"/>
        </w:rPr>
        <w:t>3</w:t>
      </w:r>
      <w:r w:rsidR="00205820">
        <w:rPr>
          <w:rFonts w:ascii="Arial" w:eastAsia="Arial" w:hAnsi="Arial" w:cs="Arial"/>
          <w:b/>
          <w:color w:val="000000"/>
          <w:sz w:val="20"/>
          <w:szCs w:val="20"/>
          <w:lang w:val="en-US"/>
        </w:rPr>
        <w:t xml:space="preserve">, </w:t>
      </w:r>
      <w:r w:rsidR="00BE45CD" w:rsidRPr="00BE45CD">
        <w:rPr>
          <w:rFonts w:ascii="Arial" w:eastAsia="Arial" w:hAnsi="Arial" w:cs="Arial"/>
          <w:b/>
          <w:color w:val="000000"/>
          <w:sz w:val="20"/>
          <w:szCs w:val="20"/>
          <w:lang w:val="en-US"/>
        </w:rPr>
        <w:t>Juliane Cabral S</w:t>
      </w:r>
      <w:r w:rsidR="00205820">
        <w:rPr>
          <w:rFonts w:ascii="Arial" w:eastAsia="Arial" w:hAnsi="Arial" w:cs="Arial"/>
          <w:b/>
          <w:color w:val="000000"/>
          <w:sz w:val="20"/>
          <w:szCs w:val="20"/>
          <w:lang w:val="en-US"/>
        </w:rPr>
        <w:t>ilva</w:t>
      </w:r>
      <w:r w:rsidR="00BE45CD">
        <w:rPr>
          <w:rFonts w:ascii="Arial" w:eastAsia="Arial" w:hAnsi="Arial" w:cs="Arial"/>
          <w:b/>
          <w:color w:val="000000"/>
          <w:sz w:val="20"/>
          <w:szCs w:val="20"/>
          <w:lang w:val="en-US"/>
        </w:rPr>
        <w:t xml:space="preserve"> </w:t>
      </w:r>
      <w:r w:rsidR="00BE45CD" w:rsidRPr="00BE45CD">
        <w:rPr>
          <w:rFonts w:ascii="Arial" w:eastAsia="Arial" w:hAnsi="Arial" w:cs="Arial"/>
          <w:b/>
          <w:color w:val="000000"/>
          <w:sz w:val="20"/>
          <w:szCs w:val="20"/>
          <w:lang w:val="en-US"/>
        </w:rPr>
        <w:t>(Prof)</w:t>
      </w:r>
      <w:r w:rsidR="00BE45CD" w:rsidRPr="00BE45CD">
        <w:rPr>
          <w:rFonts w:ascii="Arial" w:eastAsia="Arial" w:hAnsi="Arial" w:cs="Arial"/>
          <w:b/>
          <w:color w:val="000000"/>
          <w:sz w:val="20"/>
          <w:szCs w:val="20"/>
          <w:vertAlign w:val="superscript"/>
          <w:lang w:val="en-US"/>
        </w:rPr>
        <w:t xml:space="preserve"> </w:t>
      </w:r>
      <w:r w:rsidR="00BE45CD">
        <w:rPr>
          <w:rFonts w:ascii="Arial" w:eastAsia="Arial" w:hAnsi="Arial" w:cs="Arial"/>
          <w:b/>
          <w:color w:val="000000"/>
          <w:sz w:val="20"/>
          <w:szCs w:val="20"/>
          <w:vertAlign w:val="superscript"/>
          <w:lang w:val="en-US"/>
        </w:rPr>
        <w:t>1,</w:t>
      </w:r>
      <w:r w:rsidR="00205820">
        <w:rPr>
          <w:rFonts w:ascii="Arial" w:eastAsia="Arial" w:hAnsi="Arial" w:cs="Arial"/>
          <w:b/>
          <w:color w:val="000000"/>
          <w:sz w:val="20"/>
          <w:szCs w:val="20"/>
          <w:vertAlign w:val="superscript"/>
          <w:lang w:val="en-US"/>
        </w:rPr>
        <w:t>4</w:t>
      </w:r>
    </w:p>
    <w:p w14:paraId="161A9F2A" w14:textId="0DF82CCA" w:rsidR="00936C7A" w:rsidRPr="000C4415" w:rsidRDefault="00E8724D" w:rsidP="008056F0">
      <w:pPr>
        <w:spacing w:after="120"/>
        <w:ind w:right="-427"/>
        <w:jc w:val="both"/>
        <w:rPr>
          <w:rFonts w:ascii="Arial" w:eastAsia="Arial" w:hAnsi="Arial" w:cs="Arial"/>
          <w:bCs/>
          <w:color w:val="000000"/>
          <w:sz w:val="20"/>
          <w:szCs w:val="20"/>
          <w:lang w:val="en-US"/>
        </w:rPr>
      </w:pPr>
      <w:hyperlink r:id="rId7" w:history="1">
        <w:r w:rsidR="00545B18" w:rsidRPr="009E6EF9">
          <w:rPr>
            <w:rStyle w:val="Hyperlink"/>
            <w:rFonts w:ascii="Arial" w:eastAsia="Arial" w:hAnsi="Arial" w:cs="Arial"/>
            <w:b/>
            <w:sz w:val="20"/>
            <w:szCs w:val="20"/>
            <w:lang w:val="en-US"/>
          </w:rPr>
          <w:t>mikssaelmed@gmail.com</w:t>
        </w:r>
      </w:hyperlink>
    </w:p>
    <w:p w14:paraId="75C15182" w14:textId="56082BBD"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C45486" w:rsidRPr="00C45486">
        <w:rPr>
          <w:rFonts w:ascii="Arial" w:eastAsia="Arial" w:hAnsi="Arial" w:cs="Arial"/>
          <w:bCs/>
          <w:i/>
          <w:iCs/>
          <w:color w:val="000000"/>
          <w:sz w:val="18"/>
          <w:szCs w:val="18"/>
          <w:lang w:val="en-US"/>
        </w:rPr>
        <w:t>Universidade Estadual de Ciências da Saúde de Alagoas</w:t>
      </w:r>
      <w:r>
        <w:rPr>
          <w:rFonts w:ascii="Arial" w:eastAsia="Arial" w:hAnsi="Arial" w:cs="Arial"/>
          <w:bCs/>
          <w:i/>
          <w:iCs/>
          <w:color w:val="000000"/>
          <w:sz w:val="18"/>
          <w:szCs w:val="18"/>
          <w:lang w:val="en-US"/>
        </w:rPr>
        <w:t>;</w:t>
      </w:r>
      <w:r w:rsidR="00205820">
        <w:rPr>
          <w:rFonts w:ascii="Arial" w:eastAsia="Arial" w:hAnsi="Arial" w:cs="Arial"/>
          <w:bCs/>
          <w:i/>
          <w:iCs/>
          <w:color w:val="000000"/>
          <w:sz w:val="18"/>
          <w:szCs w:val="18"/>
          <w:lang w:val="en-US"/>
        </w:rPr>
        <w:t xml:space="preserve">  </w:t>
      </w:r>
      <w:r w:rsidR="00205820">
        <w:rPr>
          <w:rFonts w:ascii="Arial" w:eastAsia="Arial" w:hAnsi="Arial" w:cs="Arial"/>
          <w:bCs/>
          <w:i/>
          <w:iCs/>
          <w:color w:val="000000"/>
          <w:sz w:val="18"/>
          <w:szCs w:val="18"/>
          <w:vertAlign w:val="superscript"/>
          <w:lang w:val="en-US"/>
        </w:rPr>
        <w:t>2</w:t>
      </w:r>
      <w:r w:rsidR="00205820">
        <w:rPr>
          <w:rFonts w:ascii="Arial" w:eastAsia="Arial" w:hAnsi="Arial" w:cs="Arial"/>
          <w:bCs/>
          <w:i/>
          <w:iCs/>
          <w:color w:val="000000"/>
          <w:sz w:val="18"/>
          <w:szCs w:val="18"/>
          <w:lang w:val="en-US"/>
        </w:rPr>
        <w:t xml:space="preserve"> Universidade Federal de Alagoas</w:t>
      </w:r>
      <w:r>
        <w:rPr>
          <w:rFonts w:ascii="Arial" w:eastAsia="Arial" w:hAnsi="Arial" w:cs="Arial"/>
          <w:bCs/>
          <w:i/>
          <w:iCs/>
          <w:color w:val="000000"/>
          <w:sz w:val="18"/>
          <w:szCs w:val="18"/>
          <w:lang w:val="en-US"/>
        </w:rPr>
        <w:t xml:space="preserve"> </w:t>
      </w:r>
      <w:r w:rsidR="00205820">
        <w:rPr>
          <w:rFonts w:ascii="Arial" w:eastAsia="Arial" w:hAnsi="Arial" w:cs="Arial"/>
          <w:bCs/>
          <w:i/>
          <w:iCs/>
          <w:color w:val="000000"/>
          <w:sz w:val="18"/>
          <w:szCs w:val="18"/>
          <w:vertAlign w:val="superscript"/>
          <w:lang w:val="en-US"/>
        </w:rPr>
        <w:t>3</w:t>
      </w:r>
      <w:r>
        <w:rPr>
          <w:rFonts w:ascii="Arial" w:eastAsia="Arial" w:hAnsi="Arial" w:cs="Arial"/>
          <w:bCs/>
          <w:i/>
          <w:iCs/>
          <w:color w:val="000000"/>
          <w:sz w:val="18"/>
          <w:szCs w:val="18"/>
          <w:lang w:val="en-US"/>
        </w:rPr>
        <w:t xml:space="preserve"> </w:t>
      </w:r>
      <w:r w:rsidR="00205820">
        <w:rPr>
          <w:rFonts w:ascii="Arial" w:eastAsia="Arial" w:hAnsi="Arial" w:cs="Arial"/>
          <w:bCs/>
          <w:i/>
          <w:iCs/>
          <w:color w:val="000000"/>
          <w:sz w:val="18"/>
          <w:szCs w:val="18"/>
          <w:lang w:val="en-US"/>
        </w:rPr>
        <w:t>Universidade Federal de Sergipe</w:t>
      </w:r>
      <w:r>
        <w:rPr>
          <w:rFonts w:ascii="Arial" w:eastAsia="Arial" w:hAnsi="Arial" w:cs="Arial"/>
          <w:bCs/>
          <w:i/>
          <w:iCs/>
          <w:color w:val="000000"/>
          <w:sz w:val="18"/>
          <w:szCs w:val="18"/>
          <w:lang w:val="en-US"/>
        </w:rPr>
        <w:t xml:space="preserve">; </w:t>
      </w:r>
      <w:r w:rsidR="00205820">
        <w:rPr>
          <w:rFonts w:ascii="Arial" w:eastAsia="Arial" w:hAnsi="Arial" w:cs="Arial"/>
          <w:bCs/>
          <w:i/>
          <w:iCs/>
          <w:color w:val="000000"/>
          <w:sz w:val="18"/>
          <w:szCs w:val="18"/>
          <w:vertAlign w:val="superscript"/>
          <w:lang w:val="en-US"/>
        </w:rPr>
        <w:t>4</w:t>
      </w:r>
      <w:r>
        <w:rPr>
          <w:rFonts w:ascii="Arial" w:eastAsia="Arial" w:hAnsi="Arial" w:cs="Arial"/>
          <w:bCs/>
          <w:i/>
          <w:iCs/>
          <w:color w:val="000000"/>
          <w:sz w:val="18"/>
          <w:szCs w:val="18"/>
          <w:lang w:val="en-US"/>
        </w:rPr>
        <w:t xml:space="preserve"> </w:t>
      </w:r>
      <w:r w:rsidR="00205820">
        <w:rPr>
          <w:rFonts w:ascii="Arial" w:eastAsia="Arial" w:hAnsi="Arial" w:cs="Arial"/>
          <w:bCs/>
          <w:i/>
          <w:iCs/>
          <w:color w:val="000000"/>
          <w:sz w:val="18"/>
          <w:szCs w:val="18"/>
          <w:lang w:val="en-US"/>
        </w:rPr>
        <w:t xml:space="preserve">Programa de Pós graduação em Saúde da Família (PPGSF/RENASF) – nuceladora </w:t>
      </w:r>
      <w:r w:rsidR="00205820" w:rsidRPr="00C45486">
        <w:rPr>
          <w:rFonts w:ascii="Arial" w:eastAsia="Arial" w:hAnsi="Arial" w:cs="Arial"/>
          <w:bCs/>
          <w:i/>
          <w:iCs/>
          <w:color w:val="000000"/>
          <w:sz w:val="18"/>
          <w:szCs w:val="18"/>
          <w:lang w:val="en-US"/>
        </w:rPr>
        <w:t>Universidade Estadual de Ciências da Saúde de Alagoas</w:t>
      </w:r>
      <w:r w:rsidR="00C45486">
        <w:rPr>
          <w:rFonts w:ascii="Arial" w:eastAsia="Arial" w:hAnsi="Arial" w:cs="Arial"/>
          <w:bCs/>
          <w:i/>
          <w:iCs/>
          <w:color w:val="000000"/>
          <w:sz w:val="18"/>
          <w:szCs w:val="18"/>
          <w:lang w:val="en-US"/>
        </w:rPr>
        <w:t>.</w:t>
      </w:r>
    </w:p>
    <w:p w14:paraId="2298CD48" w14:textId="6F11FA67"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w:t>
      </w:r>
      <w:r w:rsidR="00C45486">
        <w:rPr>
          <w:rFonts w:ascii="Arial" w:hAnsi="Arial" w:cs="Arial"/>
          <w:i/>
          <w:iCs/>
          <w:sz w:val="18"/>
          <w:szCs w:val="18"/>
          <w:lang w:val="en-US"/>
        </w:rPr>
        <w:t xml:space="preserve"> </w:t>
      </w:r>
      <w:r w:rsidR="00FE702D">
        <w:rPr>
          <w:rFonts w:ascii="Arial" w:hAnsi="Arial" w:cs="Arial"/>
          <w:i/>
          <w:iCs/>
          <w:sz w:val="18"/>
          <w:szCs w:val="18"/>
          <w:lang w:val="en-US"/>
        </w:rPr>
        <w:t>Oils</w:t>
      </w:r>
      <w:r w:rsidR="00C45486">
        <w:rPr>
          <w:rFonts w:ascii="Arial" w:hAnsi="Arial" w:cs="Arial"/>
          <w:i/>
          <w:iCs/>
          <w:sz w:val="18"/>
          <w:szCs w:val="18"/>
          <w:lang w:val="en-US"/>
        </w:rPr>
        <w:t>,</w:t>
      </w:r>
      <w:r w:rsidR="00FE702D">
        <w:rPr>
          <w:rFonts w:ascii="Arial" w:hAnsi="Arial" w:cs="Arial"/>
          <w:i/>
          <w:iCs/>
          <w:sz w:val="18"/>
          <w:szCs w:val="18"/>
          <w:lang w:val="en-US"/>
        </w:rPr>
        <w:t xml:space="preserve"> </w:t>
      </w:r>
      <w:r w:rsidR="00205820">
        <w:rPr>
          <w:rFonts w:ascii="Arial" w:hAnsi="Arial" w:cs="Arial"/>
          <w:i/>
          <w:iCs/>
          <w:sz w:val="18"/>
          <w:szCs w:val="18"/>
          <w:lang w:val="en-US"/>
        </w:rPr>
        <w:t>Terpene</w:t>
      </w:r>
      <w:r w:rsidR="00FE702D">
        <w:rPr>
          <w:rFonts w:ascii="Arial" w:hAnsi="Arial" w:cs="Arial"/>
          <w:i/>
          <w:iCs/>
          <w:sz w:val="18"/>
          <w:szCs w:val="18"/>
          <w:lang w:val="en-US"/>
        </w:rPr>
        <w:t xml:space="preserve">, Wound Healing </w:t>
      </w:r>
      <w:r w:rsidR="00867FA0">
        <w:rPr>
          <w:rFonts w:ascii="Arial" w:hAnsi="Arial" w:cs="Arial"/>
          <w:i/>
          <w:iCs/>
          <w:sz w:val="18"/>
          <w:szCs w:val="18"/>
          <w:lang w:val="en-US"/>
        </w:rPr>
        <w:t xml:space="preserve">. </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78D42DCD" w14:textId="77777777" w:rsidR="00323FC1" w:rsidRDefault="00323FC1" w:rsidP="00323FC1">
      <w:pPr>
        <w:ind w:right="-427"/>
        <w:jc w:val="both"/>
        <w:rPr>
          <w:rFonts w:ascii="Arial" w:eastAsia="Arial" w:hAnsi="Arial" w:cs="Arial"/>
          <w:sz w:val="20"/>
          <w:szCs w:val="20"/>
          <w:lang w:val="en-US"/>
        </w:rPr>
        <w:sectPr w:rsidR="00323FC1" w:rsidSect="00770E41">
          <w:footerReference w:type="default" r:id="rId8"/>
          <w:pgSz w:w="11906" w:h="16838"/>
          <w:pgMar w:top="1134" w:right="1701" w:bottom="426" w:left="1701" w:header="708" w:footer="473" w:gutter="0"/>
          <w:cols w:space="708"/>
          <w:docGrid w:linePitch="360"/>
        </w:sectPr>
      </w:pPr>
    </w:p>
    <w:p w14:paraId="2098E13E" w14:textId="77777777" w:rsidR="001000FD" w:rsidRDefault="00323FC1" w:rsidP="001000FD">
      <w:pPr>
        <w:spacing w:after="0"/>
        <w:ind w:right="-228"/>
        <w:jc w:val="both"/>
        <w:rPr>
          <w:rFonts w:ascii="Arial" w:eastAsia="Arial" w:hAnsi="Arial" w:cs="Arial"/>
          <w:sz w:val="20"/>
          <w:szCs w:val="20"/>
          <w:lang w:val="en-US"/>
        </w:rPr>
      </w:pPr>
      <w:r w:rsidRPr="00323FC1">
        <w:rPr>
          <w:rFonts w:ascii="Arial" w:eastAsia="Arial" w:hAnsi="Arial" w:cs="Arial"/>
          <w:b/>
          <w:bCs/>
          <w:sz w:val="20"/>
          <w:szCs w:val="20"/>
          <w:lang w:val="en-US"/>
        </w:rPr>
        <w:t>BACKGROUND</w:t>
      </w:r>
      <w:r w:rsidR="00C45486">
        <w:rPr>
          <w:rFonts w:ascii="Arial" w:eastAsia="Arial" w:hAnsi="Arial" w:cs="Arial"/>
          <w:b/>
          <w:bCs/>
          <w:sz w:val="20"/>
          <w:szCs w:val="20"/>
          <w:lang w:val="en-US"/>
        </w:rPr>
        <w:t xml:space="preserve">: </w:t>
      </w:r>
      <w:r w:rsidR="001000FD" w:rsidRPr="001000FD">
        <w:rPr>
          <w:rFonts w:ascii="Arial" w:eastAsia="Arial" w:hAnsi="Arial" w:cs="Arial"/>
          <w:sz w:val="20"/>
          <w:szCs w:val="20"/>
          <w:lang w:val="en-US"/>
        </w:rPr>
        <w:t>Wound healing is a complex process triggered in several phases systematically and continuously, often hindered by chronic diseases, leading to hard-to-treat wounds that can reach epidemic proportions. Various substances, such as essential oils (EOs), possess bioactive properties. Farnesol (FAR), a compound found in EOs, exhibits antimicrobial, antioxidant, and healing properties, showing potential to aid in this process.</w:t>
      </w:r>
    </w:p>
    <w:p w14:paraId="6C90F7FA" w14:textId="5E3E610D" w:rsidR="001000FD" w:rsidRDefault="00323FC1" w:rsidP="001000FD">
      <w:pPr>
        <w:spacing w:after="0"/>
        <w:ind w:right="-228"/>
        <w:jc w:val="both"/>
        <w:rPr>
          <w:rFonts w:ascii="Arial" w:eastAsia="Arial" w:hAnsi="Arial" w:cs="Arial"/>
          <w:sz w:val="20"/>
          <w:szCs w:val="20"/>
          <w:lang w:val="en-US"/>
        </w:rPr>
      </w:pPr>
      <w:r w:rsidRPr="00323FC1">
        <w:rPr>
          <w:rFonts w:ascii="Arial" w:eastAsia="Arial" w:hAnsi="Arial" w:cs="Arial"/>
          <w:b/>
          <w:bCs/>
          <w:sz w:val="20"/>
          <w:szCs w:val="20"/>
          <w:lang w:val="en-US"/>
        </w:rPr>
        <w:t>OBJECTIVES</w:t>
      </w:r>
      <w:r w:rsidR="00C45486">
        <w:rPr>
          <w:rFonts w:ascii="Arial" w:eastAsia="Arial" w:hAnsi="Arial" w:cs="Arial"/>
          <w:b/>
          <w:bCs/>
          <w:sz w:val="20"/>
          <w:szCs w:val="20"/>
          <w:lang w:val="en-US"/>
        </w:rPr>
        <w:t>:</w:t>
      </w:r>
      <w:r w:rsidR="001000FD">
        <w:rPr>
          <w:rFonts w:ascii="Arial" w:eastAsia="Arial" w:hAnsi="Arial" w:cs="Arial"/>
          <w:b/>
          <w:bCs/>
          <w:sz w:val="20"/>
          <w:szCs w:val="20"/>
          <w:lang w:val="en-US"/>
        </w:rPr>
        <w:t xml:space="preserve"> </w:t>
      </w:r>
      <w:r w:rsidR="001000FD" w:rsidRPr="001000FD">
        <w:rPr>
          <w:rFonts w:ascii="Arial" w:eastAsia="Arial" w:hAnsi="Arial" w:cs="Arial"/>
          <w:sz w:val="20"/>
          <w:szCs w:val="20"/>
          <w:lang w:val="en-US"/>
        </w:rPr>
        <w:t xml:space="preserve">To assess the potential healing effects of FAR both </w:t>
      </w:r>
      <w:r w:rsidR="001000FD" w:rsidRPr="00205820">
        <w:rPr>
          <w:rFonts w:ascii="Arial" w:eastAsia="Arial" w:hAnsi="Arial" w:cs="Arial"/>
          <w:i/>
          <w:sz w:val="20"/>
          <w:szCs w:val="20"/>
          <w:lang w:val="en-US"/>
        </w:rPr>
        <w:t>in vitro</w:t>
      </w:r>
      <w:r w:rsidR="001000FD" w:rsidRPr="001000FD">
        <w:rPr>
          <w:rFonts w:ascii="Arial" w:eastAsia="Arial" w:hAnsi="Arial" w:cs="Arial"/>
          <w:sz w:val="20"/>
          <w:szCs w:val="20"/>
          <w:lang w:val="en-US"/>
        </w:rPr>
        <w:t xml:space="preserve"> and </w:t>
      </w:r>
      <w:r w:rsidR="001000FD" w:rsidRPr="00205820">
        <w:rPr>
          <w:rFonts w:ascii="Arial" w:eastAsia="Arial" w:hAnsi="Arial" w:cs="Arial"/>
          <w:i/>
          <w:sz w:val="20"/>
          <w:szCs w:val="20"/>
          <w:lang w:val="en-US"/>
        </w:rPr>
        <w:t>in vivo</w:t>
      </w:r>
      <w:r w:rsidR="001000FD" w:rsidRPr="001000FD">
        <w:rPr>
          <w:rFonts w:ascii="Arial" w:eastAsia="Arial" w:hAnsi="Arial" w:cs="Arial"/>
          <w:sz w:val="20"/>
          <w:szCs w:val="20"/>
          <w:lang w:val="en-US"/>
        </w:rPr>
        <w:t>.</w:t>
      </w:r>
    </w:p>
    <w:p w14:paraId="0266D487" w14:textId="4C10A4A8" w:rsidR="001000FD" w:rsidRDefault="00323FC1" w:rsidP="001000FD">
      <w:pPr>
        <w:spacing w:after="0"/>
        <w:ind w:right="-228"/>
        <w:jc w:val="both"/>
        <w:rPr>
          <w:rFonts w:ascii="Arial" w:eastAsia="Arial" w:hAnsi="Arial" w:cs="Arial"/>
          <w:sz w:val="20"/>
          <w:szCs w:val="20"/>
          <w:lang w:val="en-US"/>
        </w:rPr>
      </w:pPr>
      <w:r w:rsidRPr="00323FC1">
        <w:rPr>
          <w:rFonts w:ascii="Arial" w:eastAsia="Arial" w:hAnsi="Arial" w:cs="Arial"/>
          <w:b/>
          <w:bCs/>
          <w:sz w:val="20"/>
          <w:szCs w:val="20"/>
          <w:lang w:val="en-US"/>
        </w:rPr>
        <w:t>METHODS</w:t>
      </w:r>
      <w:r w:rsidR="00C45486">
        <w:rPr>
          <w:rFonts w:ascii="Arial" w:eastAsia="Arial" w:hAnsi="Arial" w:cs="Arial"/>
          <w:b/>
          <w:bCs/>
          <w:sz w:val="20"/>
          <w:szCs w:val="20"/>
          <w:lang w:val="en-US"/>
        </w:rPr>
        <w:t>:</w:t>
      </w:r>
      <w:r w:rsidR="001A3067">
        <w:rPr>
          <w:rFonts w:ascii="Arial" w:eastAsia="Arial" w:hAnsi="Arial" w:cs="Arial"/>
          <w:b/>
          <w:bCs/>
          <w:sz w:val="20"/>
          <w:szCs w:val="20"/>
          <w:lang w:val="en-US"/>
        </w:rPr>
        <w:t xml:space="preserve"> </w:t>
      </w:r>
      <w:r w:rsidR="001000FD" w:rsidRPr="001000FD">
        <w:rPr>
          <w:rFonts w:ascii="Arial" w:eastAsia="Arial" w:hAnsi="Arial" w:cs="Arial"/>
          <w:sz w:val="20"/>
          <w:szCs w:val="20"/>
          <w:lang w:val="en-US"/>
        </w:rPr>
        <w:t xml:space="preserve">This is a quantitative, experimental study utilizing </w:t>
      </w:r>
      <w:r w:rsidR="001000FD" w:rsidRPr="00205820">
        <w:rPr>
          <w:rFonts w:ascii="Arial" w:eastAsia="Arial" w:hAnsi="Arial" w:cs="Arial"/>
          <w:i/>
          <w:sz w:val="20"/>
          <w:szCs w:val="20"/>
          <w:lang w:val="en-US"/>
        </w:rPr>
        <w:t>in vitro</w:t>
      </w:r>
      <w:r w:rsidR="001000FD" w:rsidRPr="001000FD">
        <w:rPr>
          <w:rFonts w:ascii="Arial" w:eastAsia="Arial" w:hAnsi="Arial" w:cs="Arial"/>
          <w:sz w:val="20"/>
          <w:szCs w:val="20"/>
          <w:lang w:val="en-US"/>
        </w:rPr>
        <w:t xml:space="preserve"> and </w:t>
      </w:r>
      <w:r w:rsidR="001000FD" w:rsidRPr="00205820">
        <w:rPr>
          <w:rFonts w:ascii="Arial" w:eastAsia="Arial" w:hAnsi="Arial" w:cs="Arial"/>
          <w:i/>
          <w:sz w:val="20"/>
          <w:szCs w:val="20"/>
          <w:lang w:val="en-US"/>
        </w:rPr>
        <w:t>in vivo</w:t>
      </w:r>
      <w:r w:rsidR="001000FD" w:rsidRPr="001000FD">
        <w:rPr>
          <w:rFonts w:ascii="Arial" w:eastAsia="Arial" w:hAnsi="Arial" w:cs="Arial"/>
          <w:sz w:val="20"/>
          <w:szCs w:val="20"/>
          <w:lang w:val="en-US"/>
        </w:rPr>
        <w:t xml:space="preserve"> models to evaluate the healing potential of FAR</w:t>
      </w:r>
      <w:r w:rsidR="00205820">
        <w:rPr>
          <w:rFonts w:ascii="Arial" w:eastAsia="Arial" w:hAnsi="Arial" w:cs="Arial"/>
          <w:sz w:val="20"/>
          <w:szCs w:val="20"/>
          <w:lang w:val="en-US"/>
        </w:rPr>
        <w:t>.</w:t>
      </w:r>
      <w:r w:rsidR="001000FD" w:rsidRPr="001000FD">
        <w:rPr>
          <w:rFonts w:ascii="Arial" w:eastAsia="Arial" w:hAnsi="Arial" w:cs="Arial"/>
          <w:sz w:val="20"/>
          <w:szCs w:val="20"/>
          <w:lang w:val="en-US"/>
        </w:rPr>
        <w:t xml:space="preserve"> In the </w:t>
      </w:r>
      <w:r w:rsidR="001000FD" w:rsidRPr="00205820">
        <w:rPr>
          <w:rFonts w:ascii="Arial" w:eastAsia="Arial" w:hAnsi="Arial" w:cs="Arial"/>
          <w:i/>
          <w:sz w:val="20"/>
          <w:szCs w:val="20"/>
          <w:lang w:val="en-US"/>
        </w:rPr>
        <w:t>in vitro</w:t>
      </w:r>
      <w:r w:rsidR="001000FD" w:rsidRPr="001000FD">
        <w:rPr>
          <w:rFonts w:ascii="Arial" w:eastAsia="Arial" w:hAnsi="Arial" w:cs="Arial"/>
          <w:sz w:val="20"/>
          <w:szCs w:val="20"/>
          <w:lang w:val="en-US"/>
        </w:rPr>
        <w:t xml:space="preserve"> model, 3T3 fibroblasts were cultured and treated with different concentrations of FAR for cell viability (MTT) and cell migration (scratch assay) assays. Readings were taken by spectrophotometry and microscopy, with statistical analysis performed using ANOVA and Tukey's test. In the </w:t>
      </w:r>
      <w:r w:rsidR="001000FD" w:rsidRPr="00205820">
        <w:rPr>
          <w:rFonts w:ascii="Arial" w:eastAsia="Arial" w:hAnsi="Arial" w:cs="Arial"/>
          <w:i/>
          <w:sz w:val="20"/>
          <w:szCs w:val="20"/>
          <w:lang w:val="en-US"/>
        </w:rPr>
        <w:t>in vivo</w:t>
      </w:r>
      <w:r w:rsidR="001000FD" w:rsidRPr="001000FD">
        <w:rPr>
          <w:rFonts w:ascii="Arial" w:eastAsia="Arial" w:hAnsi="Arial" w:cs="Arial"/>
          <w:sz w:val="20"/>
          <w:szCs w:val="20"/>
          <w:lang w:val="en-US"/>
        </w:rPr>
        <w:t xml:space="preserve"> model, approved by the State University of Health Sciences of Alago</w:t>
      </w:r>
      <w:r w:rsidR="00205820">
        <w:rPr>
          <w:rFonts w:ascii="Arial" w:eastAsia="Arial" w:hAnsi="Arial" w:cs="Arial"/>
          <w:sz w:val="20"/>
          <w:szCs w:val="20"/>
          <w:lang w:val="en-US"/>
        </w:rPr>
        <w:t>as</w:t>
      </w:r>
      <w:r w:rsidR="001000FD" w:rsidRPr="001000FD">
        <w:rPr>
          <w:rFonts w:ascii="Arial" w:eastAsia="Arial" w:hAnsi="Arial" w:cs="Arial"/>
          <w:sz w:val="20"/>
          <w:szCs w:val="20"/>
          <w:lang w:val="en-US"/>
        </w:rPr>
        <w:t xml:space="preserve"> ethics committee, 54 male Swiss mice (</w:t>
      </w:r>
      <w:r w:rsidR="001000FD" w:rsidRPr="00205820">
        <w:rPr>
          <w:rFonts w:ascii="Arial" w:eastAsia="Arial" w:hAnsi="Arial" w:cs="Arial"/>
          <w:i/>
          <w:sz w:val="20"/>
          <w:szCs w:val="20"/>
          <w:lang w:val="en-US"/>
        </w:rPr>
        <w:t>Mus musculus</w:t>
      </w:r>
      <w:r w:rsidR="001000FD" w:rsidRPr="001000FD">
        <w:rPr>
          <w:rFonts w:ascii="Arial" w:eastAsia="Arial" w:hAnsi="Arial" w:cs="Arial"/>
          <w:sz w:val="20"/>
          <w:szCs w:val="20"/>
          <w:lang w:val="en-US"/>
        </w:rPr>
        <w:t>), aged approximately 3 months, were divided into groups that received topical treatment with FAR, Bepantol (positive control), or gel (negative control). Surgical wounds were monitored for 21 days, with observation of inflammatory signs and measurement of wound contraction</w:t>
      </w:r>
      <w:r w:rsidR="00791E6C">
        <w:rPr>
          <w:rFonts w:ascii="Arial" w:eastAsia="Arial" w:hAnsi="Arial" w:cs="Arial"/>
          <w:sz w:val="20"/>
          <w:szCs w:val="20"/>
          <w:lang w:val="en-US"/>
        </w:rPr>
        <w:t xml:space="preserve"> </w:t>
      </w:r>
      <w:r w:rsidR="001000FD" w:rsidRPr="001000FD">
        <w:rPr>
          <w:rFonts w:ascii="Arial" w:eastAsia="Arial" w:hAnsi="Arial" w:cs="Arial"/>
          <w:sz w:val="20"/>
          <w:szCs w:val="20"/>
          <w:lang w:val="en-US"/>
        </w:rPr>
        <w:t>using calipers. Finally, statistical analysis was conducted using GraphPad Prism software, with statistical significance set at p &lt; 0.05.</w:t>
      </w:r>
    </w:p>
    <w:p w14:paraId="0DDBAE21" w14:textId="553BC73C" w:rsidR="00323FC1" w:rsidRDefault="00323FC1" w:rsidP="001A3067">
      <w:pPr>
        <w:spacing w:after="0"/>
        <w:ind w:right="-157"/>
        <w:jc w:val="both"/>
        <w:rPr>
          <w:rFonts w:ascii="Arial" w:eastAsia="Arial" w:hAnsi="Arial" w:cs="Arial"/>
          <w:sz w:val="20"/>
          <w:szCs w:val="20"/>
          <w:lang w:val="en-US"/>
        </w:rPr>
      </w:pPr>
      <w:r w:rsidRPr="00323FC1">
        <w:rPr>
          <w:rFonts w:ascii="Arial" w:eastAsia="Arial" w:hAnsi="Arial" w:cs="Arial"/>
          <w:b/>
          <w:bCs/>
          <w:sz w:val="20"/>
          <w:szCs w:val="20"/>
          <w:lang w:val="en-US"/>
        </w:rPr>
        <w:t>RESULTS/DISCUSSION</w:t>
      </w:r>
      <w:r w:rsidR="00C45486">
        <w:rPr>
          <w:rFonts w:ascii="Arial" w:eastAsia="Arial" w:hAnsi="Arial" w:cs="Arial"/>
          <w:b/>
          <w:bCs/>
          <w:sz w:val="20"/>
          <w:szCs w:val="20"/>
          <w:lang w:val="en-US"/>
        </w:rPr>
        <w:t>:</w:t>
      </w:r>
      <w:r w:rsidR="00791E6C">
        <w:rPr>
          <w:rFonts w:ascii="Arial" w:eastAsia="Arial" w:hAnsi="Arial" w:cs="Arial"/>
          <w:b/>
          <w:bCs/>
          <w:sz w:val="20"/>
          <w:szCs w:val="20"/>
          <w:lang w:val="en-US"/>
        </w:rPr>
        <w:t xml:space="preserve"> </w:t>
      </w:r>
      <w:r w:rsidR="001000FD" w:rsidRPr="001000FD">
        <w:rPr>
          <w:rFonts w:ascii="Arial" w:eastAsia="Arial" w:hAnsi="Arial" w:cs="Arial"/>
          <w:sz w:val="20"/>
          <w:szCs w:val="20"/>
          <w:lang w:val="en-US"/>
        </w:rPr>
        <w:t>The studies</w:t>
      </w:r>
      <w:r w:rsidR="001000FD">
        <w:rPr>
          <w:rFonts w:ascii="Arial" w:eastAsia="Arial" w:hAnsi="Arial" w:cs="Arial"/>
          <w:sz w:val="20"/>
          <w:szCs w:val="20"/>
          <w:lang w:val="en-US"/>
        </w:rPr>
        <w:t xml:space="preserve"> </w:t>
      </w:r>
      <w:r w:rsidR="001000FD" w:rsidRPr="001000FD">
        <w:rPr>
          <w:rFonts w:ascii="Arial" w:eastAsia="Arial" w:hAnsi="Arial" w:cs="Arial"/>
          <w:sz w:val="20"/>
          <w:szCs w:val="20"/>
          <w:lang w:val="en-US"/>
        </w:rPr>
        <w:t>assessed the wound healing potential of FAR through in vitro and in vivo assays. In the first study, the cell viability of 3T3 fibroblasts wa</w:t>
      </w:r>
      <w:r w:rsidR="00791E6C">
        <w:rPr>
          <w:rFonts w:ascii="Arial" w:eastAsia="Arial" w:hAnsi="Arial" w:cs="Arial"/>
          <w:sz w:val="20"/>
          <w:szCs w:val="20"/>
          <w:lang w:val="en-US"/>
        </w:rPr>
        <w:t xml:space="preserve">s </w:t>
      </w:r>
      <w:r w:rsidR="001000FD" w:rsidRPr="001000FD">
        <w:rPr>
          <w:rFonts w:ascii="Arial" w:eastAsia="Arial" w:hAnsi="Arial" w:cs="Arial"/>
          <w:sz w:val="20"/>
          <w:szCs w:val="20"/>
          <w:lang w:val="en-US"/>
        </w:rPr>
        <w:t xml:space="preserve">analyzed using the colorimetric MTT method. Concentrations of 125 and 250 µg/mL of FAR showed low cell viability (19.44% and 14.32%), while concentrations of 1.95, 31.25, and 62.5 µg/mL showed higher percentages (123.3%, 95.19%, </w:t>
      </w:r>
      <w:r w:rsidR="001000FD" w:rsidRPr="001000FD">
        <w:rPr>
          <w:rFonts w:ascii="Arial" w:eastAsia="Arial" w:hAnsi="Arial" w:cs="Arial"/>
          <w:sz w:val="20"/>
          <w:szCs w:val="20"/>
          <w:lang w:val="en-US"/>
        </w:rPr>
        <w:t>and 84.83%, respectively), indicating lower cytotoxicity.</w:t>
      </w:r>
      <w:r w:rsidR="00791E6C">
        <w:rPr>
          <w:rFonts w:ascii="Arial" w:eastAsia="Arial" w:hAnsi="Arial" w:cs="Arial"/>
          <w:sz w:val="20"/>
          <w:szCs w:val="20"/>
          <w:lang w:val="en-US"/>
        </w:rPr>
        <w:t xml:space="preserve"> </w:t>
      </w:r>
      <w:r w:rsidR="001000FD" w:rsidRPr="001000FD">
        <w:rPr>
          <w:rFonts w:ascii="Arial" w:eastAsia="Arial" w:hAnsi="Arial" w:cs="Arial"/>
          <w:sz w:val="20"/>
          <w:szCs w:val="20"/>
          <w:lang w:val="en-US"/>
        </w:rPr>
        <w:t>Cell migration was assessed by the scratch assay, where a 10 µg/mL concentration of FAR resulted in a significant increase in migration within 24 hours, suggesting potential for use in wound treatment. Comparatively, an in vivo study on Swiss mice examined three groups: a negative control (natrosol gel), a group treated with natrosol gel plus 0.5 mg/g of FAR, and a group with natrosol plus Bepantol solution. Wound contraction area was monitored over 21 days, with no differences observed among groups in wound contraction percentages. However, in the first seven days, the FAR group showed up to four times greater contraction compared to the group with only natrosol. All groups demonstrated complete reepithelialization, with the third group showing earlier crust formation and reepithelialization.</w:t>
      </w:r>
    </w:p>
    <w:p w14:paraId="73B6CA3B" w14:textId="01775E7F" w:rsidR="00323FC1" w:rsidRDefault="00323FC1" w:rsidP="001A3067">
      <w:pPr>
        <w:spacing w:after="0"/>
        <w:ind w:right="-157"/>
        <w:jc w:val="both"/>
        <w:rPr>
          <w:rFonts w:ascii="Arial" w:eastAsia="Arial" w:hAnsi="Arial" w:cs="Arial"/>
          <w:sz w:val="20"/>
          <w:szCs w:val="20"/>
          <w:lang w:val="en-US"/>
        </w:rPr>
      </w:pPr>
      <w:r w:rsidRPr="00323FC1">
        <w:rPr>
          <w:rFonts w:ascii="Arial" w:eastAsia="Arial" w:hAnsi="Arial" w:cs="Arial"/>
          <w:b/>
          <w:bCs/>
          <w:sz w:val="20"/>
          <w:szCs w:val="20"/>
          <w:lang w:val="en-US"/>
        </w:rPr>
        <w:t>CONCLUSION</w:t>
      </w:r>
      <w:r w:rsidR="00C45486">
        <w:rPr>
          <w:rFonts w:ascii="Arial" w:eastAsia="Arial" w:hAnsi="Arial" w:cs="Arial"/>
          <w:b/>
          <w:bCs/>
          <w:sz w:val="20"/>
          <w:szCs w:val="20"/>
          <w:lang w:val="en-US"/>
        </w:rPr>
        <w:t xml:space="preserve">: </w:t>
      </w:r>
      <w:r w:rsidR="001000FD" w:rsidRPr="001000FD">
        <w:rPr>
          <w:rFonts w:ascii="Arial" w:eastAsia="Arial" w:hAnsi="Arial" w:cs="Arial"/>
          <w:sz w:val="20"/>
          <w:szCs w:val="20"/>
          <w:lang w:val="en-US"/>
        </w:rPr>
        <w:t>The studies indicate that Farnesol (FAR) exhibits healing potential. In vitro assays showed lower FAR concentrations to be less cytotoxic and beneficial for cell viability and migration, suggesting benefits for wound healing. In the in vivo study, FAR accelerated wound contraction within the first seven days, although all groups achieved complete reepithelialization by the end of the experiment. Results highlight the need for further research on FAR and natrosol in wound healing.</w:t>
      </w:r>
    </w:p>
    <w:sectPr w:rsidR="00323FC1" w:rsidSect="00791E6C">
      <w:type w:val="continuous"/>
      <w:pgSz w:w="11906" w:h="16838"/>
      <w:pgMar w:top="1134" w:right="1558" w:bottom="426" w:left="1701" w:header="708" w:footer="473"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9C5EFD" w14:textId="77777777" w:rsidR="00E8724D" w:rsidRDefault="00E8724D" w:rsidP="00A30AF6">
      <w:pPr>
        <w:spacing w:after="0" w:line="240" w:lineRule="auto"/>
      </w:pPr>
      <w:r>
        <w:separator/>
      </w:r>
    </w:p>
  </w:endnote>
  <w:endnote w:type="continuationSeparator" w:id="0">
    <w:p w14:paraId="2AAC65FF" w14:textId="77777777" w:rsidR="00E8724D" w:rsidRDefault="00E8724D"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65B98" w14:textId="77777777" w:rsidR="00E8724D" w:rsidRDefault="00E8724D" w:rsidP="00A30AF6">
      <w:pPr>
        <w:spacing w:after="0" w:line="240" w:lineRule="auto"/>
      </w:pPr>
      <w:r>
        <w:separator/>
      </w:r>
    </w:p>
  </w:footnote>
  <w:footnote w:type="continuationSeparator" w:id="0">
    <w:p w14:paraId="2D07D8A9" w14:textId="77777777" w:rsidR="00E8724D" w:rsidRDefault="00E8724D"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1092E"/>
    <w:rsid w:val="000405BE"/>
    <w:rsid w:val="00041A28"/>
    <w:rsid w:val="00043391"/>
    <w:rsid w:val="000C4415"/>
    <w:rsid w:val="001000FD"/>
    <w:rsid w:val="0010099C"/>
    <w:rsid w:val="001A3067"/>
    <w:rsid w:val="001A5153"/>
    <w:rsid w:val="00205820"/>
    <w:rsid w:val="0024322D"/>
    <w:rsid w:val="002B18AC"/>
    <w:rsid w:val="00323FC1"/>
    <w:rsid w:val="00332E55"/>
    <w:rsid w:val="003A4172"/>
    <w:rsid w:val="003E30F0"/>
    <w:rsid w:val="003F3DD5"/>
    <w:rsid w:val="004F14D7"/>
    <w:rsid w:val="00501425"/>
    <w:rsid w:val="0052727F"/>
    <w:rsid w:val="00545B18"/>
    <w:rsid w:val="005C18D4"/>
    <w:rsid w:val="00726988"/>
    <w:rsid w:val="00770E41"/>
    <w:rsid w:val="007903C1"/>
    <w:rsid w:val="00791E6C"/>
    <w:rsid w:val="00792E11"/>
    <w:rsid w:val="00797D78"/>
    <w:rsid w:val="007F0912"/>
    <w:rsid w:val="008028E3"/>
    <w:rsid w:val="008056F0"/>
    <w:rsid w:val="008120CE"/>
    <w:rsid w:val="008625E4"/>
    <w:rsid w:val="00867FA0"/>
    <w:rsid w:val="00936C7A"/>
    <w:rsid w:val="009612E4"/>
    <w:rsid w:val="00A052EA"/>
    <w:rsid w:val="00A30AF6"/>
    <w:rsid w:val="00AC2F70"/>
    <w:rsid w:val="00B14E03"/>
    <w:rsid w:val="00B600EB"/>
    <w:rsid w:val="00BB0246"/>
    <w:rsid w:val="00BE45CD"/>
    <w:rsid w:val="00C0646B"/>
    <w:rsid w:val="00C45486"/>
    <w:rsid w:val="00C74F06"/>
    <w:rsid w:val="00D56C0C"/>
    <w:rsid w:val="00DC5E51"/>
    <w:rsid w:val="00DE7AF9"/>
    <w:rsid w:val="00E8724D"/>
    <w:rsid w:val="00EA42B6"/>
    <w:rsid w:val="00EB7772"/>
    <w:rsid w:val="00F36892"/>
    <w:rsid w:val="00FE70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6213">
      <w:bodyDiv w:val="1"/>
      <w:marLeft w:val="0"/>
      <w:marRight w:val="0"/>
      <w:marTop w:val="0"/>
      <w:marBottom w:val="0"/>
      <w:divBdr>
        <w:top w:val="none" w:sz="0" w:space="0" w:color="auto"/>
        <w:left w:val="none" w:sz="0" w:space="0" w:color="auto"/>
        <w:bottom w:val="none" w:sz="0" w:space="0" w:color="auto"/>
        <w:right w:val="none" w:sz="0" w:space="0" w:color="auto"/>
      </w:divBdr>
    </w:div>
    <w:div w:id="172695396">
      <w:bodyDiv w:val="1"/>
      <w:marLeft w:val="0"/>
      <w:marRight w:val="0"/>
      <w:marTop w:val="0"/>
      <w:marBottom w:val="0"/>
      <w:divBdr>
        <w:top w:val="none" w:sz="0" w:space="0" w:color="auto"/>
        <w:left w:val="none" w:sz="0" w:space="0" w:color="auto"/>
        <w:bottom w:val="none" w:sz="0" w:space="0" w:color="auto"/>
        <w:right w:val="none" w:sz="0" w:space="0" w:color="auto"/>
      </w:divBdr>
      <w:divsChild>
        <w:div w:id="232277004">
          <w:marLeft w:val="0"/>
          <w:marRight w:val="0"/>
          <w:marTop w:val="0"/>
          <w:marBottom w:val="0"/>
          <w:divBdr>
            <w:top w:val="none" w:sz="0" w:space="0" w:color="auto"/>
            <w:left w:val="none" w:sz="0" w:space="0" w:color="auto"/>
            <w:bottom w:val="none" w:sz="0" w:space="0" w:color="auto"/>
            <w:right w:val="none" w:sz="0" w:space="0" w:color="auto"/>
          </w:divBdr>
          <w:divsChild>
            <w:div w:id="2003704227">
              <w:marLeft w:val="0"/>
              <w:marRight w:val="0"/>
              <w:marTop w:val="0"/>
              <w:marBottom w:val="0"/>
              <w:divBdr>
                <w:top w:val="none" w:sz="0" w:space="0" w:color="auto"/>
                <w:left w:val="none" w:sz="0" w:space="0" w:color="auto"/>
                <w:bottom w:val="none" w:sz="0" w:space="0" w:color="auto"/>
                <w:right w:val="none" w:sz="0" w:space="0" w:color="auto"/>
              </w:divBdr>
              <w:divsChild>
                <w:div w:id="345180414">
                  <w:marLeft w:val="0"/>
                  <w:marRight w:val="0"/>
                  <w:marTop w:val="0"/>
                  <w:marBottom w:val="0"/>
                  <w:divBdr>
                    <w:top w:val="none" w:sz="0" w:space="0" w:color="auto"/>
                    <w:left w:val="none" w:sz="0" w:space="0" w:color="auto"/>
                    <w:bottom w:val="none" w:sz="0" w:space="0" w:color="auto"/>
                    <w:right w:val="none" w:sz="0" w:space="0" w:color="auto"/>
                  </w:divBdr>
                  <w:divsChild>
                    <w:div w:id="193465078">
                      <w:marLeft w:val="0"/>
                      <w:marRight w:val="0"/>
                      <w:marTop w:val="0"/>
                      <w:marBottom w:val="0"/>
                      <w:divBdr>
                        <w:top w:val="none" w:sz="0" w:space="0" w:color="auto"/>
                        <w:left w:val="none" w:sz="0" w:space="0" w:color="auto"/>
                        <w:bottom w:val="none" w:sz="0" w:space="0" w:color="auto"/>
                        <w:right w:val="none" w:sz="0" w:space="0" w:color="auto"/>
                      </w:divBdr>
                      <w:divsChild>
                        <w:div w:id="1452632008">
                          <w:marLeft w:val="0"/>
                          <w:marRight w:val="0"/>
                          <w:marTop w:val="0"/>
                          <w:marBottom w:val="0"/>
                          <w:divBdr>
                            <w:top w:val="none" w:sz="0" w:space="0" w:color="auto"/>
                            <w:left w:val="none" w:sz="0" w:space="0" w:color="auto"/>
                            <w:bottom w:val="none" w:sz="0" w:space="0" w:color="auto"/>
                            <w:right w:val="none" w:sz="0" w:space="0" w:color="auto"/>
                          </w:divBdr>
                          <w:divsChild>
                            <w:div w:id="3397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986310">
      <w:bodyDiv w:val="1"/>
      <w:marLeft w:val="0"/>
      <w:marRight w:val="0"/>
      <w:marTop w:val="0"/>
      <w:marBottom w:val="0"/>
      <w:divBdr>
        <w:top w:val="none" w:sz="0" w:space="0" w:color="auto"/>
        <w:left w:val="none" w:sz="0" w:space="0" w:color="auto"/>
        <w:bottom w:val="none" w:sz="0" w:space="0" w:color="auto"/>
        <w:right w:val="none" w:sz="0" w:space="0" w:color="auto"/>
      </w:divBdr>
    </w:div>
    <w:div w:id="1111316239">
      <w:bodyDiv w:val="1"/>
      <w:marLeft w:val="0"/>
      <w:marRight w:val="0"/>
      <w:marTop w:val="0"/>
      <w:marBottom w:val="0"/>
      <w:divBdr>
        <w:top w:val="none" w:sz="0" w:space="0" w:color="auto"/>
        <w:left w:val="none" w:sz="0" w:space="0" w:color="auto"/>
        <w:bottom w:val="none" w:sz="0" w:space="0" w:color="auto"/>
        <w:right w:val="none" w:sz="0" w:space="0" w:color="auto"/>
      </w:divBdr>
      <w:divsChild>
        <w:div w:id="648285767">
          <w:marLeft w:val="0"/>
          <w:marRight w:val="0"/>
          <w:marTop w:val="0"/>
          <w:marBottom w:val="0"/>
          <w:divBdr>
            <w:top w:val="none" w:sz="0" w:space="0" w:color="auto"/>
            <w:left w:val="none" w:sz="0" w:space="0" w:color="auto"/>
            <w:bottom w:val="none" w:sz="0" w:space="0" w:color="auto"/>
            <w:right w:val="none" w:sz="0" w:space="0" w:color="auto"/>
          </w:divBdr>
          <w:divsChild>
            <w:div w:id="591201641">
              <w:marLeft w:val="0"/>
              <w:marRight w:val="0"/>
              <w:marTop w:val="0"/>
              <w:marBottom w:val="0"/>
              <w:divBdr>
                <w:top w:val="none" w:sz="0" w:space="0" w:color="auto"/>
                <w:left w:val="none" w:sz="0" w:space="0" w:color="auto"/>
                <w:bottom w:val="none" w:sz="0" w:space="0" w:color="auto"/>
                <w:right w:val="none" w:sz="0" w:space="0" w:color="auto"/>
              </w:divBdr>
              <w:divsChild>
                <w:div w:id="1856727045">
                  <w:marLeft w:val="0"/>
                  <w:marRight w:val="0"/>
                  <w:marTop w:val="0"/>
                  <w:marBottom w:val="0"/>
                  <w:divBdr>
                    <w:top w:val="none" w:sz="0" w:space="0" w:color="auto"/>
                    <w:left w:val="none" w:sz="0" w:space="0" w:color="auto"/>
                    <w:bottom w:val="none" w:sz="0" w:space="0" w:color="auto"/>
                    <w:right w:val="none" w:sz="0" w:space="0" w:color="auto"/>
                  </w:divBdr>
                  <w:divsChild>
                    <w:div w:id="1852603931">
                      <w:marLeft w:val="0"/>
                      <w:marRight w:val="0"/>
                      <w:marTop w:val="0"/>
                      <w:marBottom w:val="0"/>
                      <w:divBdr>
                        <w:top w:val="none" w:sz="0" w:space="0" w:color="auto"/>
                        <w:left w:val="none" w:sz="0" w:space="0" w:color="auto"/>
                        <w:bottom w:val="none" w:sz="0" w:space="0" w:color="auto"/>
                        <w:right w:val="none" w:sz="0" w:space="0" w:color="auto"/>
                      </w:divBdr>
                      <w:divsChild>
                        <w:div w:id="225534388">
                          <w:marLeft w:val="0"/>
                          <w:marRight w:val="0"/>
                          <w:marTop w:val="0"/>
                          <w:marBottom w:val="0"/>
                          <w:divBdr>
                            <w:top w:val="none" w:sz="0" w:space="0" w:color="auto"/>
                            <w:left w:val="none" w:sz="0" w:space="0" w:color="auto"/>
                            <w:bottom w:val="none" w:sz="0" w:space="0" w:color="auto"/>
                            <w:right w:val="none" w:sz="0" w:space="0" w:color="auto"/>
                          </w:divBdr>
                          <w:divsChild>
                            <w:div w:id="58388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 w:id="19192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kssaelmed@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1817</TotalTime>
  <Pages>1</Pages>
  <Words>622</Words>
  <Characters>3361</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Mikssael Ferreira</cp:lastModifiedBy>
  <cp:revision>19</cp:revision>
  <dcterms:created xsi:type="dcterms:W3CDTF">2024-07-21T02:48:00Z</dcterms:created>
  <dcterms:modified xsi:type="dcterms:W3CDTF">2024-10-31T02:24:00Z</dcterms:modified>
</cp:coreProperties>
</file>