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DF91" w14:textId="0AE30F9E" w:rsidR="009014DC" w:rsidRPr="009014DC" w:rsidRDefault="009014DC" w:rsidP="009014DC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14DC">
        <w:rPr>
          <w:rFonts w:asciiTheme="majorBidi" w:hAnsiTheme="majorBidi" w:cstheme="majorBidi"/>
          <w:b/>
          <w:bCs/>
          <w:sz w:val="28"/>
          <w:szCs w:val="28"/>
        </w:rPr>
        <w:t>PREVENÇÃO DA SOBRECARGA CIRCULATÓRIA NO CHOQUE HEMORRÁGICO</w:t>
      </w:r>
    </w:p>
    <w:p w14:paraId="5323D060" w14:textId="1FFDD602" w:rsidR="009014DC" w:rsidRPr="009014DC" w:rsidRDefault="00A114AE" w:rsidP="009014DC">
      <w:pPr>
        <w:spacing w:line="24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9014DC">
        <w:rPr>
          <w:rFonts w:asciiTheme="majorBidi" w:hAnsiTheme="majorBidi" w:cstheme="majorBidi"/>
          <w:bCs/>
          <w:sz w:val="24"/>
          <w:szCs w:val="24"/>
        </w:rPr>
        <w:t>Bruna Sacagni Domingues</w:t>
      </w:r>
      <w:r w:rsidR="009014DC" w:rsidRPr="009014DC">
        <w:rPr>
          <w:rFonts w:asciiTheme="majorBidi" w:hAnsiTheme="majorBidi" w:cstheme="majorBidi"/>
          <w:bCs/>
          <w:sz w:val="24"/>
          <w:szCs w:val="24"/>
        </w:rPr>
        <w:t>¹</w:t>
      </w:r>
    </w:p>
    <w:p w14:paraId="2D3C3814" w14:textId="0DE1AE01" w:rsidR="00A114AE" w:rsidRPr="009014DC" w:rsidRDefault="00E55798" w:rsidP="009014DC">
      <w:pPr>
        <w:spacing w:line="24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 w:rsidRPr="009014DC">
        <w:rPr>
          <w:rFonts w:asciiTheme="majorBidi" w:hAnsiTheme="majorBidi" w:cstheme="majorBidi"/>
          <w:bCs/>
          <w:sz w:val="24"/>
          <w:szCs w:val="24"/>
        </w:rPr>
        <w:t xml:space="preserve">Dra. </w:t>
      </w:r>
      <w:r w:rsidR="006F233F" w:rsidRPr="009014DC">
        <w:rPr>
          <w:rFonts w:asciiTheme="majorBidi" w:hAnsiTheme="majorBidi" w:cstheme="majorBidi"/>
          <w:bCs/>
          <w:sz w:val="24"/>
          <w:szCs w:val="24"/>
        </w:rPr>
        <w:t>Lilian Silva de França</w:t>
      </w:r>
      <w:r w:rsidR="009014DC" w:rsidRPr="009014DC">
        <w:rPr>
          <w:rFonts w:asciiTheme="majorBidi" w:hAnsiTheme="majorBidi" w:cstheme="majorBidi"/>
          <w:bCs/>
          <w:sz w:val="24"/>
          <w:szCs w:val="24"/>
        </w:rPr>
        <w:t>²</w:t>
      </w:r>
    </w:p>
    <w:p w14:paraId="3192671E" w14:textId="77777777" w:rsidR="00BC1EFE" w:rsidRPr="009014DC" w:rsidRDefault="00BC1EFE" w:rsidP="009014DC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402A93B" w14:textId="77777777" w:rsidR="00A114AE" w:rsidRPr="009014DC" w:rsidRDefault="00A114AE" w:rsidP="009014DC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014DC">
        <w:rPr>
          <w:rFonts w:asciiTheme="majorBidi" w:hAnsiTheme="majorBidi" w:cstheme="majorBidi"/>
          <w:b/>
          <w:sz w:val="24"/>
          <w:szCs w:val="24"/>
        </w:rPr>
        <w:t xml:space="preserve">RESUMO: </w:t>
      </w:r>
    </w:p>
    <w:p w14:paraId="1B0EED34" w14:textId="03DA2EBB" w:rsidR="0084194A" w:rsidRPr="009014DC" w:rsidRDefault="00BC1EFE" w:rsidP="00B011C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14DC">
        <w:rPr>
          <w:rFonts w:asciiTheme="majorBidi" w:hAnsiTheme="majorBidi" w:cstheme="majorBidi"/>
          <w:b/>
          <w:sz w:val="24"/>
          <w:szCs w:val="24"/>
        </w:rPr>
        <w:t xml:space="preserve">Introdução: </w:t>
      </w:r>
      <w:r w:rsidR="003F63A4" w:rsidRPr="009014DC">
        <w:rPr>
          <w:rFonts w:asciiTheme="majorBidi" w:hAnsiTheme="majorBidi" w:cstheme="majorBidi"/>
          <w:sz w:val="24"/>
          <w:szCs w:val="24"/>
        </w:rPr>
        <w:t>A t</w:t>
      </w:r>
      <w:r w:rsidR="008A108C" w:rsidRPr="009014DC">
        <w:rPr>
          <w:rFonts w:asciiTheme="majorBidi" w:hAnsiTheme="majorBidi" w:cstheme="majorBidi"/>
          <w:sz w:val="24"/>
          <w:szCs w:val="24"/>
        </w:rPr>
        <w:t>erapia transfusional</w:t>
      </w:r>
      <w:r w:rsidR="003F63A4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3764C9" w:rsidRPr="009014DC">
        <w:rPr>
          <w:rFonts w:asciiTheme="majorBidi" w:hAnsiTheme="majorBidi" w:cstheme="majorBidi"/>
          <w:sz w:val="24"/>
          <w:szCs w:val="24"/>
        </w:rPr>
        <w:t>é</w:t>
      </w:r>
      <w:r w:rsidR="003F63A4" w:rsidRPr="009014DC">
        <w:rPr>
          <w:rFonts w:asciiTheme="majorBidi" w:hAnsiTheme="majorBidi" w:cstheme="majorBidi"/>
          <w:sz w:val="24"/>
          <w:szCs w:val="24"/>
        </w:rPr>
        <w:t xml:space="preserve"> um procedimento de transferência de sangue ou hemocomponentes </w:t>
      </w:r>
      <w:r w:rsidR="00ED629A" w:rsidRPr="009014DC">
        <w:rPr>
          <w:rFonts w:asciiTheme="majorBidi" w:hAnsiTheme="majorBidi" w:cstheme="majorBidi"/>
          <w:sz w:val="24"/>
          <w:szCs w:val="24"/>
        </w:rPr>
        <w:t>essencial no tratamento do</w:t>
      </w:r>
      <w:r w:rsidR="003764C9" w:rsidRPr="009014DC">
        <w:rPr>
          <w:rFonts w:asciiTheme="majorBidi" w:hAnsiTheme="majorBidi" w:cstheme="majorBidi"/>
          <w:sz w:val="24"/>
          <w:szCs w:val="24"/>
        </w:rPr>
        <w:t xml:space="preserve"> choque hemorrágico. </w:t>
      </w:r>
      <w:r w:rsidR="00ED629A" w:rsidRPr="009014DC">
        <w:rPr>
          <w:rFonts w:asciiTheme="majorBidi" w:hAnsiTheme="majorBidi" w:cstheme="majorBidi"/>
          <w:sz w:val="24"/>
          <w:szCs w:val="24"/>
        </w:rPr>
        <w:t>A</w:t>
      </w:r>
      <w:r w:rsidR="003F63A4" w:rsidRPr="009014DC">
        <w:rPr>
          <w:rFonts w:asciiTheme="majorBidi" w:hAnsiTheme="majorBidi" w:cstheme="majorBidi"/>
          <w:sz w:val="24"/>
          <w:szCs w:val="24"/>
        </w:rPr>
        <w:t>pesar dos avanços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 na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 área da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4C84" w:rsidRPr="009014DC">
        <w:rPr>
          <w:rFonts w:asciiTheme="majorBidi" w:hAnsiTheme="majorBidi" w:cstheme="majorBidi"/>
          <w:sz w:val="24"/>
          <w:szCs w:val="24"/>
        </w:rPr>
        <w:t>hemovigilância</w:t>
      </w:r>
      <w:proofErr w:type="spellEnd"/>
      <w:r w:rsidR="00E82C4B" w:rsidRPr="009014DC">
        <w:rPr>
          <w:rFonts w:asciiTheme="majorBidi" w:hAnsiTheme="majorBidi" w:cstheme="majorBidi"/>
          <w:sz w:val="24"/>
          <w:szCs w:val="24"/>
        </w:rPr>
        <w:t>, as</w:t>
      </w:r>
      <w:r w:rsidR="003F63A4" w:rsidRPr="009014DC">
        <w:rPr>
          <w:rFonts w:asciiTheme="majorBidi" w:hAnsiTheme="majorBidi" w:cstheme="majorBidi"/>
          <w:sz w:val="24"/>
          <w:szCs w:val="24"/>
        </w:rPr>
        <w:t xml:space="preserve"> reações adversa</w:t>
      </w:r>
      <w:r w:rsidR="00E82C4B" w:rsidRPr="009014DC">
        <w:rPr>
          <w:rFonts w:asciiTheme="majorBidi" w:hAnsiTheme="majorBidi" w:cstheme="majorBidi"/>
          <w:sz w:val="24"/>
          <w:szCs w:val="24"/>
        </w:rPr>
        <w:t>s à</w:t>
      </w:r>
      <w:r w:rsidR="003F63A4" w:rsidRPr="009014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F63A4" w:rsidRPr="009014DC">
        <w:rPr>
          <w:rFonts w:asciiTheme="majorBidi" w:hAnsiTheme="majorBidi" w:cstheme="majorBidi"/>
          <w:sz w:val="24"/>
          <w:szCs w:val="24"/>
        </w:rPr>
        <w:t>hemotransfusão</w:t>
      </w:r>
      <w:proofErr w:type="spellEnd"/>
      <w:r w:rsidR="003F63A4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E82C4B" w:rsidRPr="009014DC">
        <w:rPr>
          <w:rFonts w:asciiTheme="majorBidi" w:hAnsiTheme="majorBidi" w:cstheme="majorBidi"/>
          <w:sz w:val="24"/>
          <w:szCs w:val="24"/>
        </w:rPr>
        <w:t>permanecem</w:t>
      </w:r>
      <w:r w:rsidR="003F63A4" w:rsidRPr="009014DC">
        <w:rPr>
          <w:rFonts w:asciiTheme="majorBidi" w:hAnsiTheme="majorBidi" w:cstheme="majorBidi"/>
          <w:sz w:val="24"/>
          <w:szCs w:val="24"/>
        </w:rPr>
        <w:t xml:space="preserve"> significativas</w:t>
      </w:r>
      <w:r w:rsidR="008A108C" w:rsidRPr="009014DC">
        <w:rPr>
          <w:rFonts w:asciiTheme="majorBidi" w:hAnsiTheme="majorBidi" w:cstheme="majorBidi"/>
          <w:sz w:val="24"/>
          <w:szCs w:val="24"/>
        </w:rPr>
        <w:t xml:space="preserve">, </w:t>
      </w:r>
      <w:r w:rsidR="00E82C4B" w:rsidRPr="009014DC">
        <w:rPr>
          <w:rFonts w:asciiTheme="majorBidi" w:hAnsiTheme="majorBidi" w:cstheme="majorBidi"/>
          <w:sz w:val="24"/>
          <w:szCs w:val="24"/>
        </w:rPr>
        <w:t>visto</w:t>
      </w:r>
      <w:r w:rsidR="008A108C" w:rsidRPr="009014DC">
        <w:rPr>
          <w:rFonts w:asciiTheme="majorBidi" w:hAnsiTheme="majorBidi" w:cstheme="majorBidi"/>
          <w:sz w:val="24"/>
          <w:szCs w:val="24"/>
        </w:rPr>
        <w:t xml:space="preserve"> que elas dependem também da resposta 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individual do </w:t>
      </w:r>
      <w:r w:rsidR="008A108C" w:rsidRPr="009014DC">
        <w:rPr>
          <w:rFonts w:asciiTheme="majorBidi" w:hAnsiTheme="majorBidi" w:cstheme="majorBidi"/>
          <w:sz w:val="24"/>
          <w:szCs w:val="24"/>
        </w:rPr>
        <w:t>receptor</w:t>
      </w:r>
      <w:r w:rsidR="00494C84" w:rsidRPr="009014DC">
        <w:rPr>
          <w:rFonts w:asciiTheme="majorBidi" w:hAnsiTheme="majorBidi" w:cstheme="majorBidi"/>
          <w:sz w:val="24"/>
          <w:szCs w:val="24"/>
        </w:rPr>
        <w:t>.</w:t>
      </w:r>
      <w:r w:rsidR="003F63A4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Pr="009014DC">
        <w:rPr>
          <w:rFonts w:asciiTheme="majorBidi" w:hAnsiTheme="majorBidi" w:cstheme="majorBidi"/>
          <w:sz w:val="24"/>
          <w:szCs w:val="24"/>
        </w:rPr>
        <w:t xml:space="preserve">A sobrecarga circulatória é uma reação transfusional imediata de caráter não imunológico que acomete </w:t>
      </w:r>
      <w:r w:rsidR="00961B02" w:rsidRPr="009014DC">
        <w:rPr>
          <w:rFonts w:asciiTheme="majorBidi" w:hAnsiTheme="majorBidi" w:cstheme="majorBidi"/>
          <w:sz w:val="24"/>
          <w:szCs w:val="24"/>
        </w:rPr>
        <w:t>principalment</w:t>
      </w:r>
      <w:r w:rsidR="00E82C4B" w:rsidRPr="009014DC">
        <w:rPr>
          <w:rFonts w:asciiTheme="majorBidi" w:hAnsiTheme="majorBidi" w:cstheme="majorBidi"/>
          <w:sz w:val="24"/>
          <w:szCs w:val="24"/>
        </w:rPr>
        <w:t>e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 idosos, crianças e cardiopatas devido 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sua 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menor capacidade de adaptação </w:t>
      </w:r>
      <w:r w:rsidR="00CF5DC9" w:rsidRPr="009014DC">
        <w:rPr>
          <w:rFonts w:asciiTheme="majorBidi" w:hAnsiTheme="majorBidi" w:cstheme="majorBidi"/>
          <w:sz w:val="24"/>
          <w:szCs w:val="24"/>
        </w:rPr>
        <w:t>a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 mudança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s </w:t>
      </w:r>
      <w:r w:rsidR="00961B02" w:rsidRPr="009014DC">
        <w:rPr>
          <w:rFonts w:asciiTheme="majorBidi" w:hAnsiTheme="majorBidi" w:cstheme="majorBidi"/>
          <w:sz w:val="24"/>
          <w:szCs w:val="24"/>
        </w:rPr>
        <w:t>volêmica</w:t>
      </w:r>
      <w:r w:rsidR="00ED629A" w:rsidRPr="009014DC">
        <w:rPr>
          <w:rFonts w:asciiTheme="majorBidi" w:hAnsiTheme="majorBidi" w:cstheme="majorBidi"/>
          <w:sz w:val="24"/>
          <w:szCs w:val="24"/>
        </w:rPr>
        <w:t>s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 súbita</w:t>
      </w:r>
      <w:r w:rsidR="00ED629A" w:rsidRPr="009014DC">
        <w:rPr>
          <w:rFonts w:asciiTheme="majorBidi" w:hAnsiTheme="majorBidi" w:cstheme="majorBidi"/>
          <w:sz w:val="24"/>
          <w:szCs w:val="24"/>
        </w:rPr>
        <w:t>s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. </w:t>
      </w:r>
      <w:r w:rsidR="009014DC">
        <w:rPr>
          <w:rFonts w:asciiTheme="majorBidi" w:hAnsiTheme="majorBidi" w:cstheme="majorBidi"/>
          <w:b/>
          <w:bCs/>
          <w:sz w:val="24"/>
          <w:szCs w:val="24"/>
        </w:rPr>
        <w:t xml:space="preserve">Objetivo: </w:t>
      </w:r>
      <w:r w:rsidR="00B011C9" w:rsidRPr="00B011C9">
        <w:rPr>
          <w:rFonts w:asciiTheme="majorBidi" w:hAnsiTheme="majorBidi" w:cstheme="majorBidi"/>
          <w:sz w:val="24"/>
          <w:szCs w:val="24"/>
        </w:rPr>
        <w:t>O objetivo da pesquisa é analisar a ocorrência de sobrecarga circulatória associada à transfusão em pacientes com choque hemorrágico, com base em uma revisão narrativa da literatura, buscando compreender os fatores de risco, critérios adequados de indicação transfusional e estratégias de prevenção dessa complicação</w:t>
      </w:r>
      <w:r w:rsidR="00B011C9" w:rsidRPr="00B011C9">
        <w:rPr>
          <w:rFonts w:asciiTheme="majorBidi" w:hAnsiTheme="majorBidi" w:cstheme="majorBidi"/>
          <w:sz w:val="24"/>
          <w:szCs w:val="24"/>
        </w:rPr>
        <w:t>.</w:t>
      </w:r>
      <w:r w:rsidR="00B011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61B02" w:rsidRPr="009014DC">
        <w:rPr>
          <w:rFonts w:asciiTheme="majorBidi" w:hAnsiTheme="majorBidi" w:cstheme="majorBidi"/>
          <w:b/>
          <w:sz w:val="24"/>
          <w:szCs w:val="24"/>
        </w:rPr>
        <w:t xml:space="preserve">Metodologia: </w:t>
      </w:r>
      <w:r w:rsidR="00961B02" w:rsidRPr="009014DC">
        <w:rPr>
          <w:rFonts w:asciiTheme="majorBidi" w:hAnsiTheme="majorBidi" w:cstheme="majorBidi"/>
          <w:sz w:val="24"/>
          <w:szCs w:val="24"/>
        </w:rPr>
        <w:t>Trata-se de uma revisão</w:t>
      </w:r>
      <w:r w:rsidR="00FE6CBD" w:rsidRPr="009014DC">
        <w:rPr>
          <w:rFonts w:asciiTheme="majorBidi" w:hAnsiTheme="majorBidi" w:cstheme="majorBidi"/>
          <w:sz w:val="24"/>
          <w:szCs w:val="24"/>
        </w:rPr>
        <w:t xml:space="preserve"> narrativa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 de literatura realizad</w:t>
      </w:r>
      <w:r w:rsidR="00E82C4B" w:rsidRPr="009014DC">
        <w:rPr>
          <w:rFonts w:asciiTheme="majorBidi" w:hAnsiTheme="majorBidi" w:cstheme="majorBidi"/>
          <w:sz w:val="24"/>
          <w:szCs w:val="24"/>
        </w:rPr>
        <w:t>a</w:t>
      </w:r>
      <w:r w:rsidR="00961B02" w:rsidRPr="009014DC">
        <w:rPr>
          <w:rFonts w:asciiTheme="majorBidi" w:hAnsiTheme="majorBidi" w:cstheme="majorBidi"/>
          <w:sz w:val="24"/>
          <w:szCs w:val="24"/>
        </w:rPr>
        <w:t xml:space="preserve"> na base de dados </w:t>
      </w:r>
      <w:r w:rsidR="00A114AE" w:rsidRPr="009014DC">
        <w:rPr>
          <w:rFonts w:asciiTheme="majorBidi" w:hAnsiTheme="majorBidi" w:cstheme="majorBidi"/>
          <w:sz w:val="24"/>
          <w:szCs w:val="24"/>
        </w:rPr>
        <w:t xml:space="preserve">SciELO com o objetivo de analisar a ocorrência de sobrecarga circulatória associada a transfusão em pacientes com choque hemorrágico. A coleta dos dados foi </w:t>
      </w:r>
      <w:r w:rsidR="00E82C4B" w:rsidRPr="009014DC">
        <w:rPr>
          <w:rFonts w:asciiTheme="majorBidi" w:hAnsiTheme="majorBidi" w:cstheme="majorBidi"/>
          <w:sz w:val="24"/>
          <w:szCs w:val="24"/>
        </w:rPr>
        <w:t>feita</w:t>
      </w:r>
      <w:r w:rsidR="00A114AE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84194A" w:rsidRPr="009014DC">
        <w:rPr>
          <w:rFonts w:asciiTheme="majorBidi" w:hAnsiTheme="majorBidi" w:cstheme="majorBidi"/>
          <w:sz w:val="24"/>
          <w:szCs w:val="24"/>
        </w:rPr>
        <w:t>utilizand</w:t>
      </w:r>
      <w:r w:rsidR="00E82C4B" w:rsidRPr="009014DC">
        <w:rPr>
          <w:rFonts w:asciiTheme="majorBidi" w:hAnsiTheme="majorBidi" w:cstheme="majorBidi"/>
          <w:sz w:val="24"/>
          <w:szCs w:val="24"/>
        </w:rPr>
        <w:t>o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 descritores</w:t>
      </w:r>
      <w:r w:rsidR="00E658F4" w:rsidRPr="009014DC">
        <w:rPr>
          <w:rFonts w:asciiTheme="majorBidi" w:hAnsiTheme="majorBidi" w:cstheme="majorBidi"/>
          <w:sz w:val="24"/>
          <w:szCs w:val="24"/>
        </w:rPr>
        <w:t xml:space="preserve"> em saúde e operadores Booleanos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: </w:t>
      </w:r>
      <w:r w:rsidR="00E82C4B" w:rsidRPr="009014DC">
        <w:rPr>
          <w:rFonts w:asciiTheme="majorBidi" w:hAnsiTheme="majorBidi" w:cstheme="majorBidi"/>
          <w:sz w:val="24"/>
          <w:szCs w:val="24"/>
        </w:rPr>
        <w:t>“</w:t>
      </w:r>
      <w:r w:rsidR="0084194A" w:rsidRPr="009014DC">
        <w:rPr>
          <w:rFonts w:asciiTheme="majorBidi" w:hAnsiTheme="majorBidi" w:cstheme="majorBidi"/>
          <w:sz w:val="24"/>
          <w:szCs w:val="24"/>
        </w:rPr>
        <w:t>Transfusão Sanguínea</w:t>
      </w:r>
      <w:r w:rsidR="00E658F4" w:rsidRPr="009014DC">
        <w:rPr>
          <w:rFonts w:asciiTheme="majorBidi" w:hAnsiTheme="majorBidi" w:cstheme="majorBidi"/>
          <w:sz w:val="24"/>
          <w:szCs w:val="24"/>
        </w:rPr>
        <w:t xml:space="preserve"> AND </w:t>
      </w:r>
      <w:r w:rsidR="0084194A" w:rsidRPr="009014DC">
        <w:rPr>
          <w:rFonts w:asciiTheme="majorBidi" w:hAnsiTheme="majorBidi" w:cstheme="majorBidi"/>
          <w:sz w:val="24"/>
          <w:szCs w:val="24"/>
        </w:rPr>
        <w:t>Choque hemorrágico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 e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E82C4B" w:rsidRPr="009014DC">
        <w:rPr>
          <w:rFonts w:asciiTheme="majorBidi" w:hAnsiTheme="majorBidi" w:cstheme="majorBidi"/>
          <w:sz w:val="24"/>
          <w:szCs w:val="24"/>
        </w:rPr>
        <w:t>“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Reações Transfusionais </w:t>
      </w:r>
      <w:r w:rsidR="00E658F4" w:rsidRPr="009014DC">
        <w:rPr>
          <w:rFonts w:asciiTheme="majorBidi" w:hAnsiTheme="majorBidi" w:cstheme="majorBidi"/>
          <w:sz w:val="24"/>
          <w:szCs w:val="24"/>
        </w:rPr>
        <w:t>OR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 Sobrecarga Circulatória Associada à Transfusão</w:t>
      </w:r>
      <w:r w:rsidR="00E82C4B" w:rsidRPr="009014DC">
        <w:rPr>
          <w:rFonts w:asciiTheme="majorBidi" w:hAnsiTheme="majorBidi" w:cstheme="majorBidi"/>
          <w:sz w:val="24"/>
          <w:szCs w:val="24"/>
        </w:rPr>
        <w:t>”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. </w:t>
      </w:r>
      <w:r w:rsidR="00E82C4B" w:rsidRPr="009014DC">
        <w:rPr>
          <w:rFonts w:asciiTheme="majorBidi" w:hAnsiTheme="majorBidi" w:cstheme="majorBidi"/>
          <w:sz w:val="24"/>
          <w:szCs w:val="24"/>
        </w:rPr>
        <w:t>Entre os</w:t>
      </w:r>
      <w:r w:rsidR="0084194A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E658F4" w:rsidRPr="009014DC">
        <w:rPr>
          <w:rFonts w:asciiTheme="majorBidi" w:hAnsiTheme="majorBidi" w:cstheme="majorBidi"/>
          <w:sz w:val="24"/>
          <w:szCs w:val="24"/>
        </w:rPr>
        <w:t>27 artigos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 encontrados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, </w:t>
      </w:r>
      <w:r w:rsidR="00E658F4" w:rsidRPr="009014DC">
        <w:rPr>
          <w:rFonts w:asciiTheme="majorBidi" w:hAnsiTheme="majorBidi" w:cstheme="majorBidi"/>
          <w:sz w:val="24"/>
          <w:szCs w:val="24"/>
        </w:rPr>
        <w:t>5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 foram selecionados, sendo</w:t>
      </w:r>
      <w:r w:rsidR="00FE6CBD" w:rsidRPr="009014DC">
        <w:rPr>
          <w:rFonts w:asciiTheme="majorBidi" w:hAnsiTheme="majorBidi" w:cstheme="majorBidi"/>
          <w:sz w:val="24"/>
          <w:szCs w:val="24"/>
        </w:rPr>
        <w:t xml:space="preserve"> incluídos artigos completos em português e inglês relacionados ao tema e com metodologia de forte impacto (revisões sistemáticas, meta-análises, ensaios clínicos, estudos de coorte ou observacionais) e excluídos artigos incompletos, publicações redundantes e estudo de casos isolados</w:t>
      </w:r>
      <w:r w:rsidR="00ED629A" w:rsidRPr="009014DC">
        <w:rPr>
          <w:rFonts w:asciiTheme="majorBidi" w:hAnsiTheme="majorBidi" w:cstheme="majorBidi"/>
          <w:sz w:val="24"/>
          <w:szCs w:val="24"/>
        </w:rPr>
        <w:t>.</w:t>
      </w:r>
      <w:r w:rsidR="00A114AE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A114AE" w:rsidRPr="009014DC">
        <w:rPr>
          <w:rFonts w:asciiTheme="majorBidi" w:hAnsiTheme="majorBidi" w:cstheme="majorBidi"/>
          <w:b/>
          <w:sz w:val="24"/>
          <w:szCs w:val="24"/>
        </w:rPr>
        <w:t xml:space="preserve">Resultados e discussão: </w:t>
      </w:r>
      <w:r w:rsidR="005A01B9" w:rsidRPr="009014DC">
        <w:rPr>
          <w:rFonts w:asciiTheme="majorBidi" w:hAnsiTheme="majorBidi" w:cstheme="majorBidi"/>
          <w:sz w:val="24"/>
          <w:szCs w:val="24"/>
        </w:rPr>
        <w:t xml:space="preserve">O choque hemorrágico é um 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estado </w:t>
      </w:r>
      <w:r w:rsidR="005A01B9" w:rsidRPr="009014DC">
        <w:rPr>
          <w:rFonts w:asciiTheme="majorBidi" w:hAnsiTheme="majorBidi" w:cstheme="majorBidi"/>
          <w:sz w:val="24"/>
          <w:szCs w:val="24"/>
        </w:rPr>
        <w:t xml:space="preserve">de hipoperfusão generalizada </w:t>
      </w:r>
      <w:r w:rsidR="003764C9" w:rsidRPr="009014DC">
        <w:rPr>
          <w:rFonts w:asciiTheme="majorBidi" w:hAnsiTheme="majorBidi" w:cstheme="majorBidi"/>
          <w:sz w:val="24"/>
          <w:szCs w:val="24"/>
        </w:rPr>
        <w:t>de</w:t>
      </w:r>
      <w:r w:rsidR="00494C84" w:rsidRPr="009014DC">
        <w:rPr>
          <w:rFonts w:asciiTheme="majorBidi" w:hAnsiTheme="majorBidi" w:cstheme="majorBidi"/>
          <w:sz w:val="24"/>
          <w:szCs w:val="24"/>
        </w:rPr>
        <w:t>corrente</w:t>
      </w:r>
      <w:r w:rsidR="003764C9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494C84" w:rsidRPr="009014DC">
        <w:rPr>
          <w:rFonts w:asciiTheme="majorBidi" w:hAnsiTheme="majorBidi" w:cstheme="majorBidi"/>
          <w:sz w:val="24"/>
          <w:szCs w:val="24"/>
        </w:rPr>
        <w:t>de uma</w:t>
      </w:r>
      <w:r w:rsidR="005A01B9" w:rsidRPr="009014DC">
        <w:rPr>
          <w:rFonts w:asciiTheme="majorBidi" w:hAnsiTheme="majorBidi" w:cstheme="majorBidi"/>
          <w:sz w:val="24"/>
          <w:szCs w:val="24"/>
        </w:rPr>
        <w:t xml:space="preserve"> perda sanguínea. Nestes casos, a terapia transfusional está indicada a partir de uma perda volêmica igual ou maior que 30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%, </w:t>
      </w:r>
      <w:r w:rsidR="005A01B9" w:rsidRPr="009014DC">
        <w:rPr>
          <w:rFonts w:asciiTheme="majorBidi" w:hAnsiTheme="majorBidi" w:cstheme="majorBidi"/>
          <w:sz w:val="24"/>
          <w:szCs w:val="24"/>
        </w:rPr>
        <w:t>estimada a partir de parâmetros como: taquicardia, taquipneia,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 hipotensão, </w:t>
      </w:r>
      <w:r w:rsidR="005A01B9" w:rsidRPr="009014DC">
        <w:rPr>
          <w:rFonts w:asciiTheme="majorBidi" w:hAnsiTheme="majorBidi" w:cstheme="majorBidi"/>
          <w:sz w:val="24"/>
          <w:szCs w:val="24"/>
        </w:rPr>
        <w:t>diminuição do débito urinário, rebaixamento do nível de consciência, aumento no tempo de enchimento capila</w:t>
      </w:r>
      <w:r w:rsidR="00ED629A" w:rsidRPr="009014DC">
        <w:rPr>
          <w:rFonts w:asciiTheme="majorBidi" w:hAnsiTheme="majorBidi" w:cstheme="majorBidi"/>
          <w:sz w:val="24"/>
          <w:szCs w:val="24"/>
        </w:rPr>
        <w:t>r e outros sinais de hipoperfusão.</w:t>
      </w:r>
      <w:r w:rsidR="00E617D3">
        <w:rPr>
          <w:rFonts w:asciiTheme="majorBidi" w:hAnsiTheme="majorBidi" w:cstheme="majorBidi"/>
          <w:sz w:val="24"/>
          <w:szCs w:val="24"/>
        </w:rPr>
        <w:t xml:space="preserve"> Nesse sentido, idosos, crianças e cardiopatas apresentam fator de maior risco, uma vez que sua capacidade de adaptação é inferior, necessitando de maior vigilância e cuidado. </w:t>
      </w:r>
      <w:r w:rsidR="005A01B9" w:rsidRPr="009014DC">
        <w:rPr>
          <w:rFonts w:asciiTheme="majorBidi" w:hAnsiTheme="majorBidi" w:cstheme="majorBidi"/>
          <w:sz w:val="24"/>
          <w:szCs w:val="24"/>
        </w:rPr>
        <w:t xml:space="preserve">Todavia, </w:t>
      </w:r>
      <w:r w:rsidR="00E82C4B" w:rsidRPr="009014DC">
        <w:rPr>
          <w:rFonts w:asciiTheme="majorBidi" w:hAnsiTheme="majorBidi" w:cstheme="majorBidi"/>
          <w:sz w:val="24"/>
          <w:szCs w:val="24"/>
        </w:rPr>
        <w:t xml:space="preserve">como a perda é </w:t>
      </w:r>
      <w:r w:rsidR="00BA5C41" w:rsidRPr="009014DC">
        <w:rPr>
          <w:rFonts w:asciiTheme="majorBidi" w:hAnsiTheme="majorBidi" w:cstheme="majorBidi"/>
          <w:sz w:val="24"/>
          <w:szCs w:val="24"/>
        </w:rPr>
        <w:t>uma estimativa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, </w:t>
      </w:r>
      <w:r w:rsidR="00E82C4B" w:rsidRPr="009014DC">
        <w:rPr>
          <w:rFonts w:asciiTheme="majorBidi" w:hAnsiTheme="majorBidi" w:cstheme="majorBidi"/>
          <w:sz w:val="24"/>
          <w:szCs w:val="24"/>
        </w:rPr>
        <w:t>é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 necessário </w:t>
      </w:r>
      <w:r w:rsidR="005A01B9" w:rsidRPr="009014DC">
        <w:rPr>
          <w:rFonts w:asciiTheme="majorBidi" w:hAnsiTheme="majorBidi" w:cstheme="majorBidi"/>
          <w:sz w:val="24"/>
          <w:szCs w:val="24"/>
        </w:rPr>
        <w:t>cautela no momento da transfusão</w:t>
      </w:r>
      <w:r w:rsidR="00785128" w:rsidRPr="009014DC">
        <w:rPr>
          <w:rFonts w:asciiTheme="majorBidi" w:hAnsiTheme="majorBidi" w:cstheme="majorBidi"/>
          <w:sz w:val="24"/>
          <w:szCs w:val="24"/>
        </w:rPr>
        <w:t xml:space="preserve"> e monitoramento 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rigoroso </w:t>
      </w:r>
      <w:r w:rsidR="00785128" w:rsidRPr="009014DC">
        <w:rPr>
          <w:rFonts w:asciiTheme="majorBidi" w:hAnsiTheme="majorBidi" w:cstheme="majorBidi"/>
          <w:sz w:val="24"/>
          <w:szCs w:val="24"/>
        </w:rPr>
        <w:t>da resposta do receptor.</w:t>
      </w:r>
      <w:r w:rsidR="00FE6CBD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ED629A" w:rsidRPr="009014DC">
        <w:rPr>
          <w:rFonts w:asciiTheme="majorBidi" w:hAnsiTheme="majorBidi" w:cstheme="majorBidi"/>
          <w:sz w:val="24"/>
          <w:szCs w:val="24"/>
        </w:rPr>
        <w:t>É</w:t>
      </w:r>
      <w:r w:rsidR="00BA5C41" w:rsidRPr="009014DC">
        <w:rPr>
          <w:rFonts w:asciiTheme="majorBidi" w:hAnsiTheme="majorBidi" w:cstheme="majorBidi"/>
          <w:sz w:val="24"/>
          <w:szCs w:val="24"/>
        </w:rPr>
        <w:t xml:space="preserve"> preciso</w:t>
      </w:r>
      <w:r w:rsidR="00FE6CBD" w:rsidRPr="009014DC">
        <w:rPr>
          <w:rFonts w:asciiTheme="majorBidi" w:hAnsiTheme="majorBidi" w:cstheme="majorBidi"/>
          <w:sz w:val="24"/>
          <w:szCs w:val="24"/>
        </w:rPr>
        <w:t xml:space="preserve"> a confirmação da necessidade de transfusão e </w:t>
      </w:r>
      <w:r w:rsidR="00B011C9">
        <w:rPr>
          <w:rFonts w:asciiTheme="majorBidi" w:hAnsiTheme="majorBidi" w:cstheme="majorBidi"/>
          <w:sz w:val="24"/>
          <w:szCs w:val="24"/>
        </w:rPr>
        <w:t>verificação</w:t>
      </w:r>
      <w:r w:rsidR="00FE6CBD" w:rsidRPr="009014DC">
        <w:rPr>
          <w:rFonts w:asciiTheme="majorBidi" w:hAnsiTheme="majorBidi" w:cstheme="majorBidi"/>
          <w:sz w:val="24"/>
          <w:szCs w:val="24"/>
        </w:rPr>
        <w:t xml:space="preserve"> frequente de sinais vitais e sintomas associados. Na ocorrência de sinais insuficiência cardíaca </w:t>
      </w:r>
      <w:r w:rsidR="00CF5DC9" w:rsidRPr="009014DC">
        <w:rPr>
          <w:rFonts w:asciiTheme="majorBidi" w:hAnsiTheme="majorBidi" w:cstheme="majorBidi"/>
          <w:sz w:val="24"/>
          <w:szCs w:val="24"/>
        </w:rPr>
        <w:t>(como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FE6CBD" w:rsidRPr="009014DC">
        <w:rPr>
          <w:rFonts w:asciiTheme="majorBidi" w:hAnsiTheme="majorBidi" w:cstheme="majorBidi"/>
          <w:sz w:val="24"/>
          <w:szCs w:val="24"/>
        </w:rPr>
        <w:t>dispneia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 e</w:t>
      </w:r>
      <w:r w:rsidR="00FE6CBD" w:rsidRPr="009014DC">
        <w:rPr>
          <w:rFonts w:asciiTheme="majorBidi" w:hAnsiTheme="majorBidi" w:cstheme="majorBidi"/>
          <w:sz w:val="24"/>
          <w:szCs w:val="24"/>
        </w:rPr>
        <w:t xml:space="preserve"> estertores) a transfusão deve ser suspensa</w:t>
      </w:r>
      <w:r w:rsidR="00B011C9">
        <w:rPr>
          <w:rFonts w:asciiTheme="majorBidi" w:hAnsiTheme="majorBidi" w:cstheme="majorBidi"/>
          <w:sz w:val="24"/>
          <w:szCs w:val="24"/>
        </w:rPr>
        <w:t>, uma vez que as chances de edema agudo de pulmão são grandes.</w:t>
      </w:r>
      <w:r w:rsidR="00785128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ED629A" w:rsidRPr="009014DC">
        <w:rPr>
          <w:rFonts w:asciiTheme="majorBidi" w:hAnsiTheme="majorBidi" w:cstheme="majorBidi"/>
          <w:sz w:val="24"/>
          <w:szCs w:val="24"/>
        </w:rPr>
        <w:t>Dessa forma</w:t>
      </w:r>
      <w:r w:rsidR="00785128" w:rsidRPr="009014DC">
        <w:rPr>
          <w:rFonts w:asciiTheme="majorBidi" w:hAnsiTheme="majorBidi" w:cstheme="majorBidi"/>
          <w:sz w:val="24"/>
          <w:szCs w:val="24"/>
        </w:rPr>
        <w:t xml:space="preserve">, a descrição incorreta da </w:t>
      </w:r>
      <w:r w:rsidR="003764C9" w:rsidRPr="009014DC">
        <w:rPr>
          <w:rFonts w:asciiTheme="majorBidi" w:hAnsiTheme="majorBidi" w:cstheme="majorBidi"/>
          <w:sz w:val="24"/>
          <w:szCs w:val="24"/>
        </w:rPr>
        <w:t>transfusão</w:t>
      </w:r>
      <w:r w:rsidR="00785128" w:rsidRPr="009014DC">
        <w:rPr>
          <w:rFonts w:asciiTheme="majorBidi" w:hAnsiTheme="majorBidi" w:cstheme="majorBidi"/>
          <w:sz w:val="24"/>
          <w:szCs w:val="24"/>
        </w:rPr>
        <w:t xml:space="preserve"> no prontuário do paciente, pode leva</w:t>
      </w:r>
      <w:r w:rsidR="00494C84" w:rsidRPr="009014DC">
        <w:rPr>
          <w:rFonts w:asciiTheme="majorBidi" w:hAnsiTheme="majorBidi" w:cstheme="majorBidi"/>
          <w:sz w:val="24"/>
          <w:szCs w:val="24"/>
        </w:rPr>
        <w:t>r</w:t>
      </w:r>
      <w:r w:rsidR="00785128" w:rsidRPr="009014DC">
        <w:rPr>
          <w:rFonts w:asciiTheme="majorBidi" w:hAnsiTheme="majorBidi" w:cstheme="majorBidi"/>
          <w:sz w:val="24"/>
          <w:szCs w:val="24"/>
        </w:rPr>
        <w:t xml:space="preserve"> a uma reposição excessiva e à sobrecarga circulatória. A</w:t>
      </w:r>
      <w:r w:rsidR="00494C84" w:rsidRPr="009014DC">
        <w:rPr>
          <w:rFonts w:asciiTheme="majorBidi" w:hAnsiTheme="majorBidi" w:cstheme="majorBidi"/>
          <w:sz w:val="24"/>
          <w:szCs w:val="24"/>
        </w:rPr>
        <w:t>demais</w:t>
      </w:r>
      <w:r w:rsidR="00785128" w:rsidRPr="009014DC">
        <w:rPr>
          <w:rFonts w:asciiTheme="majorBidi" w:hAnsiTheme="majorBidi" w:cstheme="majorBidi"/>
          <w:sz w:val="24"/>
          <w:szCs w:val="24"/>
        </w:rPr>
        <w:t>, o uso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ED629A" w:rsidRPr="009014DC">
        <w:rPr>
          <w:rFonts w:asciiTheme="majorBidi" w:hAnsiTheme="majorBidi" w:cstheme="majorBidi"/>
          <w:sz w:val="24"/>
          <w:szCs w:val="24"/>
        </w:rPr>
        <w:t>do critério adequado para transfusão é essencial na prevenção dessa problemática</w:t>
      </w:r>
      <w:r w:rsidR="00785128" w:rsidRPr="009014DC">
        <w:rPr>
          <w:rFonts w:asciiTheme="majorBidi" w:hAnsiTheme="majorBidi" w:cstheme="majorBidi"/>
          <w:sz w:val="24"/>
          <w:szCs w:val="24"/>
        </w:rPr>
        <w:t>.</w:t>
      </w:r>
      <w:r w:rsidR="00494C84" w:rsidRPr="009014DC">
        <w:rPr>
          <w:rFonts w:asciiTheme="majorBidi" w:hAnsiTheme="majorBidi" w:cstheme="majorBidi"/>
          <w:sz w:val="24"/>
          <w:szCs w:val="24"/>
        </w:rPr>
        <w:t xml:space="preserve"> Nesse cenário é fundamental o reconhecimento precoce dos sinais e sintomas da sobrecarga. </w:t>
      </w:r>
      <w:r w:rsidR="00785128" w:rsidRPr="009014DC">
        <w:rPr>
          <w:rFonts w:asciiTheme="majorBidi" w:hAnsiTheme="majorBidi" w:cstheme="majorBidi"/>
          <w:b/>
          <w:sz w:val="24"/>
          <w:szCs w:val="24"/>
        </w:rPr>
        <w:t xml:space="preserve">Considerações Finais: </w:t>
      </w:r>
      <w:r w:rsidR="005A01B9" w:rsidRPr="009014DC">
        <w:rPr>
          <w:rFonts w:asciiTheme="majorBidi" w:hAnsiTheme="majorBidi" w:cstheme="majorBidi"/>
          <w:sz w:val="24"/>
          <w:szCs w:val="24"/>
        </w:rPr>
        <w:t xml:space="preserve"> </w:t>
      </w:r>
      <w:r w:rsidR="00BA5C41" w:rsidRPr="009014DC">
        <w:rPr>
          <w:rFonts w:asciiTheme="majorBidi" w:hAnsiTheme="majorBidi" w:cstheme="majorBidi"/>
          <w:sz w:val="24"/>
          <w:szCs w:val="24"/>
        </w:rPr>
        <w:t>Conclui-se que a terapia transfusional é vital no tratamento de choque hemorrágico, mas a sobrecarga circulatória constitui um risco relevante</w:t>
      </w:r>
      <w:r w:rsidR="00494C84" w:rsidRPr="009014DC">
        <w:rPr>
          <w:rFonts w:asciiTheme="majorBidi" w:hAnsiTheme="majorBidi" w:cstheme="majorBidi"/>
          <w:sz w:val="24"/>
          <w:szCs w:val="24"/>
        </w:rPr>
        <w:t>.</w:t>
      </w:r>
      <w:r w:rsidR="003764C9" w:rsidRPr="009014DC">
        <w:rPr>
          <w:rFonts w:asciiTheme="majorBidi" w:hAnsiTheme="majorBidi" w:cstheme="majorBidi"/>
          <w:sz w:val="24"/>
          <w:szCs w:val="24"/>
        </w:rPr>
        <w:t xml:space="preserve"> O monitoramento contínuo e criterioso dos sinais</w:t>
      </w:r>
      <w:r w:rsidR="00ED629A" w:rsidRPr="009014DC">
        <w:rPr>
          <w:rFonts w:asciiTheme="majorBidi" w:hAnsiTheme="majorBidi" w:cstheme="majorBidi"/>
          <w:sz w:val="24"/>
          <w:szCs w:val="24"/>
        </w:rPr>
        <w:t xml:space="preserve"> vitais e</w:t>
      </w:r>
      <w:r w:rsidR="003764C9" w:rsidRPr="009014DC">
        <w:rPr>
          <w:rFonts w:asciiTheme="majorBidi" w:hAnsiTheme="majorBidi" w:cstheme="majorBidi"/>
          <w:sz w:val="24"/>
          <w:szCs w:val="24"/>
        </w:rPr>
        <w:t xml:space="preserve"> de hipoperfusão,</w:t>
      </w:r>
      <w:r w:rsidR="00E617D3">
        <w:rPr>
          <w:rFonts w:asciiTheme="majorBidi" w:hAnsiTheme="majorBidi" w:cstheme="majorBidi"/>
          <w:sz w:val="24"/>
          <w:szCs w:val="24"/>
        </w:rPr>
        <w:t xml:space="preserve"> principalmente em </w:t>
      </w:r>
      <w:r w:rsidR="00E617D3">
        <w:rPr>
          <w:rFonts w:asciiTheme="majorBidi" w:hAnsiTheme="majorBidi" w:cstheme="majorBidi"/>
          <w:sz w:val="24"/>
          <w:szCs w:val="24"/>
        </w:rPr>
        <w:lastRenderedPageBreak/>
        <w:t>grupos de maior risco,</w:t>
      </w:r>
      <w:r w:rsidR="003764C9" w:rsidRPr="009014DC">
        <w:rPr>
          <w:rFonts w:asciiTheme="majorBidi" w:hAnsiTheme="majorBidi" w:cstheme="majorBidi"/>
          <w:sz w:val="24"/>
          <w:szCs w:val="24"/>
        </w:rPr>
        <w:t xml:space="preserve"> bem como o registro adequado das condutas tomadas e o reconhecimento precoce de reações adversas é essencial para prevenir complicações nesses pacientes. </w:t>
      </w:r>
    </w:p>
    <w:p w14:paraId="054DD4D4" w14:textId="2AA46640" w:rsidR="00A114AE" w:rsidRPr="009014DC" w:rsidRDefault="00A114AE" w:rsidP="009014D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14DC">
        <w:rPr>
          <w:rFonts w:asciiTheme="majorBidi" w:hAnsiTheme="majorBidi" w:cstheme="majorBidi"/>
          <w:b/>
          <w:sz w:val="24"/>
          <w:szCs w:val="24"/>
        </w:rPr>
        <w:t xml:space="preserve">PALAVRAS CHAVE: </w:t>
      </w:r>
      <w:r w:rsidRPr="009014DC">
        <w:rPr>
          <w:rFonts w:asciiTheme="majorBidi" w:hAnsiTheme="majorBidi" w:cstheme="majorBidi"/>
          <w:sz w:val="24"/>
          <w:szCs w:val="24"/>
        </w:rPr>
        <w:t>Choque hemorrágico; Sobrecarga circulatória associada à transfusão; transfusão sanguínea.</w:t>
      </w:r>
    </w:p>
    <w:p w14:paraId="3A990FF4" w14:textId="0F926E64" w:rsidR="00A114AE" w:rsidRPr="009014DC" w:rsidRDefault="00A114AE" w:rsidP="009014DC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014DC">
        <w:rPr>
          <w:rFonts w:asciiTheme="majorBidi" w:hAnsiTheme="majorBidi" w:cstheme="majorBidi"/>
          <w:b/>
          <w:sz w:val="24"/>
          <w:szCs w:val="24"/>
        </w:rPr>
        <w:t xml:space="preserve">REFERÊNCIAS: </w:t>
      </w:r>
    </w:p>
    <w:p w14:paraId="17BB77A0" w14:textId="118E0060" w:rsidR="00286821" w:rsidRPr="009014DC" w:rsidRDefault="00286821" w:rsidP="009014D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9014DC">
        <w:rPr>
          <w:rFonts w:asciiTheme="majorBidi" w:hAnsiTheme="majorBidi" w:cstheme="majorBidi"/>
          <w:color w:val="000000"/>
        </w:rPr>
        <w:t xml:space="preserve">BARRETTI, P.; DELGADO, A. G. </w:t>
      </w:r>
      <w:proofErr w:type="spellStart"/>
      <w:r w:rsidRPr="009014DC">
        <w:rPr>
          <w:rFonts w:asciiTheme="majorBidi" w:hAnsiTheme="majorBidi" w:cstheme="majorBidi"/>
          <w:color w:val="000000"/>
        </w:rPr>
        <w:t>Transfusion</w:t>
      </w:r>
      <w:proofErr w:type="spellEnd"/>
      <w:r w:rsidRPr="009014DC">
        <w:rPr>
          <w:rFonts w:asciiTheme="majorBidi" w:hAnsiTheme="majorBidi" w:cstheme="majorBidi"/>
          <w:color w:val="000000"/>
        </w:rPr>
        <w:t>. Jornal Brasileiro de Nefrologia, v. 36, n. 1, 2014.</w:t>
      </w:r>
    </w:p>
    <w:p w14:paraId="548BE793" w14:textId="77777777" w:rsidR="00286821" w:rsidRPr="009014DC" w:rsidRDefault="00286821" w:rsidP="009014DC">
      <w:pPr>
        <w:pStyle w:val="NormalWeb"/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</w:rPr>
      </w:pPr>
      <w:r w:rsidRPr="009014DC">
        <w:rPr>
          <w:rFonts w:asciiTheme="majorBidi" w:hAnsiTheme="majorBidi" w:cstheme="majorBidi"/>
          <w:color w:val="000000"/>
          <w:lang w:val="en-US"/>
        </w:rPr>
        <w:t xml:space="preserve">‌GRANDI, J. L. et al. </w:t>
      </w:r>
      <w:proofErr w:type="spellStart"/>
      <w:r w:rsidRPr="009014DC">
        <w:rPr>
          <w:rFonts w:asciiTheme="majorBidi" w:hAnsiTheme="majorBidi" w:cstheme="majorBidi"/>
          <w:color w:val="000000"/>
        </w:rPr>
        <w:t>Hemovigilância</w:t>
      </w:r>
      <w:proofErr w:type="spellEnd"/>
      <w:r w:rsidRPr="009014DC">
        <w:rPr>
          <w:rFonts w:asciiTheme="majorBidi" w:hAnsiTheme="majorBidi" w:cstheme="majorBidi"/>
          <w:color w:val="000000"/>
        </w:rPr>
        <w:t xml:space="preserve">: </w:t>
      </w:r>
      <w:proofErr w:type="gramStart"/>
      <w:r w:rsidRPr="009014DC">
        <w:rPr>
          <w:rFonts w:asciiTheme="majorBidi" w:hAnsiTheme="majorBidi" w:cstheme="majorBidi"/>
          <w:color w:val="000000"/>
        </w:rPr>
        <w:t>a</w:t>
      </w:r>
      <w:proofErr w:type="gramEnd"/>
      <w:r w:rsidRPr="009014DC">
        <w:rPr>
          <w:rFonts w:asciiTheme="majorBidi" w:hAnsiTheme="majorBidi" w:cstheme="majorBidi"/>
          <w:color w:val="000000"/>
        </w:rPr>
        <w:t xml:space="preserve"> experiência da notificação de reações transfusionais em Hospital Universitário. Revista da Escola de Enfermagem da USP, v. 52, n. 0, 28 jun. 2018.</w:t>
      </w:r>
    </w:p>
    <w:p w14:paraId="064856F6" w14:textId="77777777" w:rsidR="00286821" w:rsidRPr="009014DC" w:rsidRDefault="00286821" w:rsidP="009014D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9014DC">
        <w:rPr>
          <w:rFonts w:asciiTheme="majorBidi" w:hAnsiTheme="majorBidi" w:cstheme="majorBidi"/>
          <w:color w:val="000000"/>
          <w:lang w:val="en-US"/>
        </w:rPr>
        <w:t xml:space="preserve">GRANDI, J. L. et al. </w:t>
      </w:r>
      <w:r w:rsidRPr="009014DC">
        <w:rPr>
          <w:rFonts w:asciiTheme="majorBidi" w:hAnsiTheme="majorBidi" w:cstheme="majorBidi"/>
          <w:color w:val="000000"/>
        </w:rPr>
        <w:t>Incidentes transfusionais imediatos notificados em crianças e adolescentes. Acta Paulista de Enfermagem, v. 36, 6 fev. 2023.</w:t>
      </w:r>
    </w:p>
    <w:p w14:paraId="784B7707" w14:textId="0D6C8874" w:rsidR="00A114AE" w:rsidRPr="009014DC" w:rsidRDefault="00A114AE" w:rsidP="009014D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14DC">
        <w:rPr>
          <w:rFonts w:asciiTheme="majorBidi" w:hAnsiTheme="majorBidi" w:cstheme="majorBidi"/>
          <w:sz w:val="24"/>
          <w:szCs w:val="24"/>
          <w:lang w:val="en-US"/>
        </w:rPr>
        <w:t xml:space="preserve">JAURES, M. et al. Bleeding management after implementation of the Hemorrhage Code (Code H) at the Hospital </w:t>
      </w:r>
      <w:proofErr w:type="spellStart"/>
      <w:r w:rsidRPr="009014DC">
        <w:rPr>
          <w:rFonts w:asciiTheme="majorBidi" w:hAnsiTheme="majorBidi" w:cstheme="majorBidi"/>
          <w:sz w:val="24"/>
          <w:szCs w:val="24"/>
          <w:lang w:val="en-US"/>
        </w:rPr>
        <w:t>Israelita</w:t>
      </w:r>
      <w:proofErr w:type="spellEnd"/>
      <w:r w:rsidRPr="009014DC">
        <w:rPr>
          <w:rFonts w:asciiTheme="majorBidi" w:hAnsiTheme="majorBidi" w:cstheme="majorBidi"/>
          <w:sz w:val="24"/>
          <w:szCs w:val="24"/>
          <w:lang w:val="en-US"/>
        </w:rPr>
        <w:t xml:space="preserve"> Albert Einstein, São Paulo, Brazil. Einstein (São Paulo), v. 18, 2020.</w:t>
      </w:r>
    </w:p>
    <w:p w14:paraId="6B23D1FB" w14:textId="7301216F" w:rsidR="00286821" w:rsidRDefault="00286821" w:rsidP="009014D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14DC">
        <w:rPr>
          <w:rFonts w:asciiTheme="majorBidi" w:hAnsiTheme="majorBidi" w:cstheme="majorBidi"/>
          <w:color w:val="000000"/>
          <w:sz w:val="24"/>
          <w:szCs w:val="24"/>
          <w:lang w:val="en-US"/>
        </w:rPr>
        <w:t>SOBRAL, P. A. DOS S.; GÖTTEMS, L. B. D.; SANTANA, L. A. Hemovigilance and patient safety: analysis of immediate transfusion reactions in elderly. </w:t>
      </w:r>
      <w:r w:rsidRPr="009014DC">
        <w:rPr>
          <w:rFonts w:asciiTheme="majorBidi" w:hAnsiTheme="majorBidi" w:cstheme="majorBidi"/>
          <w:color w:val="000000"/>
          <w:sz w:val="24"/>
          <w:szCs w:val="24"/>
        </w:rPr>
        <w:t xml:space="preserve">Revista Brasileira de Enfermagem, v. 73, n. </w:t>
      </w:r>
      <w:proofErr w:type="spellStart"/>
      <w:r w:rsidRPr="009014DC">
        <w:rPr>
          <w:rFonts w:asciiTheme="majorBidi" w:hAnsiTheme="majorBidi" w:cstheme="majorBidi"/>
          <w:color w:val="000000"/>
          <w:sz w:val="24"/>
          <w:szCs w:val="24"/>
        </w:rPr>
        <w:t>suppl</w:t>
      </w:r>
      <w:proofErr w:type="spellEnd"/>
      <w:r w:rsidRPr="009014DC">
        <w:rPr>
          <w:rFonts w:asciiTheme="majorBidi" w:hAnsiTheme="majorBidi" w:cstheme="majorBidi"/>
          <w:color w:val="000000"/>
          <w:sz w:val="24"/>
          <w:szCs w:val="24"/>
        </w:rPr>
        <w:t xml:space="preserve"> 3, 2020.</w:t>
      </w:r>
    </w:p>
    <w:p w14:paraId="5C3A3C6B" w14:textId="77777777" w:rsidR="009014DC" w:rsidRPr="009014DC" w:rsidRDefault="009014DC" w:rsidP="009014DC">
      <w:pPr>
        <w:pStyle w:val="PargrafodaLista"/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B8A3D9A" w14:textId="2667BE5E" w:rsidR="00BC1EFE" w:rsidRPr="00E617D3" w:rsidRDefault="009014DC" w:rsidP="009014D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617D3">
        <w:rPr>
          <w:rFonts w:asciiTheme="majorBidi" w:hAnsiTheme="majorBidi" w:cstheme="majorBidi"/>
          <w:sz w:val="24"/>
          <w:szCs w:val="24"/>
        </w:rPr>
        <w:t xml:space="preserve">¹ Medicina, acadêmica da Escola Superior de Ciências da Saúde, Brasília, Distrito federal, </w:t>
      </w:r>
      <w:hyperlink r:id="rId7" w:history="1">
        <w:r w:rsidRPr="00E617D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bruna-domingues@escs.edu.br</w:t>
        </w:r>
      </w:hyperlink>
    </w:p>
    <w:p w14:paraId="6D73288A" w14:textId="4A7FF709" w:rsidR="009014DC" w:rsidRPr="00E617D3" w:rsidRDefault="009014DC" w:rsidP="009014D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617D3">
        <w:rPr>
          <w:rFonts w:asciiTheme="majorBidi" w:hAnsiTheme="majorBidi" w:cstheme="majorBidi"/>
          <w:sz w:val="24"/>
          <w:szCs w:val="24"/>
        </w:rPr>
        <w:t xml:space="preserve">² Medicina, professora da Escola Superior de Ciências da Saúde, Centro universitário de Brasília e servidora pública da Secretaria de Estado de Saúde do Distrito Federal, </w:t>
      </w:r>
      <w:hyperlink r:id="rId8" w:history="1">
        <w:r w:rsidR="00B011C9" w:rsidRPr="00E617D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dralilian.dra@gmail.com</w:t>
        </w:r>
      </w:hyperlink>
      <w:r w:rsidR="00B011C9" w:rsidRPr="00E617D3">
        <w:rPr>
          <w:rFonts w:asciiTheme="majorBidi" w:hAnsiTheme="majorBidi" w:cstheme="majorBidi"/>
          <w:sz w:val="24"/>
          <w:szCs w:val="24"/>
        </w:rPr>
        <w:t xml:space="preserve"> </w:t>
      </w:r>
    </w:p>
    <w:p w14:paraId="5DDDAB4B" w14:textId="77777777" w:rsidR="009014DC" w:rsidRPr="00961B02" w:rsidRDefault="009014DC" w:rsidP="009014DC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sectPr w:rsidR="009014DC" w:rsidRPr="00961B02" w:rsidSect="00B011C9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9366" w14:textId="77777777" w:rsidR="00FB0436" w:rsidRDefault="00FB0436" w:rsidP="00B011C9">
      <w:pPr>
        <w:spacing w:after="0" w:line="240" w:lineRule="auto"/>
      </w:pPr>
      <w:r>
        <w:separator/>
      </w:r>
    </w:p>
  </w:endnote>
  <w:endnote w:type="continuationSeparator" w:id="0">
    <w:p w14:paraId="5E9F53C2" w14:textId="77777777" w:rsidR="00FB0436" w:rsidRDefault="00FB0436" w:rsidP="00B0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E55BE" w14:textId="77777777" w:rsidR="00FB0436" w:rsidRDefault="00FB0436" w:rsidP="00B011C9">
      <w:pPr>
        <w:spacing w:after="0" w:line="240" w:lineRule="auto"/>
      </w:pPr>
      <w:r>
        <w:separator/>
      </w:r>
    </w:p>
  </w:footnote>
  <w:footnote w:type="continuationSeparator" w:id="0">
    <w:p w14:paraId="5C214205" w14:textId="77777777" w:rsidR="00FB0436" w:rsidRDefault="00FB0436" w:rsidP="00B0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AC51" w14:textId="26C4100B" w:rsidR="00B011C9" w:rsidRPr="00B011C9" w:rsidRDefault="00B011C9" w:rsidP="00B011C9">
    <w:pPr>
      <w:pStyle w:val="Cabealho"/>
    </w:pPr>
    <w:r w:rsidRPr="00B011C9">
      <w:drawing>
        <wp:anchor distT="0" distB="0" distL="114300" distR="114300" simplePos="0" relativeHeight="251659264" behindDoc="0" locked="0" layoutInCell="1" allowOverlap="1" wp14:anchorId="57E22F39" wp14:editId="1DD8F1E1">
          <wp:simplePos x="0" y="0"/>
          <wp:positionH relativeFrom="margin">
            <wp:posOffset>-12700</wp:posOffset>
          </wp:positionH>
          <wp:positionV relativeFrom="paragraph">
            <wp:posOffset>-297815</wp:posOffset>
          </wp:positionV>
          <wp:extent cx="1012825" cy="1235075"/>
          <wp:effectExtent l="0" t="0" r="0" b="3175"/>
          <wp:wrapTopAndBottom/>
          <wp:docPr id="130581287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1C9">
      <w:drawing>
        <wp:anchor distT="0" distB="0" distL="114300" distR="114300" simplePos="0" relativeHeight="251660288" behindDoc="0" locked="0" layoutInCell="1" allowOverlap="1" wp14:anchorId="1B3A74C7" wp14:editId="5F727548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38857356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C7423" w14:textId="77777777" w:rsidR="00B011C9" w:rsidRPr="00B011C9" w:rsidRDefault="00B011C9" w:rsidP="00B011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91E"/>
    <w:multiLevelType w:val="hybridMultilevel"/>
    <w:tmpl w:val="C8B44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772D"/>
    <w:multiLevelType w:val="multilevel"/>
    <w:tmpl w:val="04160021"/>
    <w:styleLink w:val="Estilo1-brun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1068" w:hanging="360"/>
      </w:pPr>
      <w:rPr>
        <w:rFonts w:ascii="Sitka Text Semibold" w:hAnsi="Sitka Text Semibold" w:hint="default"/>
      </w:rPr>
    </w:lvl>
    <w:lvl w:ilvl="2">
      <w:start w:val="1"/>
      <w:numFmt w:val="upperRoman"/>
      <w:lvlText w:val="%3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46308134">
    <w:abstractNumId w:val="1"/>
  </w:num>
  <w:num w:numId="2" w16cid:durableId="109905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FE"/>
    <w:rsid w:val="00286821"/>
    <w:rsid w:val="003764C9"/>
    <w:rsid w:val="003F63A4"/>
    <w:rsid w:val="00456BC6"/>
    <w:rsid w:val="00494C84"/>
    <w:rsid w:val="005A01B9"/>
    <w:rsid w:val="005F1E59"/>
    <w:rsid w:val="006F233F"/>
    <w:rsid w:val="0072498A"/>
    <w:rsid w:val="00785128"/>
    <w:rsid w:val="0084194A"/>
    <w:rsid w:val="00872A4D"/>
    <w:rsid w:val="008A108C"/>
    <w:rsid w:val="009014DC"/>
    <w:rsid w:val="00961B02"/>
    <w:rsid w:val="00A114AE"/>
    <w:rsid w:val="00A62A10"/>
    <w:rsid w:val="00B011C9"/>
    <w:rsid w:val="00B23F3F"/>
    <w:rsid w:val="00BA5C41"/>
    <w:rsid w:val="00BB6BFB"/>
    <w:rsid w:val="00BC1EFE"/>
    <w:rsid w:val="00BD2E5E"/>
    <w:rsid w:val="00C16E0C"/>
    <w:rsid w:val="00C65EB5"/>
    <w:rsid w:val="00CF5DC9"/>
    <w:rsid w:val="00E55798"/>
    <w:rsid w:val="00E617D3"/>
    <w:rsid w:val="00E658F4"/>
    <w:rsid w:val="00E82C4B"/>
    <w:rsid w:val="00ED629A"/>
    <w:rsid w:val="00FB0436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68D9"/>
  <w15:chartTrackingRefBased/>
  <w15:docId w15:val="{9EE79719-B7FA-4D87-8AE6-C1FFA9D3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8A"/>
  </w:style>
  <w:style w:type="paragraph" w:styleId="Ttulo1">
    <w:name w:val="heading 1"/>
    <w:basedOn w:val="Normal"/>
    <w:next w:val="Normal"/>
    <w:link w:val="Ttulo1Char"/>
    <w:uiPriority w:val="9"/>
    <w:qFormat/>
    <w:rsid w:val="007249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7200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9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9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9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9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9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9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9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9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98A"/>
    <w:rPr>
      <w:rFonts w:asciiTheme="majorHAnsi" w:eastAsiaTheme="majorEastAsia" w:hAnsiTheme="majorHAnsi" w:cstheme="majorBidi"/>
      <w:color w:val="007200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9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9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9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9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9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9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9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9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249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2498A"/>
    <w:pPr>
      <w:pBdr>
        <w:top w:val="single" w:sz="6" w:space="8" w:color="008000" w:themeColor="accent3"/>
        <w:bottom w:val="single" w:sz="6" w:space="8" w:color="0080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249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9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98A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72498A"/>
    <w:rPr>
      <w:b/>
      <w:bCs/>
    </w:rPr>
  </w:style>
  <w:style w:type="character" w:styleId="nfase">
    <w:name w:val="Emphasis"/>
    <w:basedOn w:val="Fontepargpadro"/>
    <w:uiPriority w:val="20"/>
    <w:qFormat/>
    <w:rsid w:val="0072498A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7249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2498A"/>
    <w:pPr>
      <w:spacing w:before="160"/>
      <w:ind w:left="720" w:right="720"/>
      <w:jc w:val="center"/>
    </w:pPr>
    <w:rPr>
      <w:i/>
      <w:iCs/>
      <w:color w:val="005F00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2498A"/>
    <w:rPr>
      <w:i/>
      <w:iCs/>
      <w:color w:val="005F00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9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7200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98A"/>
    <w:rPr>
      <w:rFonts w:asciiTheme="majorHAnsi" w:eastAsiaTheme="majorEastAsia" w:hAnsiTheme="majorHAnsi" w:cstheme="majorBidi"/>
      <w:caps/>
      <w:color w:val="007200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249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249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249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249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7249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498A"/>
    <w:pPr>
      <w:outlineLvl w:val="9"/>
    </w:pPr>
  </w:style>
  <w:style w:type="numbering" w:customStyle="1" w:styleId="Estilo1-bruna">
    <w:name w:val="Estilo1 - bruna"/>
    <w:uiPriority w:val="99"/>
    <w:rsid w:val="00C65EB5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A114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14DC"/>
    <w:rPr>
      <w:color w:val="3366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14D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1C9"/>
  </w:style>
  <w:style w:type="paragraph" w:styleId="Rodap">
    <w:name w:val="footer"/>
    <w:basedOn w:val="Normal"/>
    <w:link w:val="RodapChar"/>
    <w:uiPriority w:val="99"/>
    <w:unhideWhenUsed/>
    <w:rsid w:val="00B0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lilian.d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na-domingues@esc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00"/>
      </a:accent1>
      <a:accent2>
        <a:srgbClr val="99CC00"/>
      </a:accent2>
      <a:accent3>
        <a:srgbClr val="008000"/>
      </a:accent3>
      <a:accent4>
        <a:srgbClr val="00CC00"/>
      </a:accent4>
      <a:accent5>
        <a:srgbClr val="00CC66"/>
      </a:accent5>
      <a:accent6>
        <a:srgbClr val="70AD47"/>
      </a:accent6>
      <a:hlink>
        <a:srgbClr val="336600"/>
      </a:hlink>
      <a:folHlink>
        <a:srgbClr val="3399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Sacagni Domingues</dc:creator>
  <cp:keywords/>
  <dc:description/>
  <cp:lastModifiedBy>Bruna Sacagni Domingues</cp:lastModifiedBy>
  <cp:revision>8</cp:revision>
  <dcterms:created xsi:type="dcterms:W3CDTF">2024-10-26T19:03:00Z</dcterms:created>
  <dcterms:modified xsi:type="dcterms:W3CDTF">2024-12-09T18:55:00Z</dcterms:modified>
</cp:coreProperties>
</file>