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5261CB27" w:rsidR="0053021A" w:rsidRPr="00733AFB" w:rsidRDefault="003D6885" w:rsidP="0053021A">
                                <w:pPr>
                                  <w:rPr>
                                    <w:rFonts w:ascii="Antonio" w:hAnsi="Antonio"/>
                                    <w:color w:val="1A9B3C"/>
                                    <w:sz w:val="36"/>
                                    <w:szCs w:val="36"/>
                                  </w:rPr>
                                </w:pPr>
                                <w:r w:rsidRPr="003D6885">
                                  <w:rPr>
                                    <w:rFonts w:ascii="Antonio" w:hAnsi="Antonio"/>
                                    <w:color w:val="1A9B3C"/>
                                    <w:sz w:val="36"/>
                                    <w:szCs w:val="36"/>
                                  </w:rPr>
                                  <w:t>Estado, políticas públicas e sistemas alimentares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5261CB27" w:rsidR="0053021A" w:rsidRPr="00733AFB" w:rsidRDefault="003D6885" w:rsidP="0053021A">
                          <w:pPr>
                            <w:rPr>
                              <w:rFonts w:ascii="Antonio" w:hAnsi="Antonio"/>
                              <w:color w:val="1A9B3C"/>
                              <w:sz w:val="36"/>
                              <w:szCs w:val="36"/>
                            </w:rPr>
                          </w:pPr>
                          <w:r w:rsidRPr="003D6885">
                            <w:rPr>
                              <w:rFonts w:ascii="Antonio" w:hAnsi="Antonio"/>
                              <w:color w:val="1A9B3C"/>
                              <w:sz w:val="36"/>
                              <w:szCs w:val="36"/>
                            </w:rPr>
                            <w:t>Estado, políticas públicas e sistemas alimentares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3D460F1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3D6885">
                                  <w:rPr>
                                    <w:rFonts w:ascii="Antonio" w:hAnsi="Antonio"/>
                                    <w:color w:val="F8EDD1"/>
                                    <w:sz w:val="44"/>
                                    <w:szCs w:val="44"/>
                                  </w:rPr>
                                  <w:t xml:space="preserve"> 1</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3D460F1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3D6885">
                            <w:rPr>
                              <w:rFonts w:ascii="Antonio" w:hAnsi="Antonio"/>
                              <w:color w:val="F8EDD1"/>
                              <w:sz w:val="44"/>
                              <w:szCs w:val="44"/>
                            </w:rPr>
                            <w:t xml:space="preserve"> 1</w:t>
                          </w:r>
                          <w:r w:rsidRPr="00733AFB">
                            <w:rPr>
                              <w:rFonts w:ascii="Antonio" w:hAnsi="Antonio"/>
                              <w:color w:val="F8EDD1"/>
                              <w:sz w:val="44"/>
                              <w:szCs w:val="44"/>
                            </w:rPr>
                            <w:t xml:space="preserve">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44149C1A" w:rsidR="00216EFF" w:rsidRPr="00216EFF" w:rsidRDefault="00180B6A" w:rsidP="00216EFF">
      <w:pPr>
        <w:spacing w:after="240" w:line="360" w:lineRule="auto"/>
        <w:jc w:val="center"/>
        <w:rPr>
          <w:rFonts w:eastAsia="Arial"/>
          <w:b/>
          <w:bCs/>
        </w:rPr>
      </w:pPr>
      <w:r w:rsidRPr="00180B6A">
        <w:rPr>
          <w:rFonts w:eastAsia="Arial"/>
          <w:b/>
          <w:bCs/>
        </w:rPr>
        <w:t>ADAPTAÇÃO CLIMÁTICA NA AGRICULTURA FAMILIAR: CONSTRUÇÃO DE UMA AGENDA DE ESTADO</w:t>
      </w:r>
    </w:p>
    <w:p w14:paraId="72FBEAC2" w14:textId="65B55BB3" w:rsidR="00216EFF" w:rsidRPr="00216EFF" w:rsidRDefault="00216EFF" w:rsidP="00216EFF">
      <w:pPr>
        <w:spacing w:after="240" w:line="360" w:lineRule="auto"/>
        <w:jc w:val="center"/>
        <w:rPr>
          <w:rFonts w:eastAsia="Arial"/>
          <w:b/>
          <w:bCs/>
        </w:rPr>
      </w:pP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00ABECAE" w:rsidR="00216EFF" w:rsidRPr="00216EFF" w:rsidRDefault="00180B6A" w:rsidP="00216EFF">
      <w:pPr>
        <w:spacing w:line="360" w:lineRule="auto"/>
        <w:ind w:hanging="2"/>
        <w:jc w:val="center"/>
        <w:rPr>
          <w:rFonts w:eastAsia="Arial" w:cs="Arial"/>
          <w:vertAlign w:val="superscript"/>
        </w:rPr>
      </w:pPr>
      <w:r w:rsidRPr="00180B6A">
        <w:rPr>
          <w:rFonts w:eastAsia="Arial" w:cs="Arial"/>
        </w:rPr>
        <w:t>CAMBOIM, Iorrana Lisboa</w:t>
      </w:r>
      <w:r w:rsidR="00216EFF" w:rsidRPr="00216EFF">
        <w:rPr>
          <w:rStyle w:val="Refdenotaderodap"/>
          <w:rFonts w:eastAsia="Arial" w:cs="Arial"/>
        </w:rPr>
        <w:footnoteReference w:id="1"/>
      </w:r>
    </w:p>
    <w:p w14:paraId="05420B62" w14:textId="137C6E10" w:rsidR="00216EFF" w:rsidRDefault="00180B6A" w:rsidP="00216EFF">
      <w:pPr>
        <w:spacing w:line="360" w:lineRule="auto"/>
        <w:ind w:hanging="2"/>
        <w:jc w:val="center"/>
        <w:rPr>
          <w:rFonts w:eastAsia="Arial" w:cs="Arial"/>
        </w:rPr>
      </w:pPr>
      <w:r w:rsidRPr="00180B6A">
        <w:rPr>
          <w:rFonts w:eastAsia="Arial" w:cs="Arial"/>
        </w:rPr>
        <w:t>RODRIGUES, Camila Alves</w:t>
      </w:r>
      <w:r w:rsidR="00216EFF" w:rsidRPr="00216EFF">
        <w:rPr>
          <w:rStyle w:val="Refdenotaderodap"/>
          <w:rFonts w:eastAsia="Arial" w:cs="Arial"/>
        </w:rPr>
        <w:footnoteReference w:id="2"/>
      </w:r>
    </w:p>
    <w:p w14:paraId="0BB8B086" w14:textId="0E0F6ECC" w:rsidR="00180B6A" w:rsidRPr="00216EFF" w:rsidRDefault="00180B6A" w:rsidP="00216EFF">
      <w:pPr>
        <w:spacing w:line="360" w:lineRule="auto"/>
        <w:ind w:hanging="2"/>
        <w:jc w:val="center"/>
        <w:rPr>
          <w:rFonts w:eastAsia="Arial" w:cs="Arial"/>
        </w:rPr>
      </w:pPr>
      <w:r w:rsidRPr="00180B6A">
        <w:rPr>
          <w:rFonts w:eastAsia="Arial" w:cs="Arial"/>
        </w:rPr>
        <w:t>POLIDORO, Maurício</w:t>
      </w:r>
      <w:r>
        <w:rPr>
          <w:rFonts w:eastAsia="Arial" w:cs="Arial"/>
        </w:rPr>
        <w:t>²</w:t>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1893FCB8" w:rsidR="00216EFF" w:rsidRPr="00216EFF" w:rsidRDefault="00216EFF" w:rsidP="00216EFF">
      <w:pPr>
        <w:spacing w:line="360" w:lineRule="auto"/>
        <w:ind w:hanging="2"/>
        <w:rPr>
          <w:rFonts w:eastAsia="Arial" w:cs="Arial"/>
        </w:rPr>
      </w:pPr>
      <w:r w:rsidRPr="00216EFF">
        <w:rPr>
          <w:rFonts w:eastAsia="Arial" w:cs="Arial"/>
          <w:b/>
        </w:rPr>
        <w:t xml:space="preserve">GT </w:t>
      </w:r>
      <w:r w:rsidR="00180B6A">
        <w:rPr>
          <w:rFonts w:eastAsia="Arial" w:cs="Arial"/>
          <w:b/>
        </w:rPr>
        <w:t>01</w:t>
      </w:r>
      <w:r w:rsidRPr="00216EFF">
        <w:rPr>
          <w:rFonts w:eastAsia="Arial" w:cs="Arial"/>
          <w:b/>
        </w:rPr>
        <w:t>:</w:t>
      </w:r>
      <w:r w:rsidRPr="00216EFF">
        <w:rPr>
          <w:rFonts w:eastAsia="Arial" w:cs="Arial"/>
        </w:rPr>
        <w:t xml:space="preserve"> </w:t>
      </w:r>
      <w:r w:rsidR="00180B6A" w:rsidRPr="00180B6A">
        <w:rPr>
          <w:rFonts w:eastAsia="Arial" w:cs="Arial"/>
        </w:rPr>
        <w:t>Estado, políticas públicas e sistemas alimentares.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52E4FAF7" w:rsidR="00216EFF" w:rsidRPr="00216EFF" w:rsidRDefault="00180B6A" w:rsidP="00180B6A">
      <w:pPr>
        <w:spacing w:line="360" w:lineRule="auto"/>
        <w:ind w:hanging="2"/>
        <w:jc w:val="both"/>
        <w:rPr>
          <w:rFonts w:eastAsia="Arial" w:cs="Arial"/>
        </w:rPr>
      </w:pPr>
      <w:r w:rsidRPr="00180B6A">
        <w:rPr>
          <w:rFonts w:eastAsia="Arial" w:cs="Arial"/>
        </w:rPr>
        <w:t xml:space="preserve">Este artigo analisa as implicações das mudanças climáticas na agricultura familiar no Brasil e as ações mais recentes empreendidas pelo Estado brasileiro no âmbito do Plano Clima voltadas para o setor. A pesquisa destaca os desafios de adaptação climática enfrentados pela agricultura familiar, setor crucial para a segurança alimentar brasileira e que contribui também para a atenuação dos efeitos das emergências climáticas. A revisão bibliográfica narrativa revela a necessidade de políticas públicas que promovam práticas agroecológicas e que fortaleçam a </w:t>
      </w:r>
      <w:proofErr w:type="spellStart"/>
      <w:r w:rsidRPr="00180B6A">
        <w:rPr>
          <w:rFonts w:eastAsia="Arial" w:cs="Arial"/>
        </w:rPr>
        <w:t>sociobiodiversidade</w:t>
      </w:r>
      <w:proofErr w:type="spellEnd"/>
      <w:r w:rsidRPr="00180B6A">
        <w:rPr>
          <w:rFonts w:eastAsia="Arial" w:cs="Arial"/>
        </w:rPr>
        <w:t xml:space="preserve">, articulando estratégias de governança participativa que integrem a agricultura familiar, os movimentos sociais, a </w:t>
      </w:r>
      <w:r w:rsidRPr="00180B6A">
        <w:rPr>
          <w:rFonts w:eastAsia="Arial" w:cs="Arial"/>
        </w:rPr>
        <w:lastRenderedPageBreak/>
        <w:t>comunidade científica e a gestão pública. O estudo conclui que a adoção de práticas sustentáveis, incluindo aquelas historicamente praticadas pela agricultura familiar, é essencial para mitigar os impactos das mudanças climáticas e garantir a resiliência do setor, promovendo um futuro mais sustentável para a agricultura familiar no Brasil.</w:t>
      </w:r>
    </w:p>
    <w:p w14:paraId="4E4F01F6" w14:textId="77777777" w:rsidR="00216EFF" w:rsidRPr="00216EFF" w:rsidRDefault="00216EFF" w:rsidP="00216EFF">
      <w:pPr>
        <w:spacing w:line="360" w:lineRule="auto"/>
        <w:ind w:hanging="2"/>
        <w:jc w:val="both"/>
        <w:rPr>
          <w:rFonts w:eastAsia="Arial" w:cs="Arial"/>
        </w:rPr>
      </w:pPr>
    </w:p>
    <w:p w14:paraId="480B2C1C" w14:textId="36C5B1AC"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180B6A" w:rsidRPr="00180B6A">
        <w:rPr>
          <w:rFonts w:eastAsia="Arial" w:cs="Arial"/>
        </w:rPr>
        <w:t>Mudanças Climáticas; Adaptação; Agricultura Familiar.</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5DC1FC59" w14:textId="77777777" w:rsidR="003D6885" w:rsidRDefault="003D6885" w:rsidP="00180B6A">
      <w:pPr>
        <w:ind w:left="3828"/>
        <w:jc w:val="both"/>
        <w:rPr>
          <w:rFonts w:eastAsia="Arial" w:cs="Arial"/>
          <w:i/>
          <w:iCs/>
          <w:sz w:val="22"/>
          <w:szCs w:val="22"/>
        </w:rPr>
      </w:pPr>
    </w:p>
    <w:p w14:paraId="263ACADF" w14:textId="43BDA725" w:rsidR="00180B6A" w:rsidRPr="00180B6A" w:rsidRDefault="00180B6A" w:rsidP="00180B6A">
      <w:pPr>
        <w:ind w:left="3828"/>
        <w:jc w:val="both"/>
        <w:rPr>
          <w:rFonts w:eastAsia="Arial" w:cs="Arial"/>
          <w:sz w:val="22"/>
          <w:szCs w:val="22"/>
        </w:rPr>
      </w:pPr>
      <w:r w:rsidRPr="00180B6A">
        <w:rPr>
          <w:rFonts w:eastAsia="Arial" w:cs="Arial"/>
          <w:i/>
          <w:iCs/>
          <w:sz w:val="22"/>
          <w:szCs w:val="22"/>
        </w:rPr>
        <w:t>Chuvas intensas, alagamentos, secas e ondas de calor. As mudanças climáticas impactam todas as pessoas, mas em especial a agricultura familiar.</w:t>
      </w:r>
    </w:p>
    <w:p w14:paraId="1AE7F53A" w14:textId="1773F28D" w:rsidR="00216EFF" w:rsidRDefault="00180B6A" w:rsidP="00180B6A">
      <w:pPr>
        <w:ind w:left="3828"/>
        <w:jc w:val="right"/>
        <w:rPr>
          <w:rFonts w:eastAsia="Arial" w:cs="Arial"/>
          <w:i/>
          <w:iCs/>
          <w:sz w:val="22"/>
          <w:szCs w:val="22"/>
        </w:rPr>
      </w:pPr>
      <w:r w:rsidRPr="00180B6A">
        <w:rPr>
          <w:rFonts w:eastAsia="Arial" w:cs="Arial"/>
          <w:i/>
          <w:iCs/>
          <w:sz w:val="22"/>
          <w:szCs w:val="22"/>
        </w:rPr>
        <w:t>(Comunicação CONTAG</w:t>
      </w:r>
      <w:r>
        <w:rPr>
          <w:rStyle w:val="Refdenotaderodap"/>
          <w:rFonts w:eastAsia="Arial" w:cs="Arial"/>
          <w:i/>
          <w:iCs/>
          <w:sz w:val="22"/>
          <w:szCs w:val="22"/>
        </w:rPr>
        <w:footnoteReference w:id="3"/>
      </w:r>
      <w:r w:rsidRPr="00180B6A">
        <w:rPr>
          <w:rFonts w:eastAsia="Arial" w:cs="Arial"/>
          <w:i/>
          <w:iCs/>
          <w:sz w:val="22"/>
          <w:szCs w:val="22"/>
        </w:rPr>
        <w:t>)</w:t>
      </w:r>
    </w:p>
    <w:p w14:paraId="17B15551" w14:textId="77777777" w:rsidR="00180B6A" w:rsidRDefault="00180B6A" w:rsidP="00180B6A">
      <w:pPr>
        <w:ind w:left="3828"/>
        <w:jc w:val="right"/>
        <w:rPr>
          <w:rFonts w:eastAsia="Arial" w:cs="Arial"/>
          <w:i/>
          <w:iCs/>
          <w:sz w:val="22"/>
          <w:szCs w:val="22"/>
        </w:rPr>
      </w:pPr>
    </w:p>
    <w:p w14:paraId="12DF1723" w14:textId="77777777" w:rsidR="00180B6A" w:rsidRDefault="00180B6A" w:rsidP="00180B6A">
      <w:pPr>
        <w:ind w:left="3828"/>
        <w:jc w:val="right"/>
        <w:rPr>
          <w:rFonts w:eastAsia="Arial" w:cs="Arial"/>
          <w:i/>
          <w:iCs/>
          <w:sz w:val="22"/>
          <w:szCs w:val="22"/>
        </w:rPr>
      </w:pPr>
    </w:p>
    <w:p w14:paraId="06B5B028" w14:textId="0B61ABFA" w:rsidR="00180B6A" w:rsidRPr="00180B6A" w:rsidRDefault="00180B6A" w:rsidP="00180B6A">
      <w:pPr>
        <w:spacing w:line="360" w:lineRule="auto"/>
        <w:ind w:hanging="2"/>
        <w:jc w:val="both"/>
        <w:rPr>
          <w:rFonts w:eastAsia="Arial" w:cs="Arial"/>
        </w:rPr>
      </w:pPr>
      <w:r w:rsidRPr="00180B6A">
        <w:rPr>
          <w:rFonts w:eastAsia="Arial" w:cs="Arial"/>
        </w:rPr>
        <w:t>A mudança do clima representa um dos maiores desafios enfrentados pela humanidade no século XXI, afetando diversos setores e, em particular, a agricultura. Nos últimos dez anos, 83% dos municípios brasileiros enfrentaram desastres associados a eventos extremos, impactando cerca de 177 milhões de pessoas, sendo 4,98 milhões de forma direta</w:t>
      </w:r>
      <w:r>
        <w:rPr>
          <w:rStyle w:val="Refdenotaderodap"/>
          <w:rFonts w:eastAsia="Arial" w:cs="Arial"/>
        </w:rPr>
        <w:footnoteReference w:id="4"/>
      </w:r>
      <w:r w:rsidRPr="00180B6A">
        <w:rPr>
          <w:rFonts w:eastAsia="Arial" w:cs="Arial"/>
        </w:rPr>
        <w:t xml:space="preserve">. Essa realidade é alarmante, especialmente devido à baixa capacidade adaptativa da maioria dos municípios do Brasil. A agricultura familiar, que desempenha um papel crucial na produção </w:t>
      </w:r>
      <w:r w:rsidRPr="00180B6A">
        <w:rPr>
          <w:rFonts w:eastAsia="Arial" w:cs="Arial"/>
        </w:rPr>
        <w:lastRenderedPageBreak/>
        <w:t>de alimentos e na segurança alimentar, é especialmente vulnerável a esses fenômenos climáticos.</w:t>
      </w:r>
    </w:p>
    <w:p w14:paraId="0333A0D0" w14:textId="180F210F" w:rsidR="00180B6A" w:rsidRPr="00180B6A" w:rsidRDefault="00180B6A" w:rsidP="00180B6A">
      <w:pPr>
        <w:spacing w:line="360" w:lineRule="auto"/>
        <w:ind w:hanging="2"/>
        <w:jc w:val="both"/>
        <w:rPr>
          <w:rFonts w:eastAsia="Arial" w:cs="Arial"/>
        </w:rPr>
      </w:pPr>
      <w:r w:rsidRPr="00180B6A">
        <w:rPr>
          <w:rFonts w:eastAsia="Arial" w:cs="Arial"/>
        </w:rPr>
        <w:t>A Amazônia e o Nordeste são consideradas regiões mais vulneráveis do Brasil devido à conjugação de fatores socioeconômicos, geográficos e ambientais que aumentam sua suscetibilidade a crises</w:t>
      </w:r>
      <w:r>
        <w:rPr>
          <w:rFonts w:eastAsia="Arial" w:cs="Arial"/>
        </w:rPr>
        <w:t>.</w:t>
      </w:r>
      <w:r w:rsidRPr="00180B6A">
        <w:rPr>
          <w:rFonts w:eastAsia="Arial" w:cs="Arial"/>
        </w:rPr>
        <w:t xml:space="preserve"> Também por isso, configuram-se como áreas brasileiras mais suscetíveis às mudanças climáticas (GUIMARÃES </w:t>
      </w:r>
      <w:r w:rsidRPr="00180B6A">
        <w:rPr>
          <w:rFonts w:eastAsia="Arial" w:cs="Arial"/>
          <w:i/>
          <w:iCs/>
        </w:rPr>
        <w:t>et al</w:t>
      </w:r>
      <w:r w:rsidRPr="00180B6A">
        <w:rPr>
          <w:rFonts w:eastAsia="Arial" w:cs="Arial"/>
        </w:rPr>
        <w:t>., 2016). O Nordeste, em particular, apresenta maior vulnerabilidade, em função do aumento de temperaturas médias e das alterações no regime de precipitação, fenômeno que tem transformado algumas áreas do território em regiões áridas, agravando os desafios para a sustentabilidade da produção de alimentos, especialmente no âmbito da agricultura familiar.</w:t>
      </w:r>
    </w:p>
    <w:p w14:paraId="6EACFA77" w14:textId="3B6928AD" w:rsidR="00180B6A" w:rsidRPr="00180B6A" w:rsidRDefault="00180B6A" w:rsidP="00180B6A">
      <w:pPr>
        <w:spacing w:line="360" w:lineRule="auto"/>
        <w:ind w:hanging="2"/>
        <w:jc w:val="both"/>
        <w:rPr>
          <w:rFonts w:eastAsia="Arial" w:cs="Arial"/>
        </w:rPr>
      </w:pPr>
      <w:r w:rsidRPr="00180B6A">
        <w:rPr>
          <w:rFonts w:eastAsia="Arial" w:cs="Arial"/>
        </w:rPr>
        <w:t>A presente pesquisa tem como objetivo compreender as implicações das mudanças climáticas na agricultura familiar, com ênfase na importância de práticas sustentáveis e políticas públicas eficazes. Para tanto, foi realizada uma revisão bibliográfica narrativa (BAUMEISTER e LEARY, 1997), que permite integrar, interpretar e discutir criticamente os resultados de diversos estudos, de maneira mais flexível e ampla do que uma revisão sistemática</w:t>
      </w:r>
      <w:r w:rsidR="0085610B">
        <w:rPr>
          <w:rStyle w:val="Refdenotaderodap"/>
          <w:rFonts w:eastAsia="Arial" w:cs="Arial"/>
        </w:rPr>
        <w:footnoteReference w:id="5"/>
      </w:r>
      <w:r w:rsidRPr="00180B6A">
        <w:rPr>
          <w:rFonts w:eastAsia="Arial" w:cs="Arial"/>
        </w:rPr>
        <w:t xml:space="preserve">. A revisão bibliográfica foi conduzida a partir de fontes acadêmicas, relatórios de organizações não governamentais e documentos de políticas públicas com o intuito de identificar as principais tendências, desafios e oportunidades que a agricultura familiar enfrenta em um cenário de mudanças climáticas. Os dados coletados foram analisados para destacar as melhores práticas e estratégias, especialmente no âmbito do Plano Clima que podem ser adotadas para mitigar </w:t>
      </w:r>
      <w:r w:rsidRPr="00180B6A">
        <w:rPr>
          <w:rFonts w:eastAsia="Arial" w:cs="Arial"/>
        </w:rPr>
        <w:lastRenderedPageBreak/>
        <w:t>os impactos das mudanças climáticas, promovendo a resiliência e a sustentabilidade do setor.</w:t>
      </w:r>
    </w:p>
    <w:p w14:paraId="7D119C31" w14:textId="77777777" w:rsidR="00180B6A" w:rsidRPr="00180B6A" w:rsidRDefault="00180B6A" w:rsidP="00180B6A">
      <w:pPr>
        <w:spacing w:line="360" w:lineRule="auto"/>
        <w:ind w:hanging="2"/>
        <w:jc w:val="both"/>
        <w:rPr>
          <w:rFonts w:eastAsia="Arial" w:cs="Arial"/>
        </w:rPr>
      </w:pPr>
      <w:r w:rsidRPr="00180B6A">
        <w:rPr>
          <w:rFonts w:eastAsia="Arial" w:cs="Arial"/>
        </w:rPr>
        <w:t>Além disso, a pesquisa busca evidenciar a necessidade de uma abordagem integrada, que considere não apenas as dimensões ambientais, mas também as sociais e econômicas da agricultura familiar, sob a perspectiva da justiça climática. A construção de sistemas alimentares sustentáveis e inclusivos é um desafio contemporâneo que exige a colaboração de diversos atores sociais, incluindo agricultores e agricultoras, movimentos sociais, pesquisadores e pesquisadoras, gestores e gestoras de políticas, além da sociedade civil em sentido amplo. Assim, a análise das interações entre mudanças climáticas e agricultura familiar não apenas enriquece o debate acadêmico, mas também fornece subsídios para a formulação de políticas mais eficazes e adaptadas às realidades locais.</w:t>
      </w:r>
    </w:p>
    <w:p w14:paraId="27A20966" w14:textId="77777777" w:rsidR="00180B6A" w:rsidRPr="00180B6A" w:rsidRDefault="00180B6A" w:rsidP="00180B6A">
      <w:pPr>
        <w:spacing w:line="360" w:lineRule="auto"/>
        <w:ind w:hanging="2"/>
        <w:jc w:val="both"/>
        <w:rPr>
          <w:rFonts w:eastAsia="Arial" w:cs="Arial"/>
        </w:rPr>
      </w:pPr>
      <w:r w:rsidRPr="00180B6A">
        <w:rPr>
          <w:rFonts w:eastAsia="Arial" w:cs="Arial"/>
        </w:rPr>
        <w:t>Este trabalho, portanto, se propõe a contribuir para a discussão sobre a sustentabilidade e o fortalecimento da agricultura familiar em face das mudanças climáticas, ressaltando a centralidade das práticas agroecológicas e da implementação de políticas públicas voltadas à segurança alimentar e à conservação ambiental.</w:t>
      </w:r>
    </w:p>
    <w:p w14:paraId="4B01E771" w14:textId="77777777" w:rsidR="00180B6A" w:rsidRPr="00180B6A" w:rsidRDefault="00180B6A" w:rsidP="00180B6A">
      <w:pPr>
        <w:spacing w:line="360" w:lineRule="auto"/>
        <w:ind w:hanging="2"/>
        <w:jc w:val="both"/>
        <w:rPr>
          <w:rFonts w:eastAsia="Arial" w:cs="Arial"/>
        </w:rPr>
      </w:pPr>
    </w:p>
    <w:p w14:paraId="08D07FF0" w14:textId="77777777" w:rsidR="00180B6A" w:rsidRPr="00180B6A" w:rsidRDefault="00180B6A" w:rsidP="00180B6A">
      <w:pPr>
        <w:ind w:left="3828"/>
        <w:jc w:val="right"/>
        <w:rPr>
          <w:rFonts w:eastAsia="Arial" w:cs="Arial"/>
          <w:sz w:val="22"/>
          <w:szCs w:val="22"/>
        </w:rPr>
      </w:pPr>
    </w:p>
    <w:p w14:paraId="4FB782B1" w14:textId="5B4E81C7" w:rsidR="00216EFF" w:rsidRPr="00216EFF" w:rsidRDefault="00180B6A" w:rsidP="00216EFF">
      <w:pPr>
        <w:spacing w:line="360" w:lineRule="auto"/>
        <w:jc w:val="both"/>
        <w:rPr>
          <w:rFonts w:eastAsia="Arial" w:cs="Arial"/>
          <w:b/>
        </w:rPr>
      </w:pPr>
      <w:r w:rsidRPr="00180B6A">
        <w:rPr>
          <w:rFonts w:eastAsia="Arial" w:cs="Arial"/>
          <w:b/>
          <w:bCs/>
        </w:rPr>
        <w:t>MUDANÇAS CLIMÁTICAS, AGRICULTURA FAMILIAR E CONSTRUÇÃO DA ESTRATÉGIA DE ADAPTAÇÃO NO BRASIL</w:t>
      </w:r>
    </w:p>
    <w:p w14:paraId="792E03D2" w14:textId="77777777" w:rsidR="00180B6A" w:rsidRPr="00180B6A" w:rsidRDefault="00180B6A" w:rsidP="00180B6A">
      <w:pPr>
        <w:spacing w:line="360" w:lineRule="auto"/>
        <w:jc w:val="both"/>
        <w:rPr>
          <w:rFonts w:eastAsia="Arial" w:cs="Arial"/>
        </w:rPr>
      </w:pPr>
      <w:r w:rsidRPr="00180B6A">
        <w:rPr>
          <w:rFonts w:eastAsia="Arial" w:cs="Arial"/>
        </w:rPr>
        <w:t xml:space="preserve">As mudanças climáticas são uma preocupação significativa na atualidade, ameaçando a sobrevivência da humanidade no planeta. Elas decorrem de causas naturais e antrópicas, que resultam em emissões de gases poluentes, com impactos adversos sobre os ecossistemas. Os gases poluentes mais preocupantes são os Gases do Efeito Estufa (GEE), que possuem uma grande capacidade de reter a radiação terrestre e solar, levando, entre outras coisas, ao aumento da </w:t>
      </w:r>
      <w:r w:rsidRPr="00180B6A">
        <w:rPr>
          <w:rFonts w:eastAsia="Arial" w:cs="Arial"/>
        </w:rPr>
        <w:lastRenderedPageBreak/>
        <w:t>temperatura média do planeta (DRUMM et al., 2014; SANTOS DA CONCEIÇÃO, 2015; NASCIMENTO e ALVES, 2016). Fenômenos como chuvas intensas, alagamentos, secas e ondas de calor trazem desafios para os diversos setores da economia e para o cotidiano de vida das pessoas.</w:t>
      </w:r>
    </w:p>
    <w:p w14:paraId="75557DA8" w14:textId="77777777" w:rsidR="00180B6A" w:rsidRPr="00180B6A" w:rsidRDefault="00180B6A" w:rsidP="00180B6A">
      <w:pPr>
        <w:spacing w:line="360" w:lineRule="auto"/>
        <w:jc w:val="both"/>
        <w:rPr>
          <w:rFonts w:eastAsia="Arial" w:cs="Arial"/>
        </w:rPr>
      </w:pPr>
      <w:r w:rsidRPr="00180B6A">
        <w:rPr>
          <w:rFonts w:eastAsia="Arial" w:cs="Arial"/>
        </w:rPr>
        <w:t>Existem duas grandes agendas mundiais para lidar com essa situação: a de mitigação e a de adaptação. Enquanto a mitigação visa à redução das emissões de GEE, a adaptação busca reduzir as vulnerabilidades das regiões, ecossistemas, populações e atividades, reduzindo os impactos e prejuízos decorrentes da mudança do clima (SANTOS DA CONCEIÇÃO, 2015). De acordo com o Painel Intergovernamental sobre Mudança do Clima da ONU — IPCC, a adaptação à mudança do clima é o processo de ajuste de sistemas naturais e humanos ao comportamento do clima no presente e no futuro e seus efeitos.</w:t>
      </w:r>
    </w:p>
    <w:p w14:paraId="6BC2854C" w14:textId="77777777" w:rsidR="00180B6A" w:rsidRPr="00180B6A" w:rsidRDefault="00180B6A" w:rsidP="00180B6A">
      <w:pPr>
        <w:spacing w:line="360" w:lineRule="auto"/>
        <w:jc w:val="both"/>
        <w:rPr>
          <w:rFonts w:eastAsia="Arial" w:cs="Arial"/>
        </w:rPr>
      </w:pPr>
      <w:r w:rsidRPr="00180B6A">
        <w:rPr>
          <w:rFonts w:eastAsia="Arial" w:cs="Arial"/>
        </w:rPr>
        <w:t xml:space="preserve">No Brasil, os setores de mudanças de uso da terra e agropecuária são os principais responsáveis pelas emissões de GEE, ambos vinculados ao elo de produção dos sistemas alimentares. A emissão de metano derivado de plantações de arroz, a degradação de turfas e a emissão de óxido nitroso (N₂O) de fertilizantes sintéticos são alguns dos tipos de emissões diretas da agricultura (MBOW </w:t>
      </w:r>
      <w:r w:rsidRPr="00180B6A">
        <w:rPr>
          <w:rFonts w:eastAsia="Arial" w:cs="Arial"/>
          <w:i/>
          <w:iCs/>
        </w:rPr>
        <w:t>et al.,</w:t>
      </w:r>
      <w:r w:rsidRPr="00180B6A">
        <w:rPr>
          <w:rFonts w:eastAsia="Arial" w:cs="Arial"/>
        </w:rPr>
        <w:t xml:space="preserve"> 2019). Na pecuária, tem papel significativo a emissão de metano da fermentação entérica de ruminantes e da fermentação anaeróbica de processos de gestão do rebanho (SMITH </w:t>
      </w:r>
      <w:r w:rsidRPr="00180B6A">
        <w:rPr>
          <w:rFonts w:eastAsia="Arial" w:cs="Arial"/>
          <w:i/>
          <w:iCs/>
        </w:rPr>
        <w:t>et al.,</w:t>
      </w:r>
      <w:r w:rsidRPr="00180B6A">
        <w:rPr>
          <w:rFonts w:eastAsia="Arial" w:cs="Arial"/>
        </w:rPr>
        <w:t xml:space="preserve"> 2014). A remoção de cobertura vegetal é um dos principais vetores de emissão relacionados às mudanças no uso da terra, ocorrendo tanto pela abertura de terras agrícolas quanto pela destinação de pastagens. Outro resultado negativo é a perda da biodiversidade, que pode ocorrer pela perda de habitats e o desmatamento (JAROENKIETKAJORN e GHEEWALA, 2021). O uso de fertilizantes químicos nitrogenados (como ureia e nitrato de amônio) está diretamente associado à emissão de óxido nitroso (N₂O), um dos gases de efeito estufa mais potentes. O N₂O, vale acrescentar, tem potencial de aquecimento global expressivamente </w:t>
      </w:r>
      <w:r w:rsidRPr="00180B6A">
        <w:rPr>
          <w:rFonts w:eastAsia="Arial" w:cs="Arial"/>
        </w:rPr>
        <w:lastRenderedPageBreak/>
        <w:t>maior que o CO₂, sendo aproximadamente 273 vezes maior em um horizonte de 100 anos (IPCC, 2021).</w:t>
      </w:r>
    </w:p>
    <w:p w14:paraId="2080AAC6" w14:textId="77777777" w:rsidR="00180B6A" w:rsidRPr="00180B6A" w:rsidRDefault="00180B6A" w:rsidP="00180B6A">
      <w:pPr>
        <w:spacing w:line="360" w:lineRule="auto"/>
        <w:jc w:val="both"/>
        <w:rPr>
          <w:rFonts w:eastAsia="Arial" w:cs="Arial"/>
        </w:rPr>
      </w:pPr>
      <w:r w:rsidRPr="00180B6A">
        <w:rPr>
          <w:rFonts w:eastAsia="Arial" w:cs="Arial"/>
        </w:rPr>
        <w:t xml:space="preserve">Segundo Garcia </w:t>
      </w:r>
      <w:r w:rsidRPr="00180B6A">
        <w:rPr>
          <w:rFonts w:eastAsia="Arial" w:cs="Arial"/>
          <w:i/>
          <w:iCs/>
        </w:rPr>
        <w:t>et al.</w:t>
      </w:r>
      <w:r w:rsidRPr="00180B6A">
        <w:rPr>
          <w:rFonts w:eastAsia="Arial" w:cs="Arial"/>
        </w:rPr>
        <w:t xml:space="preserve"> (2022), “entre as atividades mais vulneráveis, estão aquelas que mais dependem de recursos naturais, sendo o caso mais evidente o da produção agropecuária”. Os autores afirmam que</w:t>
      </w:r>
    </w:p>
    <w:p w14:paraId="1371661E" w14:textId="77777777" w:rsidR="00180B6A" w:rsidRPr="00180B6A" w:rsidRDefault="00180B6A" w:rsidP="00180B6A">
      <w:pPr>
        <w:ind w:left="1701"/>
        <w:jc w:val="both"/>
        <w:rPr>
          <w:rFonts w:eastAsia="Arial" w:cs="Arial"/>
          <w:sz w:val="20"/>
          <w:szCs w:val="20"/>
        </w:rPr>
      </w:pPr>
      <w:r w:rsidRPr="00180B6A">
        <w:rPr>
          <w:rFonts w:eastAsia="Arial" w:cs="Arial"/>
          <w:sz w:val="20"/>
          <w:szCs w:val="20"/>
        </w:rPr>
        <w:t>A agropecuária tem sido um importante emissor de gases do efeito estufa (GEE), em grande medida responsáveis pelo aquecimento global e mudanças climáticas, mas seu papel é fundamental na segurança e seguridade alimentar, no provimento de matérias-primas, na produção de bioenergia, na ocupação de parcela expressiva de pessoas, no sequestro de carbono e na balança comercial do Brasil e de outros países.</w:t>
      </w:r>
    </w:p>
    <w:p w14:paraId="372DEA2B" w14:textId="00674E3D" w:rsidR="00180B6A" w:rsidRDefault="00180B6A" w:rsidP="00180B6A">
      <w:pPr>
        <w:ind w:left="1701"/>
        <w:jc w:val="right"/>
        <w:rPr>
          <w:rFonts w:eastAsia="Arial" w:cs="Arial"/>
          <w:sz w:val="20"/>
          <w:szCs w:val="20"/>
        </w:rPr>
      </w:pPr>
      <w:r w:rsidRPr="00180B6A">
        <w:rPr>
          <w:rFonts w:eastAsia="Arial" w:cs="Arial"/>
          <w:sz w:val="20"/>
          <w:szCs w:val="20"/>
        </w:rPr>
        <w:t>                  </w:t>
      </w:r>
      <w:r w:rsidRPr="00180B6A">
        <w:rPr>
          <w:rFonts w:eastAsia="Arial" w:cs="Arial"/>
          <w:sz w:val="20"/>
          <w:szCs w:val="20"/>
        </w:rPr>
        <w:tab/>
        <w:t xml:space="preserve">(GARCIA </w:t>
      </w:r>
      <w:r w:rsidRPr="00180B6A">
        <w:rPr>
          <w:rFonts w:eastAsia="Arial" w:cs="Arial"/>
          <w:i/>
          <w:iCs/>
          <w:sz w:val="20"/>
          <w:szCs w:val="20"/>
        </w:rPr>
        <w:t>et al</w:t>
      </w:r>
      <w:r w:rsidRPr="00180B6A">
        <w:rPr>
          <w:rFonts w:eastAsia="Arial" w:cs="Arial"/>
          <w:sz w:val="20"/>
          <w:szCs w:val="20"/>
        </w:rPr>
        <w:t>, 2022, p.120).</w:t>
      </w:r>
    </w:p>
    <w:p w14:paraId="0525E317" w14:textId="77777777" w:rsidR="00180B6A" w:rsidRPr="00180B6A" w:rsidRDefault="00180B6A" w:rsidP="00180B6A">
      <w:pPr>
        <w:ind w:left="1701"/>
        <w:jc w:val="right"/>
        <w:rPr>
          <w:rFonts w:eastAsia="Arial" w:cs="Arial"/>
          <w:sz w:val="20"/>
          <w:szCs w:val="20"/>
        </w:rPr>
      </w:pPr>
    </w:p>
    <w:p w14:paraId="47753469" w14:textId="7B5CC516" w:rsidR="00180B6A" w:rsidRPr="00180B6A" w:rsidRDefault="00180B6A" w:rsidP="00180B6A">
      <w:pPr>
        <w:spacing w:line="360" w:lineRule="auto"/>
        <w:jc w:val="both"/>
        <w:rPr>
          <w:rFonts w:eastAsia="Arial" w:cs="Arial"/>
        </w:rPr>
      </w:pPr>
      <w:r w:rsidRPr="00180B6A">
        <w:rPr>
          <w:rFonts w:eastAsia="Arial" w:cs="Arial"/>
        </w:rPr>
        <w:t>O Plano Clima Brasil 2009 é o principal instrumento da Política Nacional sobre Mudança do Clima (PNMC), instituída pela Lei nº 12.187/2009</w:t>
      </w:r>
      <w:r w:rsidR="0085610B">
        <w:rPr>
          <w:rStyle w:val="Refdenotaderodap"/>
          <w:rFonts w:eastAsia="Arial" w:cs="Arial"/>
        </w:rPr>
        <w:footnoteReference w:id="6"/>
      </w:r>
      <w:r w:rsidRPr="00180B6A">
        <w:rPr>
          <w:rFonts w:eastAsia="Arial" w:cs="Arial"/>
        </w:rPr>
        <w:t xml:space="preserve">. Ele serve como um guia para as ações de enfrentamento à mudança do clima no Brasil, com o objetivo de reduzir as emissões de GEE e adaptar a sociedade aos seus impactos. O Plano Clima lançado em 2009 tinha metas até o ano de 2020. Para enfrentar os desafios no âmbito do setor agropecuário, em 2009, o Brasil criou o Plano Setorial de Mitigação e de Adaptação às Mudanças Climáticas para Consolidação de uma Economia de Baixa Emissão de Carbono na Agricultura (Plano ABC – 2010-2020), atualizado para o Plano ABC+ (2020-2030), o qual “inaugurou uma nova trajetória para as políticas e para a sociedade ao considerar como foco o enfrentamento das mudanças climáticas, além de contribuir para uma agricultura mais sustentável ou de baixa emissão de carbono” (GARCIA </w:t>
      </w:r>
      <w:r w:rsidRPr="00180B6A">
        <w:rPr>
          <w:rFonts w:eastAsia="Arial" w:cs="Arial"/>
          <w:i/>
          <w:iCs/>
        </w:rPr>
        <w:t>et al</w:t>
      </w:r>
      <w:r w:rsidRPr="00180B6A">
        <w:rPr>
          <w:rFonts w:eastAsia="Arial" w:cs="Arial"/>
        </w:rPr>
        <w:t>., 2022).</w:t>
      </w:r>
    </w:p>
    <w:p w14:paraId="766877A8" w14:textId="43F0C948" w:rsidR="00180B6A" w:rsidRPr="00180B6A" w:rsidRDefault="00180B6A" w:rsidP="00180B6A">
      <w:pPr>
        <w:spacing w:line="360" w:lineRule="auto"/>
        <w:jc w:val="both"/>
        <w:rPr>
          <w:rFonts w:eastAsia="Arial" w:cs="Arial"/>
        </w:rPr>
      </w:pPr>
      <w:r w:rsidRPr="00180B6A">
        <w:rPr>
          <w:rFonts w:eastAsia="Arial" w:cs="Arial"/>
        </w:rPr>
        <w:lastRenderedPageBreak/>
        <w:t xml:space="preserve">No entanto, conforme observam Garcia </w:t>
      </w:r>
      <w:r w:rsidRPr="00180B6A">
        <w:rPr>
          <w:rFonts w:eastAsia="Arial" w:cs="Arial"/>
          <w:i/>
          <w:iCs/>
        </w:rPr>
        <w:t>et al.</w:t>
      </w:r>
      <w:r w:rsidRPr="00180B6A">
        <w:rPr>
          <w:rFonts w:eastAsia="Arial" w:cs="Arial"/>
        </w:rPr>
        <w:t xml:space="preserve"> (2022), apesar da inclusão formal da agricultura familiar no Plano ABC, as políticas não contemplam adequadamente a heterogeneidade dos sistemas agrícolas familiares, nem estabelecem metas específicas para esse segmento. A agricultura familiar, definida pela Lei nº 11.326, de 24 de julho de 2006, abrange silvicultores, aquicultores, pescadores, extrativistas, povos indígenas, quilombolas e os povos e comunidades tradicionais, reconhecendo a diversidade de seus modos de vida e sistemas produtivos singulares (BRASIL, 2006).</w:t>
      </w:r>
    </w:p>
    <w:p w14:paraId="20C36E3B" w14:textId="77777777" w:rsidR="00180B6A" w:rsidRPr="00180B6A" w:rsidRDefault="00180B6A" w:rsidP="00180B6A">
      <w:pPr>
        <w:spacing w:line="360" w:lineRule="auto"/>
        <w:jc w:val="both"/>
        <w:rPr>
          <w:rFonts w:eastAsia="Arial" w:cs="Arial"/>
        </w:rPr>
      </w:pPr>
      <w:r w:rsidRPr="00180B6A">
        <w:rPr>
          <w:rFonts w:eastAsia="Arial" w:cs="Arial"/>
        </w:rPr>
        <w:t>De fato, em que pese os avanços trazidos pelo Plano, seu foco ainda está direcionado, sobretudo, na produção de larga escala, pautada pelo agronegócio, o qual tem sido apontado pelo movimento ambientalista como um dos principais, senão o principal, agente gerador de impactos ambientais, particularmente a emissão de GEE, além de ser também causador de diversas outras mazelas sociais (CHELALA e CHELALA, 2023).</w:t>
      </w:r>
    </w:p>
    <w:p w14:paraId="04688D34" w14:textId="77777777" w:rsidR="00180B6A" w:rsidRPr="00180B6A" w:rsidRDefault="00180B6A" w:rsidP="00180B6A">
      <w:pPr>
        <w:spacing w:line="360" w:lineRule="auto"/>
        <w:jc w:val="both"/>
        <w:rPr>
          <w:rFonts w:eastAsia="Arial" w:cs="Arial"/>
        </w:rPr>
      </w:pPr>
      <w:proofErr w:type="spellStart"/>
      <w:r w:rsidRPr="00180B6A">
        <w:rPr>
          <w:rFonts w:eastAsia="Arial" w:cs="Arial"/>
        </w:rPr>
        <w:t>Chelala</w:t>
      </w:r>
      <w:proofErr w:type="spellEnd"/>
      <w:r w:rsidRPr="00180B6A">
        <w:rPr>
          <w:rFonts w:eastAsia="Arial" w:cs="Arial"/>
        </w:rPr>
        <w:t xml:space="preserve"> e </w:t>
      </w:r>
      <w:proofErr w:type="spellStart"/>
      <w:r w:rsidRPr="00180B6A">
        <w:rPr>
          <w:rFonts w:eastAsia="Arial" w:cs="Arial"/>
        </w:rPr>
        <w:t>Chelala</w:t>
      </w:r>
      <w:proofErr w:type="spellEnd"/>
      <w:r w:rsidRPr="00180B6A">
        <w:rPr>
          <w:rFonts w:eastAsia="Arial" w:cs="Arial"/>
        </w:rPr>
        <w:t xml:space="preserve"> (2023) pontuam que</w:t>
      </w:r>
    </w:p>
    <w:p w14:paraId="6CD8D32A"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Na “agropecuária”, além do gás carbônico (CO2), registra-se a emissão do óxido nitroso (N2O) e o metano (CH4). As principais fontes de emissão direta da agropecuária são o rebanho bovino, que emite altas quantidades de metano por fermentação no rúmen dos animais, e o manejo de solos agrícolas, sobretudo por meio da aplicação de fertilizantes nitrogenados. Seguidos pelo manejo de dejetos animais, o cultivo de arroz irrigado (que também emite metano), e a queima de resíduos, como palha de cana-de-açúcar (ANGELO; RITTL, 2019).</w:t>
      </w:r>
    </w:p>
    <w:p w14:paraId="5529F276" w14:textId="77777777" w:rsidR="003D6885" w:rsidRDefault="003D6885" w:rsidP="003D6885">
      <w:pPr>
        <w:ind w:left="1701"/>
        <w:jc w:val="right"/>
        <w:rPr>
          <w:rFonts w:eastAsia="Arial" w:cs="Arial"/>
          <w:sz w:val="20"/>
          <w:szCs w:val="20"/>
        </w:rPr>
      </w:pPr>
      <w:r w:rsidRPr="003D6885">
        <w:rPr>
          <w:rFonts w:eastAsia="Arial" w:cs="Arial"/>
          <w:sz w:val="20"/>
          <w:szCs w:val="20"/>
        </w:rPr>
        <w:t>(CHELALA e CHELALA, 2023, p. 192).</w:t>
      </w:r>
    </w:p>
    <w:p w14:paraId="0FE98BB7" w14:textId="77777777" w:rsidR="003D6885" w:rsidRPr="003D6885" w:rsidRDefault="003D6885" w:rsidP="003D6885">
      <w:pPr>
        <w:ind w:left="1701"/>
        <w:jc w:val="right"/>
        <w:rPr>
          <w:rFonts w:eastAsia="Arial" w:cs="Arial"/>
          <w:sz w:val="20"/>
          <w:szCs w:val="20"/>
        </w:rPr>
      </w:pPr>
    </w:p>
    <w:p w14:paraId="4ABB6239" w14:textId="77777777" w:rsidR="003D6885" w:rsidRPr="003D6885" w:rsidRDefault="003D6885" w:rsidP="003D6885">
      <w:pPr>
        <w:spacing w:line="360" w:lineRule="auto"/>
        <w:jc w:val="both"/>
        <w:rPr>
          <w:rFonts w:eastAsia="Arial" w:cs="Arial"/>
        </w:rPr>
      </w:pPr>
      <w:r w:rsidRPr="003D6885">
        <w:rPr>
          <w:rFonts w:eastAsia="Arial" w:cs="Arial"/>
        </w:rPr>
        <w:t xml:space="preserve">Em 2023, o governo iniciou a atualização do Plano Clima, que será o guia das ações de enfrentamento à mudança do clima até 2035. Essa nova versão está sendo construída com ampla participação da sociedade, por meio da plataforma Brasil Participativo e de consultas públicas. O Plano Clima possui dois pilares: um voltado à mitigação, ou seja, à redução das emissões de GEE; e o segundo voltado à adaptação dos sistemas naturais e humanos aos impactos da mudança </w:t>
      </w:r>
      <w:r w:rsidRPr="003D6885">
        <w:rPr>
          <w:rFonts w:eastAsia="Arial" w:cs="Arial"/>
        </w:rPr>
        <w:lastRenderedPageBreak/>
        <w:t>do clima. Além das Estratégias Nacionais de Mitigação e Adaptação, será composto por planos setoriais: sete para mitigação e 16 para adaptação.</w:t>
      </w:r>
    </w:p>
    <w:p w14:paraId="11B3F076" w14:textId="77777777" w:rsidR="003D6885" w:rsidRPr="003D6885" w:rsidRDefault="003D6885" w:rsidP="003D6885">
      <w:pPr>
        <w:spacing w:line="360" w:lineRule="auto"/>
        <w:jc w:val="both"/>
        <w:rPr>
          <w:rFonts w:eastAsia="Arial" w:cs="Arial"/>
        </w:rPr>
      </w:pPr>
      <w:r w:rsidRPr="003D6885">
        <w:rPr>
          <w:rFonts w:eastAsia="Arial" w:cs="Arial"/>
        </w:rPr>
        <w:t>Os sete planos setoriais de mitigação estão sendo construídos no presente momento. São eles: Agricultura e Pecuária; Uso da Terra e Florestas; Cidades e Mobilidade Urbana; Energia e Mineração; Indústria; Resíduos; Transportes. Vários deles se relacionam com os sistemas alimentares, em especial o de Agricultura e Pecuárias, que está sendo elaborado pelos Ministérios da Agricultura e Pecuária, do Desenvolvimento Agrário e Agricultura Familiar e da Pesca e Aquicultura.</w:t>
      </w:r>
    </w:p>
    <w:p w14:paraId="3F1CAAD8" w14:textId="77777777" w:rsidR="003D6885" w:rsidRPr="003D6885" w:rsidRDefault="003D6885" w:rsidP="003D6885">
      <w:pPr>
        <w:spacing w:line="360" w:lineRule="auto"/>
        <w:jc w:val="both"/>
        <w:rPr>
          <w:rFonts w:eastAsia="Arial" w:cs="Arial"/>
        </w:rPr>
      </w:pPr>
      <w:r w:rsidRPr="003D6885">
        <w:rPr>
          <w:rFonts w:eastAsia="Arial" w:cs="Arial"/>
        </w:rPr>
        <w:t>Em seu componente de adaptação, o principal desafio do Plano Clima é aumentar a resiliência do país às alterações do clima, ao passo que enfrenta as desigualdades em busca da justiça climática. Os 16 setores socioeconômicos cujos planos de adaptação estão sendo elaborados são: Agricultura e Pecuária, Biodiversidade, Cidades e Mobilidade, Gestão de Riscos e Desastres, Indústria, Resíduos, Transportes, Igualdade Racial e Combate ao Racismo, Povos e Comunidades Tradicionais, Povos Indígenas, Recursos Hídricos, Saúde, Segurança Alimentar e Nutricional, Oceano e Zona Costeira, Turismo e Agricultura Familiar. </w:t>
      </w:r>
    </w:p>
    <w:p w14:paraId="49D3015A" w14:textId="77777777" w:rsidR="003D6885" w:rsidRPr="003D6885" w:rsidRDefault="003D6885" w:rsidP="003D6885">
      <w:pPr>
        <w:spacing w:line="360" w:lineRule="auto"/>
        <w:jc w:val="both"/>
        <w:rPr>
          <w:rFonts w:eastAsia="Arial" w:cs="Arial"/>
        </w:rPr>
      </w:pPr>
      <w:r w:rsidRPr="003D6885">
        <w:rPr>
          <w:rFonts w:eastAsia="Arial" w:cs="Arial"/>
        </w:rPr>
        <w:t xml:space="preserve">Segundo </w:t>
      </w:r>
      <w:proofErr w:type="spellStart"/>
      <w:r w:rsidRPr="003D6885">
        <w:rPr>
          <w:rFonts w:eastAsia="Arial" w:cs="Arial"/>
        </w:rPr>
        <w:t>Iocca</w:t>
      </w:r>
      <w:proofErr w:type="spellEnd"/>
      <w:r w:rsidRPr="003D6885">
        <w:rPr>
          <w:rFonts w:eastAsia="Arial" w:cs="Arial"/>
        </w:rPr>
        <w:t xml:space="preserve"> (2022), os planos e programas podem ser entendidos como tentativas de coordenar a interação entre os principais sistemas de funções na sociedade (BEUNEN e ASSCHE, 2013), [...] e “cumprem importante papel frente às alterações climáticas, uma vez que têm um potencial para sustentar e concretizar os princípios vertidos na lei e garantir a proteção de pessoas e territórios” (IOCCA, 2022, p.6).</w:t>
      </w:r>
    </w:p>
    <w:p w14:paraId="3EE7AE37" w14:textId="77777777" w:rsidR="003D6885" w:rsidRPr="003D6885" w:rsidRDefault="003D6885" w:rsidP="003D6885">
      <w:pPr>
        <w:spacing w:line="360" w:lineRule="auto"/>
        <w:jc w:val="both"/>
        <w:rPr>
          <w:rFonts w:eastAsia="Arial" w:cs="Arial"/>
        </w:rPr>
      </w:pPr>
      <w:r w:rsidRPr="003D6885">
        <w:rPr>
          <w:rFonts w:eastAsia="Arial" w:cs="Arial"/>
        </w:rPr>
        <w:t xml:space="preserve">A elaboração do Plano Clima Adaptação da Agricultura Familiar, coordenada pelo Ministério do Desenvolvimento Agrário e Agricultura Familiar (MDA), ocorreu no marco da Estratégia Nacional de Adaptação à Mudança do Clima. No âmbito da agricultura familiar, destaca-se que o setorial foi criado em meados </w:t>
      </w:r>
      <w:r w:rsidRPr="003D6885">
        <w:rPr>
          <w:rFonts w:eastAsia="Arial" w:cs="Arial"/>
        </w:rPr>
        <w:lastRenderedPageBreak/>
        <w:t>de julho de 2024, quando os trabalhos dos demais setoriais já haviam sido iniciados. A criação do Setorial adveio de uma demanda no Grito da Terra, e, também de proposta inserida no Brasil Participativo para a criação de um Plano de Adaptação ESPECÍFICO para a Agricultura Familiar (população do campo, das águas e das florestas, amparada pela Lei 11.326/2006), a qual recebeu 350 votos.</w:t>
      </w:r>
    </w:p>
    <w:p w14:paraId="5913499F" w14:textId="77777777" w:rsidR="003D6885" w:rsidRPr="003D6885" w:rsidRDefault="003D6885" w:rsidP="003D6885">
      <w:pPr>
        <w:spacing w:line="360" w:lineRule="auto"/>
        <w:jc w:val="both"/>
        <w:rPr>
          <w:rFonts w:eastAsia="Arial" w:cs="Arial"/>
        </w:rPr>
      </w:pPr>
      <w:r w:rsidRPr="003D6885">
        <w:rPr>
          <w:rFonts w:eastAsia="Arial" w:cs="Arial"/>
        </w:rPr>
        <w:t>Como iniciativa para promover a participação social na elaboração do Plano, foi promovida pelo MDA a realização da Oficina Setorial Temática de Agricultura Familiar, em agosto de 2024, com participação de representantes de movimentos sociais, instituições de pesquisa e diversos órgãos governamentais. O evento resultou em contribuições substanciais para o mapeamento de riscos e a definição de ações adaptativas, reforçando o compromisso com a escuta ativa dos sujeitos do campo, da floresta e das águas.</w:t>
      </w:r>
    </w:p>
    <w:p w14:paraId="53FC4A34" w14:textId="77777777" w:rsidR="003D6885" w:rsidRPr="003D6885" w:rsidRDefault="003D6885" w:rsidP="003D6885">
      <w:pPr>
        <w:spacing w:line="360" w:lineRule="auto"/>
        <w:jc w:val="both"/>
        <w:rPr>
          <w:rFonts w:eastAsia="Arial" w:cs="Arial"/>
        </w:rPr>
      </w:pPr>
      <w:r w:rsidRPr="003D6885">
        <w:rPr>
          <w:rFonts w:eastAsia="Arial" w:cs="Arial"/>
        </w:rPr>
        <w:t>Segundo portal eletrônico da Contag,</w:t>
      </w:r>
    </w:p>
    <w:p w14:paraId="678B4F26"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Desde o início do ano, a CONTAG tem pautado o governo, através do 24° Grito da Terra Brasil, sobre a necessidade de um olhar diferenciado para a agricultura familiar, considerando a maior vulnerabilidade e sua contribuição na mitigação às mudanças climáticas. Atendendo uma das demandas da CONTAG, o MDA requereu junto ao CIM a elaboração do plano específico para ADAPTAÇÃO da Agricultura Familiar às mudanças climáticas. A primeira atividade realizada para a construção do plano contou com a participação de representantes de diversas Secretarias do MDA, Incra, Embrapa, MMA, ONGs e organizações da sociedade civil. Durante a oficina foram identificadas as vulnerabilidades para adaptação à mudança do clima, indicadas soluções, mas também foi reforçada a contribuição da agricultura familiar na mitigação às mudanças do clima. Com sua biodiversidade nos sistemas de produção tradicionais de alimentos, em especial os sistemas agroecológicos e florestais, ela protege o ambiente e fixa muita matéria orgânica concentrando carbono da atmosfera e minimizando as mudanças climáticas. </w:t>
      </w:r>
    </w:p>
    <w:p w14:paraId="633E8B43" w14:textId="7C7ADDFB" w:rsidR="00216EFF" w:rsidRDefault="003D6885" w:rsidP="003D6885">
      <w:pPr>
        <w:ind w:left="1701"/>
        <w:jc w:val="right"/>
        <w:rPr>
          <w:rFonts w:eastAsia="Arial" w:cs="Arial"/>
          <w:sz w:val="20"/>
          <w:szCs w:val="20"/>
        </w:rPr>
      </w:pPr>
      <w:r w:rsidRPr="003D6885">
        <w:rPr>
          <w:rFonts w:eastAsia="Arial" w:cs="Arial"/>
          <w:sz w:val="20"/>
          <w:szCs w:val="20"/>
        </w:rPr>
        <w:t>(Comunicação CONTAG</w:t>
      </w:r>
      <w:r w:rsidR="0085610B">
        <w:rPr>
          <w:rStyle w:val="Refdenotaderodap"/>
          <w:rFonts w:eastAsia="Arial" w:cs="Arial"/>
          <w:sz w:val="20"/>
          <w:szCs w:val="20"/>
        </w:rPr>
        <w:footnoteReference w:id="7"/>
      </w:r>
      <w:r w:rsidRPr="003D6885">
        <w:rPr>
          <w:rFonts w:eastAsia="Arial" w:cs="Arial"/>
          <w:sz w:val="20"/>
          <w:szCs w:val="20"/>
        </w:rPr>
        <w:t>)</w:t>
      </w:r>
    </w:p>
    <w:p w14:paraId="68AD6472" w14:textId="77777777" w:rsidR="003D6885" w:rsidRDefault="003D6885" w:rsidP="003D6885">
      <w:pPr>
        <w:ind w:left="1701"/>
        <w:jc w:val="right"/>
        <w:rPr>
          <w:rFonts w:eastAsia="Arial" w:cs="Arial"/>
          <w:sz w:val="20"/>
          <w:szCs w:val="20"/>
        </w:rPr>
      </w:pPr>
    </w:p>
    <w:p w14:paraId="36E35537" w14:textId="77777777" w:rsidR="003D6885" w:rsidRPr="003D6885" w:rsidRDefault="003D6885" w:rsidP="003D6885">
      <w:pPr>
        <w:ind w:left="1701"/>
        <w:jc w:val="right"/>
        <w:rPr>
          <w:rFonts w:eastAsia="Arial" w:cs="Arial"/>
          <w:sz w:val="20"/>
          <w:szCs w:val="20"/>
        </w:rPr>
      </w:pPr>
    </w:p>
    <w:p w14:paraId="46158DD4" w14:textId="77777777" w:rsidR="003D6885" w:rsidRPr="003D6885" w:rsidRDefault="003D6885" w:rsidP="003D6885">
      <w:pPr>
        <w:spacing w:line="360" w:lineRule="auto"/>
        <w:jc w:val="both"/>
        <w:rPr>
          <w:rFonts w:eastAsia="Arial" w:cs="Arial"/>
        </w:rPr>
      </w:pPr>
      <w:r w:rsidRPr="003D6885">
        <w:rPr>
          <w:rFonts w:eastAsia="Arial" w:cs="Arial"/>
        </w:rPr>
        <w:t>Além da oficina, foi estabelecido o Comitê Permanente de Emergência Climática, Segurança Hídrica, Energias Renováveis e Soberania Energética no Conselho Nacional de Desenvolvimento Rural Sustentável (CONDRAF) e foram realizadas diversas apresentações no âmbito desse Comitê e em Planária do CONDRAF para socialização de informações e coleta de contribuições.</w:t>
      </w:r>
    </w:p>
    <w:p w14:paraId="43EEE0C5" w14:textId="3A1D426B" w:rsidR="003D6885" w:rsidRPr="003D6885" w:rsidRDefault="003D6885" w:rsidP="003D6885">
      <w:pPr>
        <w:spacing w:line="360" w:lineRule="auto"/>
        <w:jc w:val="both"/>
        <w:rPr>
          <w:rFonts w:eastAsia="Arial" w:cs="Arial"/>
        </w:rPr>
      </w:pPr>
      <w:r w:rsidRPr="003D6885">
        <w:rPr>
          <w:rFonts w:eastAsia="Arial" w:cs="Arial"/>
        </w:rPr>
        <w:t>Nos últimos 50 anos, o Brasil experimentou uma significativa transformação na paisagem agrária. Além do aumento da concentração fundiária e do desmatamento, as políticas governamentais contribuíram para o avanço da produção de commodities agrícolas, sobretudo a partir dos anos 2000, em detrimento da produção de alimentos básicos e dos sistemas familiares de produção. De acordo com a Conab (2024), conforme o documento do Plano Alimento no Prato</w:t>
      </w:r>
      <w:r w:rsidR="0085610B">
        <w:rPr>
          <w:rStyle w:val="Refdenotaderodap"/>
          <w:rFonts w:eastAsia="Arial" w:cs="Arial"/>
        </w:rPr>
        <w:footnoteReference w:id="8"/>
      </w:r>
      <w:r w:rsidRPr="003D6885">
        <w:rPr>
          <w:rFonts w:eastAsia="Arial" w:cs="Arial"/>
        </w:rPr>
        <w:t>, a área plantada com soja e milho aumentou 230% e 160%, respectivamente, totalizando 32 milhões e 8 milhões de hectares. Por sua vez, o arroz perdeu a metade da área de produção nacional (1,6 milhão de hectares) e o feijão reduziu quase 30% da área total (1,0 milhão de hectares).</w:t>
      </w:r>
    </w:p>
    <w:p w14:paraId="3E31CED7" w14:textId="77777777" w:rsidR="003D6885" w:rsidRPr="003D6885" w:rsidRDefault="003D6885" w:rsidP="003D6885">
      <w:pPr>
        <w:spacing w:line="360" w:lineRule="auto"/>
        <w:jc w:val="both"/>
        <w:rPr>
          <w:rFonts w:eastAsia="Arial" w:cs="Arial"/>
        </w:rPr>
      </w:pPr>
      <w:r w:rsidRPr="003D6885">
        <w:rPr>
          <w:rFonts w:eastAsia="Arial" w:cs="Arial"/>
        </w:rPr>
        <w:t>As populações do campo, das águas e da floresta enfrentam vários impactos derivados de eventos climáticos extremos. Segundo a versão do Plano Clima Adaptação do Setorial da Agricultura Familiar atualmente disponibilizado para consulta pública,  </w:t>
      </w:r>
    </w:p>
    <w:p w14:paraId="6B2B188B"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Destacam-se a perda da capacidade produtiva e socioeconômica, redução da produção, perda de variabilidade genética, insegurança hídrica, bloqueio de estradas rurais, entre outros impactos que contribuem para o agravamento de desigualdades e a deterioração das condições de segurança alimentar no Brasil, pois afetam o cultivo de alimentos e atingem principalmente as regiões menos desenvolvidas economicamente.</w:t>
      </w:r>
    </w:p>
    <w:p w14:paraId="09A81391" w14:textId="291CE5C1" w:rsidR="003D6885" w:rsidRPr="003D6885" w:rsidRDefault="003D6885" w:rsidP="003D6885">
      <w:pPr>
        <w:ind w:left="1701"/>
        <w:jc w:val="right"/>
        <w:rPr>
          <w:rFonts w:eastAsia="Arial" w:cs="Arial"/>
          <w:sz w:val="20"/>
          <w:szCs w:val="20"/>
        </w:rPr>
      </w:pPr>
      <w:r w:rsidRPr="003D6885">
        <w:rPr>
          <w:rFonts w:eastAsia="Arial" w:cs="Arial"/>
          <w:sz w:val="20"/>
          <w:szCs w:val="20"/>
        </w:rPr>
        <w:t>(Plano Clima Adaptação – Setorial Agricultura Familiar, versão Consulta Pública</w:t>
      </w:r>
      <w:r w:rsidR="0085610B">
        <w:rPr>
          <w:rStyle w:val="Refdenotaderodap"/>
          <w:rFonts w:eastAsia="Arial" w:cs="Arial"/>
          <w:sz w:val="20"/>
          <w:szCs w:val="20"/>
        </w:rPr>
        <w:footnoteReference w:id="9"/>
      </w:r>
      <w:r w:rsidRPr="003D6885">
        <w:rPr>
          <w:rFonts w:eastAsia="Arial" w:cs="Arial"/>
          <w:sz w:val="20"/>
          <w:szCs w:val="20"/>
        </w:rPr>
        <w:t>)</w:t>
      </w:r>
    </w:p>
    <w:p w14:paraId="71319A34" w14:textId="77777777" w:rsidR="003D6885" w:rsidRDefault="003D6885" w:rsidP="00216EFF">
      <w:pPr>
        <w:spacing w:line="360" w:lineRule="auto"/>
        <w:jc w:val="both"/>
        <w:rPr>
          <w:rFonts w:eastAsia="Arial" w:cs="Arial"/>
        </w:rPr>
      </w:pPr>
    </w:p>
    <w:p w14:paraId="68A3FEA8" w14:textId="54C4518B" w:rsidR="003D6885" w:rsidRDefault="003D6885" w:rsidP="00216EFF">
      <w:pPr>
        <w:spacing w:line="360" w:lineRule="auto"/>
        <w:jc w:val="both"/>
        <w:rPr>
          <w:rFonts w:eastAsia="Arial" w:cs="Arial"/>
        </w:rPr>
      </w:pPr>
      <w:r w:rsidRPr="003D6885">
        <w:rPr>
          <w:rFonts w:eastAsia="Arial" w:cs="Arial"/>
        </w:rPr>
        <w:lastRenderedPageBreak/>
        <w:t>Além disso, agricultoras familiares enfrentam desafios crescentes (VIOLA e MENDES, 2022), e o documento aponta que eles são especialmente vulneráveis aos eventos extremos causados pelas mudanças climáticas:</w:t>
      </w:r>
    </w:p>
    <w:p w14:paraId="6DBF97E0"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Evidencia-se a maior vulnerabilidade da agricultura familiar frente os efeitos da mudança do clima (LEE; ROMERO, 2023), considerando que estes devem mais agravar as pressões socioeconômicas já sofridas pelo setor, como restrição de acesso à terra, água e mercados, do que criar impactos totalmente novos (OBERMAIER; ROSA, 2013). Nesse sentido, a mudança do clima pode afetar as culturas típicas da agricultura familiar (TANURE, 2020) e comprometer a segurança alimentar brasileira (GARCIA et al., 2022; GOMES et al., 2024), embora historicamente os agricultores familiares pouco tenham contribuído para a alteração do clima (CHAO, 2024; SALIM; ANGELO, 2024).  </w:t>
      </w:r>
    </w:p>
    <w:p w14:paraId="726FDC6E" w14:textId="516946FC" w:rsidR="003D6885" w:rsidRDefault="003D6885" w:rsidP="003D6885">
      <w:pPr>
        <w:ind w:left="1701"/>
        <w:jc w:val="right"/>
        <w:rPr>
          <w:rFonts w:eastAsia="Arial" w:cs="Arial"/>
          <w:sz w:val="20"/>
          <w:szCs w:val="20"/>
        </w:rPr>
      </w:pPr>
      <w:r w:rsidRPr="003D6885">
        <w:rPr>
          <w:rFonts w:eastAsia="Arial" w:cs="Arial"/>
          <w:sz w:val="20"/>
          <w:szCs w:val="20"/>
        </w:rPr>
        <w:t>(Plano Clima Adaptação – Setorial Agricultura Familiar, versão Consulta Pública</w:t>
      </w:r>
      <w:r w:rsidR="0085610B">
        <w:rPr>
          <w:rStyle w:val="Refdenotaderodap"/>
          <w:rFonts w:eastAsia="Arial" w:cs="Arial"/>
          <w:sz w:val="20"/>
          <w:szCs w:val="20"/>
        </w:rPr>
        <w:footnoteReference w:id="10"/>
      </w:r>
      <w:r w:rsidRPr="003D6885">
        <w:rPr>
          <w:rFonts w:eastAsia="Arial" w:cs="Arial"/>
          <w:sz w:val="20"/>
          <w:szCs w:val="20"/>
        </w:rPr>
        <w:t>)</w:t>
      </w:r>
    </w:p>
    <w:p w14:paraId="497CBCF1" w14:textId="77777777" w:rsidR="0085610B" w:rsidRPr="003D6885" w:rsidRDefault="0085610B" w:rsidP="003D6885">
      <w:pPr>
        <w:ind w:left="1701"/>
        <w:jc w:val="right"/>
        <w:rPr>
          <w:rFonts w:eastAsia="Arial" w:cs="Arial"/>
          <w:sz w:val="20"/>
          <w:szCs w:val="20"/>
        </w:rPr>
      </w:pPr>
    </w:p>
    <w:p w14:paraId="397726EE" w14:textId="77777777" w:rsidR="003D6885" w:rsidRPr="003D6885" w:rsidRDefault="003D6885" w:rsidP="003D6885">
      <w:pPr>
        <w:spacing w:line="360" w:lineRule="auto"/>
        <w:jc w:val="both"/>
        <w:rPr>
          <w:rFonts w:eastAsia="Arial" w:cs="Arial"/>
        </w:rPr>
      </w:pPr>
      <w:r w:rsidRPr="003D6885">
        <w:rPr>
          <w:rFonts w:eastAsia="Arial" w:cs="Arial"/>
        </w:rPr>
        <w:t xml:space="preserve">A construção de sistemas alimentares sustentáveis, saudáveis e inclusivos representa um grande desafio contemporâneo. A agricultura familiar consiste em um modelo para uma produção de alimentos diversificada, saudável e sustentável. A agricultura familiar desempenha um papel fundamental na produção de alimentos diversificados e sustentáveis, contribuindo para a segurança alimentar e a geração de empregos no Brasil e no mundo. (BOCCHI et al., 2019; LEITE </w:t>
      </w:r>
      <w:r w:rsidRPr="003D6885">
        <w:rPr>
          <w:rFonts w:eastAsia="Arial" w:cs="Arial"/>
          <w:i/>
          <w:iCs/>
        </w:rPr>
        <w:t>et al.,</w:t>
      </w:r>
      <w:r w:rsidRPr="003D6885">
        <w:rPr>
          <w:rFonts w:eastAsia="Arial" w:cs="Arial"/>
        </w:rPr>
        <w:t xml:space="preserve"> 2022)</w:t>
      </w:r>
    </w:p>
    <w:p w14:paraId="2B1D4BDC" w14:textId="77777777" w:rsidR="003D6885" w:rsidRPr="003D6885" w:rsidRDefault="003D6885" w:rsidP="003D6885">
      <w:pPr>
        <w:spacing w:line="360" w:lineRule="auto"/>
        <w:jc w:val="both"/>
        <w:rPr>
          <w:rFonts w:eastAsia="Arial" w:cs="Arial"/>
        </w:rPr>
      </w:pPr>
      <w:r w:rsidRPr="003D6885">
        <w:rPr>
          <w:rFonts w:eastAsia="Arial" w:cs="Arial"/>
        </w:rPr>
        <w:t>Sistemas alimentares saudáveis, sustentáveis e inclusivos contribuem para a redução das emissões de GEE, ou mesmo para o sequestro desses gases, e oferecem maior resiliência às mudanças do clima. Enquanto alguns estudos indicam que a agricultura familiar pode desempenhar um papel fundamental na mitigação das mudanças climáticas (CONCEIÇÃO, 2024; MONTEIRO et al., 2017; ANGELOTTI et al., 2011), outros indicam que há um potencial inexplorado na quantificação das emissões e remoções de carbono associadas às práticas agrícolas familiares (SEEBAUER, 2014).</w:t>
      </w:r>
    </w:p>
    <w:p w14:paraId="1DF3F0C5" w14:textId="77777777" w:rsidR="003D6885" w:rsidRPr="003D6885" w:rsidRDefault="003D6885" w:rsidP="003D6885">
      <w:pPr>
        <w:spacing w:line="360" w:lineRule="auto"/>
        <w:jc w:val="both"/>
        <w:rPr>
          <w:rFonts w:eastAsia="Arial" w:cs="Arial"/>
        </w:rPr>
      </w:pPr>
      <w:r w:rsidRPr="003D6885">
        <w:rPr>
          <w:rFonts w:eastAsia="Arial" w:cs="Arial"/>
        </w:rPr>
        <w:lastRenderedPageBreak/>
        <w:t xml:space="preserve">De todo modo, o modelo produtivo da agricultura familiar inclui a agroecologia, sistemas agroflorestais, circuitos curtos de produção e consumo, e diversas práticas sustentáveis, como a utilização de </w:t>
      </w:r>
      <w:proofErr w:type="spellStart"/>
      <w:r w:rsidRPr="003D6885">
        <w:rPr>
          <w:rFonts w:eastAsia="Arial" w:cs="Arial"/>
        </w:rPr>
        <w:t>bioinsumos</w:t>
      </w:r>
      <w:proofErr w:type="spellEnd"/>
      <w:r w:rsidRPr="003D6885">
        <w:rPr>
          <w:rFonts w:eastAsia="Arial" w:cs="Arial"/>
        </w:rPr>
        <w:t xml:space="preserve">; promovem a </w:t>
      </w:r>
      <w:proofErr w:type="spellStart"/>
      <w:r w:rsidRPr="003D6885">
        <w:rPr>
          <w:rFonts w:eastAsia="Arial" w:cs="Arial"/>
        </w:rPr>
        <w:t>sociobiodiversidade</w:t>
      </w:r>
      <w:proofErr w:type="spellEnd"/>
      <w:r w:rsidRPr="003D6885">
        <w:rPr>
          <w:rFonts w:eastAsia="Arial" w:cs="Arial"/>
        </w:rPr>
        <w:t xml:space="preserve"> e a diversidade alimentar, valorizando as práticas e os saberes de povos e comunidades tradicionais, agricultura familiar, assentamentos da reforma agrária, mulheres e jovens; procuram reduzir a pobreza e a desigualdade, enfrentar as desigualdades estruturais e promover a inclusão produtiva; e buscam assegurar a soberania e a segurança alimentar e nutricional, promovendo, além do acesso à alimentação saudável, a participação dos cidadãos na governança dos sistemas alimentares.</w:t>
      </w:r>
    </w:p>
    <w:p w14:paraId="326871BC" w14:textId="77777777" w:rsidR="003D6885" w:rsidRPr="003D6885" w:rsidRDefault="003D6885" w:rsidP="003D6885">
      <w:pPr>
        <w:spacing w:line="360" w:lineRule="auto"/>
        <w:jc w:val="both"/>
        <w:rPr>
          <w:rFonts w:eastAsia="Arial" w:cs="Arial"/>
        </w:rPr>
      </w:pPr>
      <w:r w:rsidRPr="003D6885">
        <w:rPr>
          <w:rFonts w:eastAsia="Arial" w:cs="Arial"/>
        </w:rPr>
        <w:t xml:space="preserve">A agricultura familiar não é homogênea. Ela difere nas diversas regiões do país, nos diferentes biomas, e possui ampla diversidade em termos de classe, raça e gênero. Além disso, nela estão incluídos os povos e comunidades tradicionais, os quais têm sido reconhecidos por seu grande papel na prestação de serviços ecossistêmicos, dadas as suas práticas e seus conhecimentos relacionados ao manejo da natureza, inclusive relacionados à produção agropecuária. Segundo </w:t>
      </w:r>
      <w:proofErr w:type="spellStart"/>
      <w:r w:rsidRPr="003D6885">
        <w:rPr>
          <w:rFonts w:eastAsia="Arial" w:cs="Arial"/>
        </w:rPr>
        <w:t>Iocca</w:t>
      </w:r>
      <w:proofErr w:type="spellEnd"/>
      <w:r w:rsidRPr="003D6885">
        <w:rPr>
          <w:rFonts w:eastAsia="Arial" w:cs="Arial"/>
        </w:rPr>
        <w:t xml:space="preserve"> (2022)</w:t>
      </w:r>
    </w:p>
    <w:p w14:paraId="592CAB89"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Há uma preocupação emergente sobre territórios tradicionais, conhecimentos tradicionais e alterações climáticas (Cornell e Parker, 2010; Whyte, 2013), mas há poucos estudos sobre o modo como as comunidades e territórios tradicionais estão representados nos instrumentos político- normativos (</w:t>
      </w:r>
      <w:proofErr w:type="spellStart"/>
      <w:r w:rsidRPr="003D6885">
        <w:rPr>
          <w:rFonts w:eastAsia="Arial" w:cs="Arial"/>
          <w:sz w:val="20"/>
          <w:szCs w:val="20"/>
        </w:rPr>
        <w:t>Iocca</w:t>
      </w:r>
      <w:proofErr w:type="spellEnd"/>
      <w:r w:rsidRPr="003D6885">
        <w:rPr>
          <w:rFonts w:eastAsia="Arial" w:cs="Arial"/>
          <w:sz w:val="20"/>
          <w:szCs w:val="20"/>
        </w:rPr>
        <w:t xml:space="preserve"> e Fidélis, 2021).</w:t>
      </w:r>
    </w:p>
    <w:p w14:paraId="21BD9CA2"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w:t>
      </w:r>
    </w:p>
    <w:p w14:paraId="022EC1FB"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 xml:space="preserve">Adicionalmente, os conhecimentos tradicionais e a permanência das comunidades tradicionais no território têm sido apontados como essenciais para a construção de um caminho alternativo para o alcance dos objetivos de desenvolvimento sustentável e preservação da biodiversidade (Ellis et al., 2021; </w:t>
      </w:r>
      <w:proofErr w:type="spellStart"/>
      <w:r w:rsidRPr="003D6885">
        <w:rPr>
          <w:rFonts w:eastAsia="Arial" w:cs="Arial"/>
          <w:sz w:val="20"/>
          <w:szCs w:val="20"/>
        </w:rPr>
        <w:t>Janardhanan</w:t>
      </w:r>
      <w:proofErr w:type="spellEnd"/>
      <w:r w:rsidRPr="003D6885">
        <w:rPr>
          <w:rFonts w:eastAsia="Arial" w:cs="Arial"/>
          <w:sz w:val="20"/>
          <w:szCs w:val="20"/>
        </w:rPr>
        <w:t xml:space="preserve"> et al., 2020).</w:t>
      </w:r>
    </w:p>
    <w:p w14:paraId="56D46677"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 comunidades tradicionais são referidas a partir do]</w:t>
      </w:r>
    </w:p>
    <w:p w14:paraId="2D6BCA7C"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reconhecimento do papel que desempenham na conservação da biodiversidade (</w:t>
      </w:r>
      <w:proofErr w:type="spellStart"/>
      <w:r w:rsidRPr="003D6885">
        <w:rPr>
          <w:rFonts w:eastAsia="Arial" w:cs="Arial"/>
          <w:sz w:val="20"/>
          <w:szCs w:val="20"/>
        </w:rPr>
        <w:t>Ituarte</w:t>
      </w:r>
      <w:proofErr w:type="spellEnd"/>
      <w:r w:rsidRPr="003D6885">
        <w:rPr>
          <w:rFonts w:eastAsia="Arial" w:cs="Arial"/>
          <w:sz w:val="20"/>
          <w:szCs w:val="20"/>
        </w:rPr>
        <w:t>-Lima e McDermott, 2017), essencial para concretização dos objetivos deste mecanismo de mitigação que visa a redução de emissões por meio da conservação das florestas.</w:t>
      </w:r>
    </w:p>
    <w:p w14:paraId="1B43CD11" w14:textId="77777777" w:rsidR="003D6885" w:rsidRPr="003D6885" w:rsidRDefault="003D6885" w:rsidP="003D6885">
      <w:pPr>
        <w:ind w:left="1701"/>
        <w:jc w:val="right"/>
        <w:rPr>
          <w:rFonts w:eastAsia="Arial" w:cs="Arial"/>
          <w:sz w:val="20"/>
          <w:szCs w:val="20"/>
        </w:rPr>
      </w:pPr>
      <w:r w:rsidRPr="003D6885">
        <w:rPr>
          <w:rFonts w:eastAsia="Arial" w:cs="Arial"/>
          <w:sz w:val="20"/>
          <w:szCs w:val="20"/>
        </w:rPr>
        <w:t>(IOCCA, 2022, p. 11; p.2; p.63)</w:t>
      </w:r>
    </w:p>
    <w:p w14:paraId="6737932D" w14:textId="77777777" w:rsidR="003D6885" w:rsidRPr="003D6885" w:rsidRDefault="003D6885" w:rsidP="003D6885">
      <w:pPr>
        <w:ind w:left="1701"/>
        <w:jc w:val="both"/>
        <w:rPr>
          <w:rFonts w:eastAsia="Arial" w:cs="Arial"/>
          <w:sz w:val="20"/>
          <w:szCs w:val="20"/>
        </w:rPr>
      </w:pPr>
    </w:p>
    <w:p w14:paraId="1944C21A" w14:textId="1B79C174" w:rsidR="003D6885" w:rsidRDefault="003D6885" w:rsidP="00216EFF">
      <w:pPr>
        <w:spacing w:line="360" w:lineRule="auto"/>
        <w:jc w:val="both"/>
        <w:rPr>
          <w:rFonts w:eastAsia="Arial" w:cs="Arial"/>
        </w:rPr>
      </w:pPr>
      <w:r w:rsidRPr="003D6885">
        <w:rPr>
          <w:rFonts w:eastAsia="Arial" w:cs="Arial"/>
        </w:rPr>
        <w:lastRenderedPageBreak/>
        <w:t xml:space="preserve">Assim como colocam García </w:t>
      </w:r>
      <w:r w:rsidRPr="007D17FC">
        <w:rPr>
          <w:rFonts w:eastAsia="Arial" w:cs="Arial"/>
          <w:i/>
          <w:iCs/>
        </w:rPr>
        <w:t>et al</w:t>
      </w:r>
      <w:r w:rsidRPr="003D6885">
        <w:rPr>
          <w:rFonts w:eastAsia="Arial" w:cs="Arial"/>
        </w:rPr>
        <w:t xml:space="preserve"> (2022), a transição para uma agricultura - familiar, e não familiar – “de baixa emissão de carbono exige necessariamente a adoção de princípios da agroecologia, desde que adaptados às situações socioeconômicas e preferências tecnológicas”. Alguns dos princípios são justamente os já preconizados pela agricultura familiar, em especial pelos povos e comunidades tradicionais, como:</w:t>
      </w:r>
    </w:p>
    <w:p w14:paraId="19CC43D0" w14:textId="77777777" w:rsidR="003D6885" w:rsidRPr="003D6885" w:rsidRDefault="003D6885" w:rsidP="003D6885">
      <w:pPr>
        <w:ind w:left="1701"/>
        <w:jc w:val="both"/>
        <w:rPr>
          <w:rFonts w:eastAsia="Arial" w:cs="Arial"/>
          <w:sz w:val="20"/>
          <w:szCs w:val="20"/>
        </w:rPr>
      </w:pPr>
      <w:r w:rsidRPr="003D6885">
        <w:rPr>
          <w:rFonts w:eastAsia="Arial" w:cs="Arial"/>
          <w:sz w:val="20"/>
          <w:szCs w:val="20"/>
        </w:rPr>
        <w:t>O manejo ecológico dos solos, a diversificação dos sistemas produtivos, o uso mínimo de defensivos e fertilizantes químicos (além dos impactos ambientais e sociais decorrentes do uso, existem emissões de GEE decorrentes do transporte desses insumos) e o controle biológico, entre outras tecnologias de manejo de baixo impacto ambiental ou regenerativas.</w:t>
      </w:r>
    </w:p>
    <w:p w14:paraId="4C5233A4" w14:textId="77777777" w:rsidR="003D6885" w:rsidRDefault="003D6885" w:rsidP="003D6885">
      <w:pPr>
        <w:ind w:left="1701"/>
        <w:jc w:val="right"/>
        <w:rPr>
          <w:rFonts w:eastAsia="Arial" w:cs="Arial"/>
          <w:sz w:val="20"/>
          <w:szCs w:val="20"/>
        </w:rPr>
      </w:pPr>
      <w:r w:rsidRPr="003D6885">
        <w:rPr>
          <w:rFonts w:eastAsia="Arial" w:cs="Arial"/>
          <w:sz w:val="20"/>
          <w:szCs w:val="20"/>
        </w:rPr>
        <w:t>(GARCIA et al, 2022, p. 131)</w:t>
      </w:r>
    </w:p>
    <w:p w14:paraId="091A888D" w14:textId="77777777" w:rsidR="007D17FC" w:rsidRPr="003D6885" w:rsidRDefault="007D17FC" w:rsidP="003D6885">
      <w:pPr>
        <w:ind w:left="1701"/>
        <w:jc w:val="right"/>
        <w:rPr>
          <w:rFonts w:eastAsia="Arial" w:cs="Arial"/>
          <w:sz w:val="20"/>
          <w:szCs w:val="20"/>
        </w:rPr>
      </w:pPr>
    </w:p>
    <w:p w14:paraId="49D590B2" w14:textId="77777777" w:rsidR="003D6885" w:rsidRPr="003D6885" w:rsidRDefault="003D6885" w:rsidP="003D6885">
      <w:pPr>
        <w:spacing w:line="360" w:lineRule="auto"/>
        <w:jc w:val="both"/>
        <w:rPr>
          <w:rFonts w:eastAsia="Arial" w:cs="Arial"/>
        </w:rPr>
      </w:pPr>
      <w:r w:rsidRPr="003D6885">
        <w:rPr>
          <w:rFonts w:eastAsia="Arial" w:cs="Arial"/>
        </w:rPr>
        <w:t>Vale frisar que a justiça climática é considerada um eixo transversal do novo Plano Clima ao considerar que a descarbonização da economia precisa levar a uma transição justa que impulsione o desenvolvimento sustentável, enfrente as desigualdades e promova a resiliência do País. Ações de adaptação em áreas como infraestrutura, habitação e saneamento podem ajudar a corrigir deficiências estruturais históricas, que atingem sobretudo as populações em situação de vulnerabilidade, evitando perdas e danos em grandes proporções e o agravamento das desigualdades no Brasil. Pessoas submetidas a diferentes formas de desigualdades (econômica, social, de gênero, de raça e etnia) são ainda mais vulneráveis aos efeitos das mudanças climáticas. Apesar de terem menor participação nas emissões de CO2, as populações de baixa renda e tradicionais são as mais afetadas pelas consequências negativas das alterações do clima e com menor acesso às alternativas de adaptação.</w:t>
      </w:r>
    </w:p>
    <w:p w14:paraId="65748038" w14:textId="77777777" w:rsidR="003D6885" w:rsidRDefault="003D6885" w:rsidP="00216EFF">
      <w:pPr>
        <w:spacing w:line="360" w:lineRule="auto"/>
        <w:jc w:val="both"/>
        <w:rPr>
          <w:rFonts w:eastAsia="Arial" w:cs="Arial"/>
        </w:rPr>
      </w:pPr>
    </w:p>
    <w:p w14:paraId="28D0CC89" w14:textId="59F55187"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36986FD4" w14:textId="068EC263" w:rsidR="003D6885" w:rsidRPr="003D6885" w:rsidRDefault="003D6885" w:rsidP="003D6885">
      <w:pPr>
        <w:spacing w:line="360" w:lineRule="auto"/>
        <w:jc w:val="both"/>
        <w:rPr>
          <w:rFonts w:eastAsia="Arial" w:cs="Arial"/>
        </w:rPr>
      </w:pPr>
      <w:r w:rsidRPr="003D6885">
        <w:rPr>
          <w:rFonts w:eastAsia="Arial" w:cs="Arial"/>
        </w:rPr>
        <w:t xml:space="preserve">As mudanças climáticas representam um desafio significativo para a agricultura familiar no Brasil, especialmente em regiões consideradas mais vulneráveis como a Amazônia e o Nordeste. A análise realizada neste trabalho, por meio de </w:t>
      </w:r>
      <w:r w:rsidRPr="003D6885">
        <w:rPr>
          <w:rFonts w:eastAsia="Arial" w:cs="Arial"/>
        </w:rPr>
        <w:lastRenderedPageBreak/>
        <w:t>uma revisão bibliográfica narrativa, evidenciou que a agricultura familiar não apenas é fundamental para a segurança alimentar, mas também se encontra exposta a riscos crescentes decorrentes de eventos climáticos extremos. Com 83% dos municípios brasileiros afetados por desastres nos últimos dez anos, é imprescindível que se desenvolvam estratégias eficazes para aumentar a resiliência desse setor.</w:t>
      </w:r>
    </w:p>
    <w:p w14:paraId="1106F528" w14:textId="77777777" w:rsidR="003D6885" w:rsidRPr="003D6885" w:rsidRDefault="003D6885" w:rsidP="003D6885">
      <w:pPr>
        <w:spacing w:line="360" w:lineRule="auto"/>
        <w:jc w:val="both"/>
        <w:rPr>
          <w:rFonts w:eastAsia="Arial" w:cs="Arial"/>
        </w:rPr>
      </w:pPr>
      <w:r w:rsidRPr="003D6885">
        <w:rPr>
          <w:rFonts w:eastAsia="Arial" w:cs="Arial"/>
        </w:rPr>
        <w:t>Os dados analisados apontam para a necessidade urgente de políticas públicas que considerem todos os biomas com atenção às especificidades territoriais e climáticas das regiões mais impactadas, promovendo práticas agroecológicas e a implementação de medidas que garantam a adaptação das comunidades e a sustentabilidade das práticas agrícolas.</w:t>
      </w:r>
    </w:p>
    <w:p w14:paraId="52F7AA8A" w14:textId="77777777" w:rsidR="003D6885" w:rsidRPr="003D6885" w:rsidRDefault="003D6885" w:rsidP="003D6885">
      <w:pPr>
        <w:spacing w:line="360" w:lineRule="auto"/>
        <w:jc w:val="both"/>
        <w:rPr>
          <w:rFonts w:eastAsia="Arial" w:cs="Arial"/>
        </w:rPr>
      </w:pPr>
      <w:r w:rsidRPr="003D6885">
        <w:rPr>
          <w:rFonts w:eastAsia="Arial" w:cs="Arial"/>
        </w:rPr>
        <w:t>Além disso, a pesquisa destacou a importância de uma abordagem integrada que envolva a participação ativa dos agricultores e das agricultoras, movimentos sociais, pesquisadores e pesquisadoras e formuladores e formuladoras de políticas. A construção de um diálogo contínuo e estruturado entre esses atores é essencial para o desenvolvimento de soluções que atendam às necessidades locais e promovam a segurança alimentar de forma sustentável.</w:t>
      </w:r>
    </w:p>
    <w:p w14:paraId="02565404" w14:textId="77777777" w:rsidR="003D6885" w:rsidRPr="003D6885" w:rsidRDefault="003D6885" w:rsidP="003D6885">
      <w:pPr>
        <w:spacing w:line="360" w:lineRule="auto"/>
        <w:jc w:val="both"/>
        <w:rPr>
          <w:rFonts w:eastAsia="Arial" w:cs="Arial"/>
        </w:rPr>
      </w:pPr>
      <w:r w:rsidRPr="003D6885">
        <w:rPr>
          <w:rFonts w:eastAsia="Arial" w:cs="Arial"/>
        </w:rPr>
        <w:t>Em suma, este trabalho contribui para a discussão sobre a sustentabilidade da agricultura familiar em um contexto de mudanças climáticas, enfatizando que a adoção de práticas sustentáveis e a formulação de políticas públicas adaptativas são fundamentais para garantir a sobrevivência e a prosperidade deste setor vital. A continuidade da pesquisa e o monitoramento das práticas adotadas, as quais estão compondo o setorial da Agricultura Familiar do Plano Clima Adaptação (em elaboração) serão cruciais para avaliar a eficácia das estratégias implementadas e para promover um futuro mais resiliente e sustentável para a agricultura familiar no Brasil.</w:t>
      </w:r>
    </w:p>
    <w:p w14:paraId="6301FBC9" w14:textId="77777777" w:rsidR="003D6885" w:rsidRDefault="003D6885" w:rsidP="00216EFF">
      <w:pPr>
        <w:spacing w:line="360" w:lineRule="auto"/>
        <w:jc w:val="both"/>
        <w:rPr>
          <w:rFonts w:eastAsia="Arial" w:cs="Arial"/>
        </w:rPr>
      </w:pPr>
    </w:p>
    <w:p w14:paraId="2794C37C" w14:textId="77777777" w:rsidR="007D17FC" w:rsidRPr="00216EFF" w:rsidRDefault="007D17FC" w:rsidP="00216EFF">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lastRenderedPageBreak/>
        <w:t>REFERÊNCIAS</w:t>
      </w:r>
    </w:p>
    <w:p w14:paraId="38C31156"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BAUMEISTER, R. F., e LEARY, M. R. (1997). </w:t>
      </w:r>
      <w:proofErr w:type="spellStart"/>
      <w:r w:rsidRPr="003D6885">
        <w:rPr>
          <w:rFonts w:asciiTheme="minorHAnsi" w:hAnsiTheme="minorHAnsi" w:cs="Arial"/>
          <w:color w:val="000000"/>
          <w:sz w:val="22"/>
          <w:szCs w:val="22"/>
        </w:rPr>
        <w:t>Writing</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narrative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literature</w:t>
      </w:r>
      <w:proofErr w:type="spellEnd"/>
      <w:r w:rsidRPr="003D6885">
        <w:rPr>
          <w:rFonts w:asciiTheme="minorHAnsi" w:hAnsiTheme="minorHAnsi" w:cs="Arial"/>
          <w:color w:val="000000"/>
          <w:sz w:val="22"/>
          <w:szCs w:val="22"/>
        </w:rPr>
        <w:t xml:space="preserve"> reviews. Review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General </w:t>
      </w:r>
      <w:proofErr w:type="spellStart"/>
      <w:r w:rsidRPr="003D6885">
        <w:rPr>
          <w:rFonts w:asciiTheme="minorHAnsi" w:hAnsiTheme="minorHAnsi" w:cs="Arial"/>
          <w:color w:val="000000"/>
          <w:sz w:val="22"/>
          <w:szCs w:val="22"/>
        </w:rPr>
        <w:t>Psychology</w:t>
      </w:r>
      <w:proofErr w:type="spellEnd"/>
      <w:r w:rsidRPr="003D6885">
        <w:rPr>
          <w:rFonts w:asciiTheme="minorHAnsi" w:hAnsiTheme="minorHAnsi" w:cs="Arial"/>
          <w:color w:val="000000"/>
          <w:sz w:val="22"/>
          <w:szCs w:val="22"/>
        </w:rPr>
        <w:t>, 1(3), 311-320.</w:t>
      </w:r>
    </w:p>
    <w:p w14:paraId="2E7CEDA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BRASIL. Lei nº 11.326, de 24 de julho de 2006. Estabelece as diretrizes para a formulação da Política Nacional da Agricultura Familiar e Empreendimentos Familiares Rurais.</w:t>
      </w:r>
    </w:p>
    <w:p w14:paraId="09B6F319"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BRASIL. LEI Nº 12.187, DE 29 DE DEZEMBRO DE 2009. Institui a Política Nacional sobre Mudança do Clima - PNMC e dá outras providências.</w:t>
      </w:r>
    </w:p>
    <w:p w14:paraId="4A98B31D"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BRASIL. Plano Clima Adaptação – Setorial Agricultura Familiar, versão Consulta Pública. Disponível em</w:t>
      </w:r>
      <w:hyperlink r:id="rId8"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https://brasilparticipativo.presidencia.gov.br/processes/planoclima/f/533/</w:t>
        </w:r>
      </w:hyperlink>
      <w:r w:rsidRPr="003D6885">
        <w:rPr>
          <w:rFonts w:asciiTheme="minorHAnsi" w:hAnsiTheme="minorHAnsi" w:cs="Arial"/>
          <w:color w:val="000000"/>
          <w:sz w:val="22"/>
          <w:szCs w:val="22"/>
        </w:rPr>
        <w:t xml:space="preserve"> . Acesso em 20 de abril de 2025.</w:t>
      </w:r>
    </w:p>
    <w:p w14:paraId="5F1C3FB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BRASIL. Plano Alimento no Prato. Disponível em</w:t>
      </w:r>
      <w:hyperlink r:id="rId9"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https://redesans.com.br/rede/wp-content/uploads/2024/11/Plano-Nacional-de-Abastecimento-Alimentar-2025-2028.pdf</w:t>
        </w:r>
      </w:hyperlink>
      <w:r w:rsidRPr="003D6885">
        <w:rPr>
          <w:rFonts w:asciiTheme="minorHAnsi" w:hAnsiTheme="minorHAnsi" w:cs="Arial"/>
          <w:color w:val="000000"/>
          <w:sz w:val="22"/>
          <w:szCs w:val="22"/>
        </w:rPr>
        <w:t xml:space="preserve"> . Acesso em 10 de abril de 2024.</w:t>
      </w:r>
    </w:p>
    <w:p w14:paraId="59C63E8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BOCCHI, C. P.; MAGALHÃES, É. S.; RAHAL, L.; GENTIL, P.; GONÇALVES, R. S. A década da nutrição, a política de segurança alimentar e nutricional e as compras públicas da agricultura familiar no Brasil. Revista Panamericana de Salud Pública, v. 43, p. e84, 16 dez. 2019.</w:t>
      </w:r>
      <w:hyperlink r:id="rId10"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https://doi.org/10.26633/RPSP.2019.84</w:t>
        </w:r>
      </w:hyperlink>
      <w:r w:rsidRPr="003D6885">
        <w:rPr>
          <w:rFonts w:asciiTheme="minorHAnsi" w:hAnsiTheme="minorHAnsi" w:cs="Arial"/>
          <w:color w:val="000000"/>
          <w:sz w:val="22"/>
          <w:szCs w:val="22"/>
        </w:rPr>
        <w:t>.</w:t>
      </w:r>
    </w:p>
    <w:p w14:paraId="255AA1F5"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CHELALA, Cláudia; CHELALA, Charles. Agronegócio e mudanças climáticas: reflexões sobre os conflitos socioambientais brasileiros. </w:t>
      </w:r>
      <w:proofErr w:type="spellStart"/>
      <w:r w:rsidRPr="003D6885">
        <w:rPr>
          <w:rFonts w:asciiTheme="minorHAnsi" w:hAnsiTheme="minorHAnsi" w:cs="Arial"/>
          <w:b/>
          <w:bCs/>
          <w:color w:val="000000"/>
          <w:sz w:val="22"/>
          <w:szCs w:val="22"/>
        </w:rPr>
        <w:t>Geosul</w:t>
      </w:r>
      <w:proofErr w:type="spellEnd"/>
      <w:r w:rsidRPr="003D6885">
        <w:rPr>
          <w:rFonts w:asciiTheme="minorHAnsi" w:hAnsiTheme="minorHAnsi" w:cs="Arial"/>
          <w:color w:val="000000"/>
          <w:sz w:val="22"/>
          <w:szCs w:val="22"/>
        </w:rPr>
        <w:t>, v. 38, n. 87, p. 189-214, 2023.</w:t>
      </w:r>
    </w:p>
    <w:p w14:paraId="2103FBB6"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DRUMM, F.C.; GERHARDT, A.E.; FERNANDES, G.D.; CHAGAS, P.; SUCOLOTTI, M.S.; et al. Poluição atmosférica proveniente da queima de combustíveis derivados do petróleo em veículos automotores. Revista Eletrônica em Gestão, Educação e Tecnologia Ambiental, v. 18 n. 1, p. 66-78, 2014.</w:t>
      </w:r>
    </w:p>
    <w:p w14:paraId="30DC4870"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GARCIA, Junior Ruiz et al. Agricultura familiar de baixa emissão de carbono no Brasil. </w:t>
      </w:r>
      <w:r w:rsidRPr="003D6885">
        <w:rPr>
          <w:rFonts w:asciiTheme="minorHAnsi" w:hAnsiTheme="minorHAnsi" w:cs="Arial"/>
          <w:b/>
          <w:bCs/>
          <w:color w:val="000000"/>
          <w:sz w:val="22"/>
          <w:szCs w:val="22"/>
        </w:rPr>
        <w:t>Revista de Política Agrícola</w:t>
      </w:r>
      <w:r w:rsidRPr="003D6885">
        <w:rPr>
          <w:rFonts w:asciiTheme="minorHAnsi" w:hAnsiTheme="minorHAnsi" w:cs="Arial"/>
          <w:color w:val="000000"/>
          <w:sz w:val="22"/>
          <w:szCs w:val="22"/>
        </w:rPr>
        <w:t>, v. 31, n. 4, p. 119, 2022.</w:t>
      </w:r>
    </w:p>
    <w:p w14:paraId="0DD3C9E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GUIMARÃES, S.O.; COSTA, A.A.; VASCONCELOS JÚNIOR, F.C.; SILVA, E.M.; SALES, D.C.; ARAÚJO JÚNIOR, L.M.; SOUZA, S.G. Projeções de mudanças climáticas sobre o Nordeste brasileiro dos modelos do CMIP5 e do CORDEX. Revista Brasileira de Meteorologia, v. 31, n. 3, p.1-36, 2016.</w:t>
      </w:r>
    </w:p>
    <w:p w14:paraId="10F66FC1"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IOCCA, Luciana </w:t>
      </w:r>
      <w:proofErr w:type="spellStart"/>
      <w:r w:rsidRPr="003D6885">
        <w:rPr>
          <w:rFonts w:asciiTheme="minorHAnsi" w:hAnsiTheme="minorHAnsi" w:cs="Arial"/>
          <w:color w:val="000000"/>
          <w:sz w:val="22"/>
          <w:szCs w:val="22"/>
        </w:rPr>
        <w:t>Stephani</w:t>
      </w:r>
      <w:proofErr w:type="spellEnd"/>
      <w:r w:rsidRPr="003D6885">
        <w:rPr>
          <w:rFonts w:asciiTheme="minorHAnsi" w:hAnsiTheme="minorHAnsi" w:cs="Arial"/>
          <w:color w:val="000000"/>
          <w:sz w:val="22"/>
          <w:szCs w:val="22"/>
        </w:rPr>
        <w:t xml:space="preserve"> Silva. </w:t>
      </w:r>
      <w:r w:rsidRPr="003D6885">
        <w:rPr>
          <w:rFonts w:asciiTheme="minorHAnsi" w:hAnsiTheme="minorHAnsi" w:cs="Arial"/>
          <w:b/>
          <w:bCs/>
          <w:color w:val="000000"/>
          <w:sz w:val="22"/>
          <w:szCs w:val="22"/>
        </w:rPr>
        <w:t>As Comunidades e Territórios Tradicionais nas Estratégias de Adaptação às Alterações Climáticas: Do Direito ao Plano</w:t>
      </w:r>
      <w:r w:rsidRPr="003D6885">
        <w:rPr>
          <w:rFonts w:asciiTheme="minorHAnsi" w:hAnsiTheme="minorHAnsi" w:cs="Arial"/>
          <w:color w:val="000000"/>
          <w:sz w:val="22"/>
          <w:szCs w:val="22"/>
        </w:rPr>
        <w:t>. 2022. Tese de Doutorado. Universidade de Aveiro (Portugal).</w:t>
      </w:r>
    </w:p>
    <w:p w14:paraId="5929ECB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IPCC. Mudança do Clima 2021: A Base das Ciências Físicas. Contribuição do Grupo de Trabalho I ao Sexto Relatório de Avaliação do Painel Intergovernamental sobre Mudanças Climáticas. [</w:t>
      </w:r>
      <w:proofErr w:type="spellStart"/>
      <w:r w:rsidRPr="003D6885">
        <w:rPr>
          <w:rFonts w:asciiTheme="minorHAnsi" w:hAnsiTheme="minorHAnsi" w:cs="Arial"/>
          <w:color w:val="000000"/>
          <w:sz w:val="22"/>
          <w:szCs w:val="22"/>
        </w:rPr>
        <w:t>S.l</w:t>
      </w:r>
      <w:proofErr w:type="spellEnd"/>
      <w:r w:rsidRPr="003D6885">
        <w:rPr>
          <w:rFonts w:asciiTheme="minorHAnsi" w:hAnsiTheme="minorHAnsi" w:cs="Arial"/>
          <w:color w:val="000000"/>
          <w:sz w:val="22"/>
          <w:szCs w:val="22"/>
        </w:rPr>
        <w:t xml:space="preserve">.]: Cambridge </w:t>
      </w:r>
      <w:proofErr w:type="spellStart"/>
      <w:r w:rsidRPr="003D6885">
        <w:rPr>
          <w:rFonts w:asciiTheme="minorHAnsi" w:hAnsiTheme="minorHAnsi" w:cs="Arial"/>
          <w:color w:val="000000"/>
          <w:sz w:val="22"/>
          <w:szCs w:val="22"/>
        </w:rPr>
        <w:t>University</w:t>
      </w:r>
      <w:proofErr w:type="spellEnd"/>
      <w:r w:rsidRPr="003D6885">
        <w:rPr>
          <w:rFonts w:asciiTheme="minorHAnsi" w:hAnsiTheme="minorHAnsi" w:cs="Arial"/>
          <w:color w:val="000000"/>
          <w:sz w:val="22"/>
          <w:szCs w:val="22"/>
        </w:rPr>
        <w:t xml:space="preserve"> Press, 2021. Disponível em: https://www.ipcc.ch/report/ar6/wg1/. Acesso em: 10 abr. 2025.</w:t>
      </w:r>
    </w:p>
    <w:p w14:paraId="386C269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JAROENKIETKAJORN, U.; GHEEWALA, S. H. </w:t>
      </w:r>
      <w:proofErr w:type="spellStart"/>
      <w:r w:rsidRPr="003D6885">
        <w:rPr>
          <w:rFonts w:asciiTheme="minorHAnsi" w:hAnsiTheme="minorHAnsi" w:cs="Arial"/>
          <w:color w:val="000000"/>
          <w:sz w:val="22"/>
          <w:szCs w:val="22"/>
        </w:rPr>
        <w:t>Understanding</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the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impacts</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land</w:t>
      </w:r>
      <w:proofErr w:type="spellEnd"/>
      <w:r w:rsidRPr="003D6885">
        <w:rPr>
          <w:rFonts w:asciiTheme="minorHAnsi" w:hAnsiTheme="minorHAnsi" w:cs="Arial"/>
          <w:color w:val="000000"/>
          <w:sz w:val="22"/>
          <w:szCs w:val="22"/>
        </w:rPr>
        <w:t xml:space="preserve"> use </w:t>
      </w:r>
      <w:proofErr w:type="spellStart"/>
      <w:r w:rsidRPr="003D6885">
        <w:rPr>
          <w:rFonts w:asciiTheme="minorHAnsi" w:hAnsiTheme="minorHAnsi" w:cs="Arial"/>
          <w:color w:val="000000"/>
          <w:sz w:val="22"/>
          <w:szCs w:val="22"/>
        </w:rPr>
        <w:t>through</w:t>
      </w:r>
      <w:proofErr w:type="spellEnd"/>
      <w:r w:rsidRPr="003D6885">
        <w:rPr>
          <w:rFonts w:asciiTheme="minorHAnsi" w:hAnsiTheme="minorHAnsi" w:cs="Arial"/>
          <w:color w:val="000000"/>
          <w:sz w:val="22"/>
          <w:szCs w:val="22"/>
        </w:rPr>
        <w:t xml:space="preserve"> GHG-</w:t>
      </w:r>
      <w:proofErr w:type="spellStart"/>
      <w:r w:rsidRPr="003D6885">
        <w:rPr>
          <w:rFonts w:asciiTheme="minorHAnsi" w:hAnsiTheme="minorHAnsi" w:cs="Arial"/>
          <w:color w:val="000000"/>
          <w:sz w:val="22"/>
          <w:szCs w:val="22"/>
        </w:rPr>
        <w:t>water</w:t>
      </w:r>
      <w:proofErr w:type="spellEnd"/>
      <w:r w:rsidRPr="003D6885">
        <w:rPr>
          <w:rFonts w:asciiTheme="minorHAnsi" w:hAnsiTheme="minorHAnsi" w:cs="Arial"/>
          <w:color w:val="000000"/>
          <w:sz w:val="22"/>
          <w:szCs w:val="22"/>
        </w:rPr>
        <w:t>-</w:t>
      </w:r>
      <w:proofErr w:type="spellStart"/>
      <w:r w:rsidRPr="003D6885">
        <w:rPr>
          <w:rFonts w:asciiTheme="minorHAnsi" w:hAnsiTheme="minorHAnsi" w:cs="Arial"/>
          <w:color w:val="000000"/>
          <w:sz w:val="22"/>
          <w:szCs w:val="22"/>
        </w:rPr>
        <w:t>land-biodiversity</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nexus</w:t>
      </w:r>
      <w:proofErr w:type="spellEnd"/>
      <w:r w:rsidRPr="003D6885">
        <w:rPr>
          <w:rFonts w:asciiTheme="minorHAnsi" w:hAnsiTheme="minorHAnsi" w:cs="Arial"/>
          <w:color w:val="000000"/>
          <w:sz w:val="22"/>
          <w:szCs w:val="22"/>
        </w:rPr>
        <w:t xml:space="preserve">: The case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oil</w:t>
      </w:r>
      <w:proofErr w:type="spellEnd"/>
      <w:r w:rsidRPr="003D6885">
        <w:rPr>
          <w:rFonts w:asciiTheme="minorHAnsi" w:hAnsiTheme="minorHAnsi" w:cs="Arial"/>
          <w:color w:val="000000"/>
          <w:sz w:val="22"/>
          <w:szCs w:val="22"/>
        </w:rPr>
        <w:t xml:space="preserve"> palm plantations in </w:t>
      </w:r>
      <w:proofErr w:type="spellStart"/>
      <w:r w:rsidRPr="003D6885">
        <w:rPr>
          <w:rFonts w:asciiTheme="minorHAnsi" w:hAnsiTheme="minorHAnsi" w:cs="Arial"/>
          <w:color w:val="000000"/>
          <w:sz w:val="22"/>
          <w:szCs w:val="22"/>
        </w:rPr>
        <w:t>Thailand</w:t>
      </w:r>
      <w:proofErr w:type="spellEnd"/>
      <w:r w:rsidRPr="003D6885">
        <w:rPr>
          <w:rFonts w:asciiTheme="minorHAnsi" w:hAnsiTheme="minorHAnsi" w:cs="Arial"/>
          <w:color w:val="000000"/>
          <w:sz w:val="22"/>
          <w:szCs w:val="22"/>
        </w:rPr>
        <w:t xml:space="preserve">. </w:t>
      </w:r>
      <w:r w:rsidRPr="003D6885">
        <w:rPr>
          <w:rFonts w:asciiTheme="minorHAnsi" w:hAnsiTheme="minorHAnsi" w:cs="Arial"/>
          <w:b/>
          <w:bCs/>
          <w:color w:val="000000"/>
          <w:sz w:val="22"/>
          <w:szCs w:val="22"/>
        </w:rPr>
        <w:t xml:space="preserve">Science </w:t>
      </w:r>
      <w:proofErr w:type="spellStart"/>
      <w:r w:rsidRPr="003D6885">
        <w:rPr>
          <w:rFonts w:asciiTheme="minorHAnsi" w:hAnsiTheme="minorHAnsi" w:cs="Arial"/>
          <w:b/>
          <w:bCs/>
          <w:color w:val="000000"/>
          <w:sz w:val="22"/>
          <w:szCs w:val="22"/>
        </w:rPr>
        <w:t>of</w:t>
      </w:r>
      <w:proofErr w:type="spellEnd"/>
      <w:r w:rsidRPr="003D6885">
        <w:rPr>
          <w:rFonts w:asciiTheme="minorHAnsi" w:hAnsiTheme="minorHAnsi" w:cs="Arial"/>
          <w:b/>
          <w:bCs/>
          <w:color w:val="000000"/>
          <w:sz w:val="22"/>
          <w:szCs w:val="22"/>
        </w:rPr>
        <w:t xml:space="preserve"> The Total </w:t>
      </w:r>
      <w:proofErr w:type="spellStart"/>
      <w:r w:rsidRPr="003D6885">
        <w:rPr>
          <w:rFonts w:asciiTheme="minorHAnsi" w:hAnsiTheme="minorHAnsi" w:cs="Arial"/>
          <w:b/>
          <w:bCs/>
          <w:color w:val="000000"/>
          <w:sz w:val="22"/>
          <w:szCs w:val="22"/>
        </w:rPr>
        <w:t>Environment</w:t>
      </w:r>
      <w:proofErr w:type="spellEnd"/>
      <w:r w:rsidRPr="003D6885">
        <w:rPr>
          <w:rFonts w:asciiTheme="minorHAnsi" w:hAnsiTheme="minorHAnsi" w:cs="Arial"/>
          <w:color w:val="000000"/>
          <w:sz w:val="22"/>
          <w:szCs w:val="22"/>
        </w:rPr>
        <w:t>, v. 800, p. 149425, 2021.</w:t>
      </w:r>
    </w:p>
    <w:p w14:paraId="28123CF6"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LEITE, Maria Laís dos Santos; LEITE, Jáder Ferreira. (In)segurança alimentar e agricultura familiar: políticas públicas como estratégia de superação da fome. Revista </w:t>
      </w:r>
      <w:proofErr w:type="spellStart"/>
      <w:r w:rsidRPr="003D6885">
        <w:rPr>
          <w:rFonts w:asciiTheme="minorHAnsi" w:hAnsiTheme="minorHAnsi" w:cs="Arial"/>
          <w:color w:val="000000"/>
          <w:sz w:val="22"/>
          <w:szCs w:val="22"/>
        </w:rPr>
        <w:t>Katálysis</w:t>
      </w:r>
      <w:proofErr w:type="spellEnd"/>
      <w:r w:rsidRPr="003D6885">
        <w:rPr>
          <w:rFonts w:asciiTheme="minorHAnsi" w:hAnsiTheme="minorHAnsi" w:cs="Arial"/>
          <w:color w:val="000000"/>
          <w:sz w:val="22"/>
          <w:szCs w:val="22"/>
        </w:rPr>
        <w:t>, v. 25, n. 3, e86341, 2022.</w:t>
      </w:r>
      <w:hyperlink r:id="rId11"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https://doi.org/10.1590/1982-0259.2022.e86341</w:t>
        </w:r>
      </w:hyperlink>
      <w:r w:rsidRPr="003D6885">
        <w:rPr>
          <w:rFonts w:asciiTheme="minorHAnsi" w:hAnsiTheme="minorHAnsi" w:cs="Arial"/>
          <w:color w:val="000000"/>
          <w:sz w:val="22"/>
          <w:szCs w:val="22"/>
        </w:rPr>
        <w:t>.</w:t>
      </w:r>
    </w:p>
    <w:p w14:paraId="5EB980BB"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lastRenderedPageBreak/>
        <w:t xml:space="preserve">MBOW, C. et al. Food Security. In: </w:t>
      </w:r>
      <w:proofErr w:type="spellStart"/>
      <w:r w:rsidRPr="003D6885">
        <w:rPr>
          <w:rFonts w:asciiTheme="minorHAnsi" w:hAnsiTheme="minorHAnsi" w:cs="Arial"/>
          <w:color w:val="000000"/>
          <w:sz w:val="22"/>
          <w:szCs w:val="22"/>
        </w:rPr>
        <w:t>Climate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Change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and</w:t>
      </w:r>
      <w:proofErr w:type="spellEnd"/>
      <w:r w:rsidRPr="003D6885">
        <w:rPr>
          <w:rFonts w:asciiTheme="minorHAnsi" w:hAnsiTheme="minorHAnsi" w:cs="Arial"/>
          <w:color w:val="000000"/>
          <w:sz w:val="22"/>
          <w:szCs w:val="22"/>
        </w:rPr>
        <w:t xml:space="preserve"> Land: </w:t>
      </w:r>
      <w:proofErr w:type="spellStart"/>
      <w:r w:rsidRPr="003D6885">
        <w:rPr>
          <w:rFonts w:asciiTheme="minorHAnsi" w:hAnsiTheme="minorHAnsi" w:cs="Arial"/>
          <w:color w:val="000000"/>
          <w:sz w:val="22"/>
          <w:szCs w:val="22"/>
        </w:rPr>
        <w:t>an</w:t>
      </w:r>
      <w:proofErr w:type="spellEnd"/>
      <w:r w:rsidRPr="003D6885">
        <w:rPr>
          <w:rFonts w:asciiTheme="minorHAnsi" w:hAnsiTheme="minorHAnsi" w:cs="Arial"/>
          <w:color w:val="000000"/>
          <w:sz w:val="22"/>
          <w:szCs w:val="22"/>
        </w:rPr>
        <w:t xml:space="preserve"> IPCC </w:t>
      </w:r>
      <w:proofErr w:type="spellStart"/>
      <w:r w:rsidRPr="003D6885">
        <w:rPr>
          <w:rFonts w:asciiTheme="minorHAnsi" w:hAnsiTheme="minorHAnsi" w:cs="Arial"/>
          <w:color w:val="000000"/>
          <w:sz w:val="22"/>
          <w:szCs w:val="22"/>
        </w:rPr>
        <w:t>special</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report</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climate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change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desertification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land</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degradation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sustainable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land</w:t>
      </w:r>
      <w:proofErr w:type="spellEnd"/>
      <w:r w:rsidRPr="003D6885">
        <w:rPr>
          <w:rFonts w:asciiTheme="minorHAnsi" w:hAnsiTheme="minorHAnsi" w:cs="Arial"/>
          <w:color w:val="000000"/>
          <w:sz w:val="22"/>
          <w:szCs w:val="22"/>
        </w:rPr>
        <w:t xml:space="preserve"> management, food </w:t>
      </w:r>
      <w:proofErr w:type="spellStart"/>
      <w:r w:rsidRPr="003D6885">
        <w:rPr>
          <w:rFonts w:asciiTheme="minorHAnsi" w:hAnsiTheme="minorHAnsi" w:cs="Arial"/>
          <w:color w:val="000000"/>
          <w:sz w:val="22"/>
          <w:szCs w:val="22"/>
        </w:rPr>
        <w:t>security</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and</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greenhouse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gas</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fluxes</w:t>
      </w:r>
      <w:proofErr w:type="spellEnd"/>
      <w:r w:rsidRPr="003D6885">
        <w:rPr>
          <w:rFonts w:asciiTheme="minorHAnsi" w:hAnsiTheme="minorHAnsi" w:cs="Arial"/>
          <w:color w:val="000000"/>
          <w:sz w:val="22"/>
          <w:szCs w:val="22"/>
        </w:rPr>
        <w:t xml:space="preserve"> in </w:t>
      </w:r>
      <w:proofErr w:type="spellStart"/>
      <w:r w:rsidRPr="003D6885">
        <w:rPr>
          <w:rFonts w:asciiTheme="minorHAnsi" w:hAnsiTheme="minorHAnsi" w:cs="Arial"/>
          <w:color w:val="000000"/>
          <w:sz w:val="22"/>
          <w:szCs w:val="22"/>
        </w:rPr>
        <w:t>terrestrial</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ecosystems</w:t>
      </w:r>
      <w:proofErr w:type="spellEnd"/>
      <w:r w:rsidRPr="003D6885">
        <w:rPr>
          <w:rFonts w:asciiTheme="minorHAnsi" w:hAnsiTheme="minorHAnsi" w:cs="Arial"/>
          <w:color w:val="000000"/>
          <w:sz w:val="22"/>
          <w:szCs w:val="22"/>
        </w:rPr>
        <w:t>. DOI: 10.1017/9781009157988.007, 2019.</w:t>
      </w:r>
    </w:p>
    <w:p w14:paraId="0D8C7E32"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NASCIMENTO, R.S.; ALVES, G.M. Fontes alternativas e renováveis de energia no Brasil: Métodos e benefícios ambientais. </w:t>
      </w:r>
      <w:r w:rsidRPr="003D6885">
        <w:rPr>
          <w:rFonts w:asciiTheme="minorHAnsi" w:hAnsiTheme="minorHAnsi" w:cs="Arial"/>
          <w:b/>
          <w:bCs/>
          <w:color w:val="000000"/>
          <w:sz w:val="22"/>
          <w:szCs w:val="22"/>
        </w:rPr>
        <w:t>XX Encontro Latino Americano de Iniciação Científica, XVI Encontro Latino Americano de Pós-Graduação e VI Encontro de Iniciação à Docência</w:t>
      </w:r>
      <w:r w:rsidRPr="003D6885">
        <w:rPr>
          <w:rFonts w:asciiTheme="minorHAnsi" w:hAnsiTheme="minorHAnsi" w:cs="Arial"/>
          <w:color w:val="000000"/>
          <w:sz w:val="22"/>
          <w:szCs w:val="22"/>
        </w:rPr>
        <w:t xml:space="preserve"> Universidade do Vale do Paraíba, 2016.</w:t>
      </w:r>
    </w:p>
    <w:p w14:paraId="61D20C18"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PORTO, Silvio et al. Os Caminhos da insegurança alimentar. In: Diana Aguiar. (Org.). Dossiê Crítico da Logística da Soja: Em defesa de alternativas à cadeia </w:t>
      </w:r>
      <w:proofErr w:type="spellStart"/>
      <w:r w:rsidRPr="003D6885">
        <w:rPr>
          <w:rFonts w:asciiTheme="minorHAnsi" w:hAnsiTheme="minorHAnsi" w:cs="Arial"/>
          <w:color w:val="000000"/>
          <w:sz w:val="22"/>
          <w:szCs w:val="22"/>
        </w:rPr>
        <w:t>monocultural</w:t>
      </w:r>
      <w:proofErr w:type="spellEnd"/>
      <w:r w:rsidRPr="003D6885">
        <w:rPr>
          <w:rFonts w:asciiTheme="minorHAnsi" w:hAnsiTheme="minorHAnsi" w:cs="Arial"/>
          <w:color w:val="000000"/>
          <w:sz w:val="22"/>
          <w:szCs w:val="22"/>
        </w:rPr>
        <w:t>. 1ed.Rio de Janeiro: FASE, 2021, v., p. 14-21.</w:t>
      </w:r>
    </w:p>
    <w:p w14:paraId="5226DCF1"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Portal eletrônico do documento “A NDC DO BRASIL | Determinação nacional em contribuir e transformar”. Disponível em</w:t>
      </w:r>
      <w:hyperlink r:id="rId12"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https://www.gov.br/mma/pt-br/assuntos/noticias/brasil-entrega-a-onu-nova-ndc-alinhada-ao-acordo-de-paris/ndc-versao-em-portugues.pdf/</w:t>
        </w:r>
      </w:hyperlink>
      <w:r w:rsidRPr="003D6885">
        <w:rPr>
          <w:rFonts w:asciiTheme="minorHAnsi" w:hAnsiTheme="minorHAnsi" w:cs="Arial"/>
          <w:color w:val="000000"/>
          <w:sz w:val="22"/>
          <w:szCs w:val="22"/>
        </w:rPr>
        <w:t>. Acesso em 18 de abril de 2025.</w:t>
      </w:r>
    </w:p>
    <w:p w14:paraId="37F6FCCB"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Portal eletrônico da Confederação Nacional dos Trabalhadores Rurais Agricultores e Agricultoras Familiares. Notícia “Plano Clima: Agricultura familiar é mais vulnerável à crise </w:t>
      </w:r>
      <w:proofErr w:type="gramStart"/>
      <w:r w:rsidRPr="003D6885">
        <w:rPr>
          <w:rFonts w:asciiTheme="minorHAnsi" w:hAnsiTheme="minorHAnsi" w:cs="Arial"/>
          <w:color w:val="000000"/>
          <w:sz w:val="22"/>
          <w:szCs w:val="22"/>
        </w:rPr>
        <w:t>climática</w:t>
      </w:r>
      <w:proofErr w:type="gramEnd"/>
      <w:r w:rsidRPr="003D6885">
        <w:rPr>
          <w:rFonts w:asciiTheme="minorHAnsi" w:hAnsiTheme="minorHAnsi" w:cs="Arial"/>
          <w:color w:val="000000"/>
          <w:sz w:val="22"/>
          <w:szCs w:val="22"/>
        </w:rPr>
        <w:t xml:space="preserve"> mas também é parte da solução”. Disponível em</w:t>
      </w:r>
      <w:hyperlink r:id="rId13"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https://ww2.contag.org.br/plano-clima--agricultura-familiar-e-mais-vulneravel-a-crise-climatica-mas-tambem-e-parte-da-solucao-20240625</w:t>
        </w:r>
      </w:hyperlink>
      <w:r w:rsidRPr="003D6885">
        <w:rPr>
          <w:rFonts w:asciiTheme="minorHAnsi" w:hAnsiTheme="minorHAnsi" w:cs="Arial"/>
          <w:color w:val="000000"/>
          <w:sz w:val="22"/>
          <w:szCs w:val="22"/>
        </w:rPr>
        <w:t xml:space="preserve"> . Acesso em 19 de abril de 2025.</w:t>
      </w:r>
    </w:p>
    <w:p w14:paraId="194CB929"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Portal eletrônico da Confederação Nacional dos Trabalhadores Rurais Agricultores e Agricultoras Familiares. Notícia “MUDANÇAS CLIMÁTICAS</w:t>
      </w:r>
    </w:p>
    <w:p w14:paraId="2F682353"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Votem pela criação de um Plano de Mitigação às Mudanças Climáticas específico para a agricultura familiar”. Disponível em</w:t>
      </w:r>
      <w:hyperlink r:id="rId14" w:anchor=":~:text=Desde%20o%20in%C3%ADcio%20do%20ano%2C%20a%20CONTAG,sua%20contribui%C3%A7%C3%A3o%20na%20mitiga%C3%A7%C3%A3o%20%C3%A0s%20mudan%C3%A7as%20clim%C3%A1ticas" w:history="1">
        <w:r w:rsidRPr="003D6885">
          <w:rPr>
            <w:rStyle w:val="Hyperlink"/>
            <w:rFonts w:asciiTheme="minorHAnsi" w:hAnsiTheme="minorHAnsi" w:cs="Arial"/>
            <w:color w:val="000000"/>
            <w:sz w:val="22"/>
            <w:szCs w:val="22"/>
          </w:rPr>
          <w:t xml:space="preserve"> </w:t>
        </w:r>
        <w:r w:rsidRPr="003D6885">
          <w:rPr>
            <w:rStyle w:val="Hyperlink"/>
            <w:rFonts w:asciiTheme="minorHAnsi" w:hAnsiTheme="minorHAnsi" w:cs="Arial"/>
            <w:color w:val="1155CC"/>
            <w:sz w:val="22"/>
            <w:szCs w:val="22"/>
          </w:rPr>
          <w:t>https://ww2.contag.org.br/votem-pela-criacao-de-um-plano-de-mitigacao-as-mudancas-climaticas-especifico-para-a-agricultura-familiar-20240822#:~:text=Desde%20o%20in%C3%ADcio%20do%20ano%2C%20a%20CONTAG,sua%20contribui%C3%A7%C3%A3o%20na%20mitiga%C3%A7%C3%A3o%20%C3%A0s%20mudan%C3%A7as%20clim%C3%A1ticas</w:t>
        </w:r>
      </w:hyperlink>
      <w:r w:rsidRPr="003D6885">
        <w:rPr>
          <w:rFonts w:asciiTheme="minorHAnsi" w:hAnsiTheme="minorHAnsi" w:cs="Arial"/>
          <w:color w:val="000000"/>
          <w:sz w:val="22"/>
          <w:szCs w:val="22"/>
        </w:rPr>
        <w:t xml:space="preserve"> . Acesso em 21 de abril de 2025.</w:t>
      </w:r>
    </w:p>
    <w:p w14:paraId="4920014A"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SANTOS DA CONCEIÇÃO, Mônica Conceitos básicos sobre mudança do clima: causas, mitigação e adaptação / Thiago de A. Mendes, Eagles Muniz, Mônica Santos da Conceição. p. cm. — (Monografia do </w:t>
      </w:r>
      <w:proofErr w:type="gramStart"/>
      <w:r w:rsidRPr="003D6885">
        <w:rPr>
          <w:rFonts w:asciiTheme="minorHAnsi" w:hAnsiTheme="minorHAnsi" w:cs="Arial"/>
          <w:color w:val="000000"/>
          <w:sz w:val="22"/>
          <w:szCs w:val="22"/>
        </w:rPr>
        <w:t>BID ;</w:t>
      </w:r>
      <w:proofErr w:type="gramEnd"/>
      <w:r w:rsidRPr="003D6885">
        <w:rPr>
          <w:rFonts w:asciiTheme="minorHAnsi" w:hAnsiTheme="minorHAnsi" w:cs="Arial"/>
          <w:color w:val="000000"/>
          <w:sz w:val="22"/>
          <w:szCs w:val="22"/>
        </w:rPr>
        <w:t xml:space="preserve"> 326)</w:t>
      </w:r>
    </w:p>
    <w:p w14:paraId="6BDE616D"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SEEBAUER, Matthias. Whole </w:t>
      </w:r>
      <w:proofErr w:type="spellStart"/>
      <w:r w:rsidRPr="003D6885">
        <w:rPr>
          <w:rFonts w:asciiTheme="minorHAnsi" w:hAnsiTheme="minorHAnsi" w:cs="Arial"/>
          <w:color w:val="000000"/>
          <w:sz w:val="22"/>
          <w:szCs w:val="22"/>
        </w:rPr>
        <w:t>farm</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quantification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GHG </w:t>
      </w:r>
      <w:proofErr w:type="spellStart"/>
      <w:r w:rsidRPr="003D6885">
        <w:rPr>
          <w:rFonts w:asciiTheme="minorHAnsi" w:hAnsiTheme="minorHAnsi" w:cs="Arial"/>
          <w:color w:val="000000"/>
          <w:sz w:val="22"/>
          <w:szCs w:val="22"/>
        </w:rPr>
        <w:t>emissions</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within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smallholder</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farms</w:t>
      </w:r>
      <w:proofErr w:type="spellEnd"/>
      <w:r w:rsidRPr="003D6885">
        <w:rPr>
          <w:rFonts w:asciiTheme="minorHAnsi" w:hAnsiTheme="minorHAnsi" w:cs="Arial"/>
          <w:color w:val="000000"/>
          <w:sz w:val="22"/>
          <w:szCs w:val="22"/>
        </w:rPr>
        <w:t xml:space="preserve"> in </w:t>
      </w:r>
      <w:proofErr w:type="spellStart"/>
      <w:r w:rsidRPr="003D6885">
        <w:rPr>
          <w:rFonts w:asciiTheme="minorHAnsi" w:hAnsiTheme="minorHAnsi" w:cs="Arial"/>
          <w:color w:val="000000"/>
          <w:sz w:val="22"/>
          <w:szCs w:val="22"/>
        </w:rPr>
        <w:t>developing</w:t>
      </w:r>
      <w:proofErr w:type="spellEnd"/>
      <w:r w:rsidRPr="003D6885">
        <w:rPr>
          <w:rFonts w:asciiTheme="minorHAnsi" w:hAnsiTheme="minorHAnsi" w:cs="Arial"/>
          <w:color w:val="000000"/>
          <w:sz w:val="22"/>
          <w:szCs w:val="22"/>
        </w:rPr>
        <w:t xml:space="preserve"> countries. Environmental </w:t>
      </w:r>
      <w:proofErr w:type="spellStart"/>
      <w:r w:rsidRPr="003D6885">
        <w:rPr>
          <w:rFonts w:asciiTheme="minorHAnsi" w:hAnsiTheme="minorHAnsi" w:cs="Arial"/>
          <w:color w:val="000000"/>
          <w:sz w:val="22"/>
          <w:szCs w:val="22"/>
        </w:rPr>
        <w:t>Research</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Letters</w:t>
      </w:r>
      <w:proofErr w:type="spellEnd"/>
      <w:r w:rsidRPr="003D6885">
        <w:rPr>
          <w:rFonts w:asciiTheme="minorHAnsi" w:hAnsiTheme="minorHAnsi" w:cs="Arial"/>
          <w:color w:val="000000"/>
          <w:sz w:val="22"/>
          <w:szCs w:val="22"/>
        </w:rPr>
        <w:t>, [</w:t>
      </w:r>
      <w:proofErr w:type="spellStart"/>
      <w:r w:rsidRPr="003D6885">
        <w:rPr>
          <w:rFonts w:asciiTheme="minorHAnsi" w:hAnsiTheme="minorHAnsi" w:cs="Arial"/>
          <w:color w:val="000000"/>
          <w:sz w:val="22"/>
          <w:szCs w:val="22"/>
        </w:rPr>
        <w:t>s.l</w:t>
      </w:r>
      <w:proofErr w:type="spellEnd"/>
      <w:r w:rsidRPr="003D6885">
        <w:rPr>
          <w:rFonts w:asciiTheme="minorHAnsi" w:hAnsiTheme="minorHAnsi" w:cs="Arial"/>
          <w:color w:val="000000"/>
          <w:sz w:val="22"/>
          <w:szCs w:val="22"/>
        </w:rPr>
        <w:t>.], v. 9, n. 3, p. 035006, 2014. DOI: 10.1088/1748-9326/9/3/035006. VIOLA, Eduardo; MENDES, Vinícius. Agricultura 4.0 e mudanças climáticas no Brasil. Ambiente &amp; Sociedade, v. 25, 2022. https://doi.org/10.1590/1809 4422asoc20200246r2vu2022L3AO.</w:t>
      </w:r>
    </w:p>
    <w:p w14:paraId="4D4C81DE" w14:textId="77777777" w:rsidR="003D6885" w:rsidRPr="003D6885" w:rsidRDefault="003D6885" w:rsidP="007D17FC">
      <w:pPr>
        <w:pStyle w:val="NormalWeb"/>
        <w:jc w:val="both"/>
        <w:rPr>
          <w:rFonts w:asciiTheme="minorHAnsi" w:hAnsiTheme="minorHAnsi"/>
        </w:rPr>
      </w:pPr>
      <w:r w:rsidRPr="003D6885">
        <w:rPr>
          <w:rFonts w:asciiTheme="minorHAnsi" w:hAnsiTheme="minorHAnsi" w:cs="Arial"/>
          <w:color w:val="000000"/>
          <w:sz w:val="22"/>
          <w:szCs w:val="22"/>
        </w:rPr>
        <w:t xml:space="preserve">SMITH, P. et al. </w:t>
      </w:r>
      <w:proofErr w:type="spellStart"/>
      <w:r w:rsidRPr="003D6885">
        <w:rPr>
          <w:rFonts w:asciiTheme="minorHAnsi" w:hAnsiTheme="minorHAnsi" w:cs="Arial"/>
          <w:color w:val="000000"/>
          <w:sz w:val="22"/>
          <w:szCs w:val="22"/>
        </w:rPr>
        <w:t>Agriculture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forestry</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and</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other</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land</w:t>
      </w:r>
      <w:proofErr w:type="spellEnd"/>
      <w:r w:rsidRPr="003D6885">
        <w:rPr>
          <w:rFonts w:asciiTheme="minorHAnsi" w:hAnsiTheme="minorHAnsi" w:cs="Arial"/>
          <w:color w:val="000000"/>
          <w:sz w:val="22"/>
          <w:szCs w:val="22"/>
        </w:rPr>
        <w:t xml:space="preserve"> use (AFOLU). In: </w:t>
      </w:r>
      <w:proofErr w:type="spellStart"/>
      <w:r w:rsidRPr="003D6885">
        <w:rPr>
          <w:rFonts w:asciiTheme="minorHAnsi" w:hAnsiTheme="minorHAnsi" w:cs="Arial"/>
          <w:color w:val="000000"/>
          <w:sz w:val="22"/>
          <w:szCs w:val="22"/>
        </w:rPr>
        <w:t>Climate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Change</w:t>
      </w:r>
      <w:proofErr w:type="spellEnd"/>
      <w:r w:rsidRPr="003D6885">
        <w:rPr>
          <w:rFonts w:asciiTheme="minorHAnsi" w:hAnsiTheme="minorHAnsi" w:cs="Arial"/>
          <w:color w:val="000000"/>
          <w:sz w:val="22"/>
          <w:szCs w:val="22"/>
        </w:rPr>
        <w:t xml:space="preserve"> 2014: </w:t>
      </w:r>
      <w:proofErr w:type="spellStart"/>
      <w:r w:rsidRPr="003D6885">
        <w:rPr>
          <w:rFonts w:asciiTheme="minorHAnsi" w:hAnsiTheme="minorHAnsi" w:cs="Arial"/>
          <w:color w:val="000000"/>
          <w:sz w:val="22"/>
          <w:szCs w:val="22"/>
        </w:rPr>
        <w:t>Mitigation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Climate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Change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Contribution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Working</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Group</w:t>
      </w:r>
      <w:proofErr w:type="spellEnd"/>
      <w:r w:rsidRPr="003D6885">
        <w:rPr>
          <w:rFonts w:asciiTheme="minorHAnsi" w:hAnsiTheme="minorHAnsi" w:cs="Arial"/>
          <w:color w:val="000000"/>
          <w:sz w:val="22"/>
          <w:szCs w:val="22"/>
        </w:rPr>
        <w:t xml:space="preserve"> III </w:t>
      </w:r>
      <w:proofErr w:type="spellStart"/>
      <w:r w:rsidRPr="003D6885">
        <w:rPr>
          <w:rFonts w:asciiTheme="minorHAnsi" w:hAnsiTheme="minorHAnsi" w:cs="Arial"/>
          <w:color w:val="000000"/>
          <w:sz w:val="22"/>
          <w:szCs w:val="22"/>
        </w:rPr>
        <w:t>to</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the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Fifth</w:t>
      </w:r>
      <w:proofErr w:type="spellEnd"/>
      <w:r w:rsidRPr="003D6885">
        <w:rPr>
          <w:rFonts w:asciiTheme="minorHAnsi" w:hAnsiTheme="minorHAnsi" w:cs="Arial"/>
          <w:color w:val="000000"/>
          <w:sz w:val="22"/>
          <w:szCs w:val="22"/>
        </w:rPr>
        <w:t xml:space="preserve"> Assessment Report </w:t>
      </w:r>
      <w:proofErr w:type="spellStart"/>
      <w:r w:rsidRPr="003D6885">
        <w:rPr>
          <w:rFonts w:asciiTheme="minorHAnsi" w:hAnsiTheme="minorHAnsi" w:cs="Arial"/>
          <w:color w:val="000000"/>
          <w:sz w:val="22"/>
          <w:szCs w:val="22"/>
        </w:rPr>
        <w:t>of</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the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Intergovernmental</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Panel</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on</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Climate</w:t>
      </w:r>
      <w:proofErr w:type="spellEnd"/>
      <w:r w:rsidRPr="003D6885">
        <w:rPr>
          <w:rFonts w:asciiTheme="minorHAnsi" w:hAnsiTheme="minorHAnsi" w:cs="Arial"/>
          <w:color w:val="000000"/>
          <w:sz w:val="22"/>
          <w:szCs w:val="22"/>
        </w:rPr>
        <w:t xml:space="preserve"> </w:t>
      </w:r>
      <w:proofErr w:type="spellStart"/>
      <w:r w:rsidRPr="003D6885">
        <w:rPr>
          <w:rFonts w:asciiTheme="minorHAnsi" w:hAnsiTheme="minorHAnsi" w:cs="Arial"/>
          <w:color w:val="000000"/>
          <w:sz w:val="22"/>
          <w:szCs w:val="22"/>
        </w:rPr>
        <w:t>Change</w:t>
      </w:r>
      <w:proofErr w:type="spellEnd"/>
      <w:r w:rsidRPr="003D6885">
        <w:rPr>
          <w:rFonts w:asciiTheme="minorHAnsi" w:hAnsiTheme="minorHAnsi" w:cs="Arial"/>
          <w:color w:val="000000"/>
          <w:sz w:val="22"/>
          <w:szCs w:val="22"/>
        </w:rPr>
        <w:t xml:space="preserve">. Cambridge: Cambridge </w:t>
      </w:r>
      <w:proofErr w:type="spellStart"/>
      <w:r w:rsidRPr="003D6885">
        <w:rPr>
          <w:rFonts w:asciiTheme="minorHAnsi" w:hAnsiTheme="minorHAnsi" w:cs="Arial"/>
          <w:color w:val="000000"/>
          <w:sz w:val="22"/>
          <w:szCs w:val="22"/>
        </w:rPr>
        <w:t>University</w:t>
      </w:r>
      <w:proofErr w:type="spellEnd"/>
      <w:r w:rsidRPr="003D6885">
        <w:rPr>
          <w:rFonts w:asciiTheme="minorHAnsi" w:hAnsiTheme="minorHAnsi" w:cs="Arial"/>
          <w:color w:val="000000"/>
          <w:sz w:val="22"/>
          <w:szCs w:val="22"/>
        </w:rPr>
        <w:t xml:space="preserve"> Press, 2014. p. 811–922.</w:t>
      </w:r>
    </w:p>
    <w:p w14:paraId="7A12CA73" w14:textId="6C74D881" w:rsidR="0053021A" w:rsidRPr="003D6885" w:rsidRDefault="0053021A"/>
    <w:sectPr w:rsidR="0053021A" w:rsidRPr="003D6885" w:rsidSect="0053021A">
      <w:footerReference w:type="default" r:id="rId1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CCBA8" w14:textId="77777777" w:rsidR="0060603A" w:rsidRDefault="0060603A" w:rsidP="0027518C">
      <w:r>
        <w:separator/>
      </w:r>
    </w:p>
  </w:endnote>
  <w:endnote w:type="continuationSeparator" w:id="0">
    <w:p w14:paraId="2D1A7499" w14:textId="77777777" w:rsidR="0060603A" w:rsidRDefault="0060603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8647E" w14:textId="77777777" w:rsidR="0060603A" w:rsidRDefault="0060603A" w:rsidP="0027518C">
      <w:r>
        <w:separator/>
      </w:r>
    </w:p>
  </w:footnote>
  <w:footnote w:type="continuationSeparator" w:id="0">
    <w:p w14:paraId="199DE6B9" w14:textId="77777777" w:rsidR="0060603A" w:rsidRDefault="0060603A" w:rsidP="0027518C">
      <w:r>
        <w:continuationSeparator/>
      </w:r>
    </w:p>
  </w:footnote>
  <w:footnote w:id="1">
    <w:p w14:paraId="6DBA78B4" w14:textId="5294E88B" w:rsidR="00216EFF" w:rsidRPr="0018293E" w:rsidRDefault="00216EFF" w:rsidP="0085610B">
      <w:pPr>
        <w:pStyle w:val="Textodenotaderodap"/>
        <w:jc w:val="both"/>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180B6A" w:rsidRPr="00180B6A">
        <w:rPr>
          <w:rFonts w:ascii="Avenir Book" w:eastAsia="Arial" w:hAnsi="Avenir Book" w:cs="Arial"/>
          <w:lang w:val="pt-BR"/>
        </w:rPr>
        <w:t>Ministério do Desenvolvimento Agrário e Agricultura Familiar. Departamento de Avaliação, Monitoramento, Estudos e Informações Estratégicas da Secretaria-Executiva</w:t>
      </w:r>
      <w:r w:rsidRPr="0018293E">
        <w:rPr>
          <w:rFonts w:ascii="Avenir Book" w:eastAsia="Arial" w:hAnsi="Avenir Book" w:cs="Arial"/>
        </w:rPr>
        <w:t xml:space="preserve">, </w:t>
      </w:r>
      <w:r w:rsidR="00180B6A" w:rsidRPr="00180B6A">
        <w:rPr>
          <w:rFonts w:ascii="Avenir Book" w:eastAsia="Arial" w:hAnsi="Avenir Book" w:cs="Arial"/>
          <w:color w:val="0563C1"/>
          <w:u w:val="single"/>
          <w:lang w:val="pt-BR"/>
        </w:rPr>
        <w:t>iorranalis@gmail.com</w:t>
      </w:r>
      <w:r w:rsidRPr="0018293E">
        <w:rPr>
          <w:rFonts w:ascii="Avenir Book" w:eastAsia="Arial" w:hAnsi="Avenir Book" w:cs="Arial"/>
        </w:rPr>
        <w:t>.</w:t>
      </w:r>
    </w:p>
  </w:footnote>
  <w:footnote w:id="2">
    <w:p w14:paraId="25B57293" w14:textId="41BAEE04"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Pr="0018293E">
        <w:rPr>
          <w:rFonts w:ascii="Avenir Book" w:eastAsia="Arial" w:hAnsi="Avenir Book" w:cs="Arial"/>
        </w:rPr>
        <w:t>I</w:t>
      </w:r>
      <w:r w:rsidR="00180B6A">
        <w:rPr>
          <w:rFonts w:ascii="Avenir Book" w:eastAsia="Arial" w:hAnsi="Avenir Book" w:cs="Arial"/>
        </w:rPr>
        <w:t>dem.</w:t>
      </w:r>
    </w:p>
  </w:footnote>
  <w:footnote w:id="3">
    <w:p w14:paraId="3EB89B12" w14:textId="3A7E7A37" w:rsidR="00180B6A" w:rsidRPr="00180B6A" w:rsidRDefault="00180B6A" w:rsidP="00180B6A">
      <w:pPr>
        <w:pStyle w:val="Textodenotaderodap"/>
        <w:jc w:val="both"/>
        <w:rPr>
          <w:lang w:val="pt-BR"/>
        </w:rPr>
      </w:pPr>
      <w:r>
        <w:rPr>
          <w:rStyle w:val="Refdenotaderodap"/>
        </w:rPr>
        <w:footnoteRef/>
      </w:r>
      <w:r>
        <w:t xml:space="preserve"> </w:t>
      </w:r>
      <w:r w:rsidRPr="0085610B">
        <w:rPr>
          <w:rFonts w:ascii="Avenir Book" w:eastAsia="Arial" w:hAnsi="Avenir Book" w:cs="Arial"/>
          <w:lang w:val="pt-BR"/>
        </w:rPr>
        <w:t>Portal eletrônico da Confederação Nacional dos Trabalhadores Rurais Agricultores e Agricultoras Familiares. Disponível em</w:t>
      </w:r>
      <w:hyperlink r:id="rId1" w:history="1">
        <w:r w:rsidRPr="0085610B">
          <w:rPr>
            <w:rFonts w:ascii="Avenir Book" w:eastAsia="Arial" w:hAnsi="Avenir Book" w:cs="Arial"/>
            <w:lang w:val="pt-BR"/>
          </w:rPr>
          <w:t xml:space="preserve"> https://ww2.contag.org.br/plano-clima--agricultura-familiar-e-mais-vulneravel-a-crise-climatica-mas-tambem-e-parte-da-solucao-20240625</w:t>
        </w:r>
      </w:hyperlink>
      <w:r w:rsidRPr="0085610B">
        <w:rPr>
          <w:rFonts w:ascii="Avenir Book" w:eastAsia="Arial" w:hAnsi="Avenir Book" w:cs="Arial"/>
          <w:lang w:val="pt-BR"/>
        </w:rPr>
        <w:t>. Acesso em 19 de abril de 2025.</w:t>
      </w:r>
    </w:p>
    <w:p w14:paraId="562CC43E" w14:textId="4B21CABE" w:rsidR="00180B6A" w:rsidRPr="00180B6A" w:rsidRDefault="00180B6A" w:rsidP="00180B6A">
      <w:pPr>
        <w:pStyle w:val="Textodenotaderodap"/>
        <w:jc w:val="both"/>
        <w:rPr>
          <w:lang w:val="pt-BR"/>
        </w:rPr>
      </w:pPr>
    </w:p>
  </w:footnote>
  <w:footnote w:id="4">
    <w:p w14:paraId="3D0F4493" w14:textId="6A15AF27" w:rsidR="00180B6A" w:rsidRPr="0085610B" w:rsidRDefault="00180B6A" w:rsidP="00180B6A">
      <w:pPr>
        <w:pStyle w:val="Textodenotaderodap"/>
        <w:jc w:val="both"/>
        <w:rPr>
          <w:rFonts w:ascii="Avenir Book" w:eastAsia="Arial" w:hAnsi="Avenir Book" w:cs="Arial"/>
          <w:lang w:val="pt-BR"/>
        </w:rPr>
      </w:pPr>
      <w:r>
        <w:rPr>
          <w:rStyle w:val="Refdenotaderodap"/>
        </w:rPr>
        <w:footnoteRef/>
      </w:r>
      <w:r>
        <w:t xml:space="preserve"> </w:t>
      </w:r>
      <w:r w:rsidRPr="0085610B">
        <w:rPr>
          <w:rFonts w:ascii="Avenir Book" w:eastAsia="Arial" w:hAnsi="Avenir Book" w:cs="Arial"/>
          <w:lang w:val="pt-BR"/>
        </w:rPr>
        <w:t>Portal eletrônico do Ministério do Meio Ambiente e Mudança do Clima. Disponível em</w:t>
      </w:r>
      <w:hyperlink r:id="rId2" w:anchor=":~:text=Nos%20%C3%BAltimos%20dez%20anos%2C%2083,maioria%20dos%20munic%C3%ADpios%20do%20Brasil" w:history="1">
        <w:r w:rsidRPr="0085610B">
          <w:rPr>
            <w:rFonts w:ascii="Avenir Book" w:eastAsia="Arial" w:hAnsi="Avenir Book" w:cs="Arial"/>
            <w:lang w:val="pt-BR"/>
          </w:rPr>
          <w:t xml:space="preserve"> https://www.gov.br/mma/pt-br/assuntos/mudanca-do-clima/adaptacao#:~:text=Nos%20%C3%BAltimos%20dez%20anos%2C%2083,maioria%20dos%20munic%C3%ADpios%20do%20Brasil</w:t>
        </w:r>
      </w:hyperlink>
      <w:r w:rsidRPr="0085610B">
        <w:rPr>
          <w:rFonts w:ascii="Avenir Book" w:eastAsia="Arial" w:hAnsi="Avenir Book" w:cs="Arial"/>
          <w:lang w:val="pt-BR"/>
        </w:rPr>
        <w:t>. Acesso em 19 de abril de 2025.</w:t>
      </w:r>
    </w:p>
  </w:footnote>
  <w:footnote w:id="5">
    <w:p w14:paraId="4C4A4DA3" w14:textId="79EFB0C1" w:rsidR="0085610B" w:rsidRPr="0085610B" w:rsidRDefault="0085610B" w:rsidP="0085610B">
      <w:pPr>
        <w:pStyle w:val="Textodenotaderodap"/>
        <w:jc w:val="both"/>
        <w:rPr>
          <w:rFonts w:ascii="Avenir Book" w:eastAsia="Arial" w:hAnsi="Avenir Book" w:cs="Arial"/>
          <w:lang w:val="pt-BR"/>
        </w:rPr>
      </w:pPr>
      <w:r>
        <w:rPr>
          <w:rStyle w:val="Refdenotaderodap"/>
        </w:rPr>
        <w:footnoteRef/>
      </w:r>
      <w:r>
        <w:t xml:space="preserve"> </w:t>
      </w:r>
      <w:r w:rsidRPr="0085610B">
        <w:rPr>
          <w:rFonts w:ascii="Avenir Book" w:eastAsia="Arial" w:hAnsi="Avenir Book" w:cs="Arial"/>
          <w:lang w:val="pt-BR"/>
        </w:rPr>
        <w:t>É importante mencionar que os/as autores/as, servidores/as do Ministério do Desenvolvimento Agrário e Agricultura Familiar, vêm participando do processo de construção do Plano Clima desde o início, estando à frente da coordenação da elaboração do plano do Setorial de Adaptação da Agricultura Familiar e coconstruindo - junto ao Ministério da Agricultura e Pecuária e ao Ministério da Pesca e Aquicultura - o plano do Setorial de Mitigação de Agricultura e Pecuária. As informações contidas no presente artigo advém também desta experiência.</w:t>
      </w:r>
    </w:p>
  </w:footnote>
  <w:footnote w:id="6">
    <w:p w14:paraId="3101C944" w14:textId="122B573F" w:rsidR="0085610B" w:rsidRPr="007D17FC" w:rsidRDefault="0085610B" w:rsidP="0085610B">
      <w:pPr>
        <w:pStyle w:val="Textodenotaderodap"/>
        <w:jc w:val="both"/>
        <w:rPr>
          <w:rFonts w:ascii="Avenir Book" w:eastAsia="Arial" w:hAnsi="Avenir Book" w:cs="Arial"/>
          <w:lang w:val="pt-BR"/>
        </w:rPr>
      </w:pPr>
      <w:r>
        <w:rPr>
          <w:rStyle w:val="Refdenotaderodap"/>
        </w:rPr>
        <w:footnoteRef/>
      </w:r>
      <w:r>
        <w:t xml:space="preserve"> </w:t>
      </w:r>
      <w:r w:rsidRPr="007D17FC">
        <w:rPr>
          <w:rFonts w:ascii="Avenir Book" w:eastAsia="Arial" w:hAnsi="Avenir Book" w:cs="Arial"/>
          <w:lang w:val="pt-BR"/>
        </w:rPr>
        <w:t>O Plano é elaborado a partir do que fora estabelecido pelo Brasil na contribuição nacionalmente determinada (NDC) ao Acordo de Paris, que traz a visão do país para 2035. Segundo o documento “A NDC DO BRASIL | Determinação nacional em contribuir e transformar”, a NDC brasileira “reflete a confiança do país em si próprio. Acima de tudo, reflete confiança na capacidade da humanidade de se unir na diversidade, de se reconhecer na interdependência e de se transformar para vencer a luta contra a mudança do clima – esta, sim, nosso inimigo comum”. Disponível em</w:t>
      </w:r>
      <w:hyperlink r:id="rId3" w:history="1">
        <w:r w:rsidRPr="007D17FC">
          <w:rPr>
            <w:rFonts w:ascii="Avenir Book" w:eastAsia="Arial" w:hAnsi="Avenir Book" w:cs="Arial"/>
            <w:lang w:val="pt-BR"/>
          </w:rPr>
          <w:t xml:space="preserve"> https://www.gov.br/mma/pt-br/assuntos/noticias/brasil-entrega-a-onu-nova-ndc-alinhada-ao-acordo-de-paris/ndc-versao-em-portugues.pdf/</w:t>
        </w:r>
      </w:hyperlink>
      <w:r w:rsidRPr="007D17FC">
        <w:rPr>
          <w:rFonts w:ascii="Avenir Book" w:eastAsia="Arial" w:hAnsi="Avenir Book" w:cs="Arial"/>
          <w:lang w:val="pt-BR"/>
        </w:rPr>
        <w:t xml:space="preserve"> . Acesso em 18 de abril de 2025.</w:t>
      </w:r>
    </w:p>
  </w:footnote>
  <w:footnote w:id="7">
    <w:p w14:paraId="10A2DC33" w14:textId="49BDE4DA" w:rsidR="0085610B" w:rsidRPr="007D17FC" w:rsidRDefault="0085610B" w:rsidP="0085610B">
      <w:pPr>
        <w:pStyle w:val="Textodenotaderodap"/>
        <w:jc w:val="both"/>
        <w:rPr>
          <w:rFonts w:ascii="Avenir Book" w:eastAsia="Arial" w:hAnsi="Avenir Book" w:cs="Arial"/>
          <w:lang w:val="pt-BR"/>
        </w:rPr>
      </w:pPr>
      <w:r>
        <w:rPr>
          <w:rStyle w:val="Refdenotaderodap"/>
        </w:rPr>
        <w:footnoteRef/>
      </w:r>
      <w:r>
        <w:t xml:space="preserve"> </w:t>
      </w:r>
      <w:r w:rsidRPr="007D17FC">
        <w:rPr>
          <w:rFonts w:ascii="Avenir Book" w:eastAsia="Arial" w:hAnsi="Avenir Book" w:cs="Arial"/>
          <w:lang w:val="pt-BR"/>
        </w:rPr>
        <w:t>Portal eletrônico da Confederação Nacional dos Trabalhadores Rurais Agricultores e Agricultoras Familiares. Disponível em</w:t>
      </w:r>
      <w:hyperlink r:id="rId4" w:anchor=":~:text=Desde%20o%20in%C3%ADcio%20do%20ano%2C%20a%20CONTAG,sua%20contribui%C3%A7%C3%A3o%20na%20mitiga%C3%A7%C3%A3o%20%C3%A0s%20mudan%C3%A7as%20clim%C3%A1ticas" w:history="1">
        <w:r w:rsidRPr="007D17FC">
          <w:rPr>
            <w:rFonts w:ascii="Avenir Book" w:eastAsia="Arial" w:hAnsi="Avenir Book" w:cs="Arial"/>
            <w:lang w:val="pt-BR"/>
          </w:rPr>
          <w:t xml:space="preserve"> https://ww2.contag.org.br/votem-pela-criacao-de-um-plano-de-mitigacao-as-mudancas-climaticas-especifico-para-a-agricultura-familiar-20240822#:~:text=Desde%20o%20in%C3%ADcio%20do%20ano%2C%20a%20CONTAG,sua%20contribui%C3%A7%C3%A3o%20na%20mitiga%C3%A7%C3%A3o%20%C3%A0s%20mudan%C3%A7as%20clim%C3%A1ticas</w:t>
        </w:r>
      </w:hyperlink>
      <w:r w:rsidRPr="007D17FC">
        <w:rPr>
          <w:rFonts w:ascii="Avenir Book" w:eastAsia="Arial" w:hAnsi="Avenir Book" w:cs="Arial"/>
          <w:lang w:val="pt-BR"/>
        </w:rPr>
        <w:t>. Acesso em 21 de abril de 2025.</w:t>
      </w:r>
    </w:p>
  </w:footnote>
  <w:footnote w:id="8">
    <w:p w14:paraId="0F89CF27" w14:textId="0E160355" w:rsidR="0085610B" w:rsidRPr="007D17FC" w:rsidRDefault="0085610B" w:rsidP="0085610B">
      <w:pPr>
        <w:pStyle w:val="Textodenotaderodap"/>
        <w:jc w:val="both"/>
        <w:rPr>
          <w:rFonts w:ascii="Avenir Book" w:eastAsia="Arial" w:hAnsi="Avenir Book" w:cs="Arial"/>
          <w:lang w:val="pt-BR"/>
        </w:rPr>
      </w:pPr>
      <w:r>
        <w:rPr>
          <w:rStyle w:val="Refdenotaderodap"/>
        </w:rPr>
        <w:footnoteRef/>
      </w:r>
      <w:r w:rsidRPr="007D17FC">
        <w:rPr>
          <w:rFonts w:ascii="Avenir Book" w:eastAsia="Arial" w:hAnsi="Avenir Book" w:cs="Arial"/>
          <w:lang w:val="pt-BR"/>
        </w:rPr>
        <w:t>Disponível em</w:t>
      </w:r>
      <w:hyperlink r:id="rId5" w:history="1">
        <w:r w:rsidRPr="007D17FC">
          <w:rPr>
            <w:rFonts w:ascii="Avenir Book" w:eastAsia="Arial" w:hAnsi="Avenir Book" w:cs="Arial"/>
            <w:lang w:val="pt-BR"/>
          </w:rPr>
          <w:t xml:space="preserve"> https://redesans.com.br/rede/wp-content/uploads/2024/11/Plano-Nacional-de-Abastecimento-Alimentar-2025-2028.pdf</w:t>
        </w:r>
      </w:hyperlink>
      <w:r w:rsidRPr="007D17FC">
        <w:rPr>
          <w:rFonts w:ascii="Avenir Book" w:eastAsia="Arial" w:hAnsi="Avenir Book" w:cs="Arial"/>
          <w:lang w:val="pt-BR"/>
        </w:rPr>
        <w:t xml:space="preserve"> . Acesso em 10 de abril de 2024.</w:t>
      </w:r>
    </w:p>
  </w:footnote>
  <w:footnote w:id="9">
    <w:p w14:paraId="54A6E8A4" w14:textId="6A605E7E" w:rsidR="0085610B" w:rsidRPr="007D17FC" w:rsidRDefault="0085610B">
      <w:pPr>
        <w:pStyle w:val="Textodenotaderodap"/>
        <w:rPr>
          <w:rFonts w:ascii="Avenir Book" w:eastAsia="Arial" w:hAnsi="Avenir Book" w:cs="Arial"/>
          <w:lang w:val="pt-BR"/>
        </w:rPr>
      </w:pPr>
      <w:r>
        <w:rPr>
          <w:rStyle w:val="Refdenotaderodap"/>
        </w:rPr>
        <w:footnoteRef/>
      </w:r>
      <w:r>
        <w:t xml:space="preserve"> </w:t>
      </w:r>
      <w:r w:rsidRPr="007D17FC">
        <w:rPr>
          <w:rFonts w:ascii="Avenir Book" w:eastAsia="Arial" w:hAnsi="Avenir Book" w:cs="Arial"/>
          <w:lang w:val="pt-BR"/>
        </w:rPr>
        <w:t>Disponível em</w:t>
      </w:r>
      <w:hyperlink r:id="rId6" w:history="1">
        <w:r w:rsidRPr="007D17FC">
          <w:rPr>
            <w:rFonts w:ascii="Avenir Book" w:eastAsia="Arial" w:hAnsi="Avenir Book" w:cs="Arial"/>
            <w:lang w:val="pt-BR"/>
          </w:rPr>
          <w:t xml:space="preserve"> https://brasilparticipativo.presidencia.gov.br/processes/planoclima/f/533/</w:t>
        </w:r>
      </w:hyperlink>
      <w:r w:rsidRPr="007D17FC">
        <w:rPr>
          <w:rFonts w:ascii="Avenir Book" w:eastAsia="Arial" w:hAnsi="Avenir Book" w:cs="Arial"/>
          <w:lang w:val="pt-BR"/>
        </w:rPr>
        <w:t xml:space="preserve"> . Acesso em 20 de abril de 2025</w:t>
      </w:r>
      <w:r w:rsidRPr="007D17FC">
        <w:rPr>
          <w:rFonts w:ascii="Avenir Book" w:eastAsia="Arial" w:hAnsi="Avenir Book" w:cs="Arial"/>
          <w:lang w:val="pt-BR"/>
        </w:rPr>
        <w:t>.</w:t>
      </w:r>
    </w:p>
  </w:footnote>
  <w:footnote w:id="10">
    <w:p w14:paraId="4ED51ECB" w14:textId="0D499C9D" w:rsidR="0085610B" w:rsidRPr="007D17FC" w:rsidRDefault="0085610B">
      <w:pPr>
        <w:pStyle w:val="Textodenotaderodap"/>
        <w:rPr>
          <w:rFonts w:ascii="Avenir Book" w:eastAsia="Arial" w:hAnsi="Avenir Book" w:cs="Arial"/>
          <w:lang w:val="pt-BR"/>
        </w:rPr>
      </w:pPr>
      <w:r>
        <w:rPr>
          <w:rStyle w:val="Refdenotaderodap"/>
        </w:rPr>
        <w:footnoteRef/>
      </w:r>
      <w:r>
        <w:t xml:space="preserve"> </w:t>
      </w:r>
      <w:r w:rsidRPr="007D17FC">
        <w:rPr>
          <w:rFonts w:ascii="Avenir Book" w:eastAsia="Arial" w:hAnsi="Avenir Book" w:cs="Arial"/>
          <w:lang w:val="pt-BR"/>
        </w:rPr>
        <w:t>Idem.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180B6A"/>
    <w:rsid w:val="00216EFF"/>
    <w:rsid w:val="00241A21"/>
    <w:rsid w:val="0027518C"/>
    <w:rsid w:val="00295FBE"/>
    <w:rsid w:val="002B2423"/>
    <w:rsid w:val="0032757F"/>
    <w:rsid w:val="003D6885"/>
    <w:rsid w:val="004906DE"/>
    <w:rsid w:val="00507B98"/>
    <w:rsid w:val="0053021A"/>
    <w:rsid w:val="0060603A"/>
    <w:rsid w:val="00634370"/>
    <w:rsid w:val="00680A10"/>
    <w:rsid w:val="00692EEB"/>
    <w:rsid w:val="00733AFB"/>
    <w:rsid w:val="00757F24"/>
    <w:rsid w:val="007D17FC"/>
    <w:rsid w:val="0085610B"/>
    <w:rsid w:val="008E7A76"/>
    <w:rsid w:val="00B61734"/>
    <w:rsid w:val="00D31A9F"/>
    <w:rsid w:val="00D46408"/>
    <w:rsid w:val="00EF64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180B6A"/>
    <w:rPr>
      <w:color w:val="467886" w:themeColor="hyperlink"/>
      <w:u w:val="single"/>
    </w:rPr>
  </w:style>
  <w:style w:type="character" w:styleId="MenoPendente">
    <w:name w:val="Unresolved Mention"/>
    <w:basedOn w:val="Fontepargpadro"/>
    <w:uiPriority w:val="99"/>
    <w:semiHidden/>
    <w:unhideWhenUsed/>
    <w:rsid w:val="00180B6A"/>
    <w:rPr>
      <w:color w:val="605E5C"/>
      <w:shd w:val="clear" w:color="auto" w:fill="E1DFDD"/>
    </w:rPr>
  </w:style>
  <w:style w:type="paragraph" w:styleId="NormalWeb">
    <w:name w:val="Normal (Web)"/>
    <w:basedOn w:val="Normal"/>
    <w:uiPriority w:val="99"/>
    <w:semiHidden/>
    <w:unhideWhenUsed/>
    <w:rsid w:val="00180B6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49395">
      <w:bodyDiv w:val="1"/>
      <w:marLeft w:val="0"/>
      <w:marRight w:val="0"/>
      <w:marTop w:val="0"/>
      <w:marBottom w:val="0"/>
      <w:divBdr>
        <w:top w:val="none" w:sz="0" w:space="0" w:color="auto"/>
        <w:left w:val="none" w:sz="0" w:space="0" w:color="auto"/>
        <w:bottom w:val="none" w:sz="0" w:space="0" w:color="auto"/>
        <w:right w:val="none" w:sz="0" w:space="0" w:color="auto"/>
      </w:divBdr>
    </w:div>
    <w:div w:id="170611370">
      <w:bodyDiv w:val="1"/>
      <w:marLeft w:val="0"/>
      <w:marRight w:val="0"/>
      <w:marTop w:val="0"/>
      <w:marBottom w:val="0"/>
      <w:divBdr>
        <w:top w:val="none" w:sz="0" w:space="0" w:color="auto"/>
        <w:left w:val="none" w:sz="0" w:space="0" w:color="auto"/>
        <w:bottom w:val="none" w:sz="0" w:space="0" w:color="auto"/>
        <w:right w:val="none" w:sz="0" w:space="0" w:color="auto"/>
      </w:divBdr>
    </w:div>
    <w:div w:id="175850818">
      <w:bodyDiv w:val="1"/>
      <w:marLeft w:val="0"/>
      <w:marRight w:val="0"/>
      <w:marTop w:val="0"/>
      <w:marBottom w:val="0"/>
      <w:divBdr>
        <w:top w:val="none" w:sz="0" w:space="0" w:color="auto"/>
        <w:left w:val="none" w:sz="0" w:space="0" w:color="auto"/>
        <w:bottom w:val="none" w:sz="0" w:space="0" w:color="auto"/>
        <w:right w:val="none" w:sz="0" w:space="0" w:color="auto"/>
      </w:divBdr>
    </w:div>
    <w:div w:id="277640669">
      <w:bodyDiv w:val="1"/>
      <w:marLeft w:val="0"/>
      <w:marRight w:val="0"/>
      <w:marTop w:val="0"/>
      <w:marBottom w:val="0"/>
      <w:divBdr>
        <w:top w:val="none" w:sz="0" w:space="0" w:color="auto"/>
        <w:left w:val="none" w:sz="0" w:space="0" w:color="auto"/>
        <w:bottom w:val="none" w:sz="0" w:space="0" w:color="auto"/>
        <w:right w:val="none" w:sz="0" w:space="0" w:color="auto"/>
      </w:divBdr>
    </w:div>
    <w:div w:id="310599115">
      <w:bodyDiv w:val="1"/>
      <w:marLeft w:val="0"/>
      <w:marRight w:val="0"/>
      <w:marTop w:val="0"/>
      <w:marBottom w:val="0"/>
      <w:divBdr>
        <w:top w:val="none" w:sz="0" w:space="0" w:color="auto"/>
        <w:left w:val="none" w:sz="0" w:space="0" w:color="auto"/>
        <w:bottom w:val="none" w:sz="0" w:space="0" w:color="auto"/>
        <w:right w:val="none" w:sz="0" w:space="0" w:color="auto"/>
      </w:divBdr>
    </w:div>
    <w:div w:id="381372327">
      <w:bodyDiv w:val="1"/>
      <w:marLeft w:val="0"/>
      <w:marRight w:val="0"/>
      <w:marTop w:val="0"/>
      <w:marBottom w:val="0"/>
      <w:divBdr>
        <w:top w:val="none" w:sz="0" w:space="0" w:color="auto"/>
        <w:left w:val="none" w:sz="0" w:space="0" w:color="auto"/>
        <w:bottom w:val="none" w:sz="0" w:space="0" w:color="auto"/>
        <w:right w:val="none" w:sz="0" w:space="0" w:color="auto"/>
      </w:divBdr>
    </w:div>
    <w:div w:id="476802700">
      <w:bodyDiv w:val="1"/>
      <w:marLeft w:val="0"/>
      <w:marRight w:val="0"/>
      <w:marTop w:val="0"/>
      <w:marBottom w:val="0"/>
      <w:divBdr>
        <w:top w:val="none" w:sz="0" w:space="0" w:color="auto"/>
        <w:left w:val="none" w:sz="0" w:space="0" w:color="auto"/>
        <w:bottom w:val="none" w:sz="0" w:space="0" w:color="auto"/>
        <w:right w:val="none" w:sz="0" w:space="0" w:color="auto"/>
      </w:divBdr>
    </w:div>
    <w:div w:id="600067357">
      <w:bodyDiv w:val="1"/>
      <w:marLeft w:val="0"/>
      <w:marRight w:val="0"/>
      <w:marTop w:val="0"/>
      <w:marBottom w:val="0"/>
      <w:divBdr>
        <w:top w:val="none" w:sz="0" w:space="0" w:color="auto"/>
        <w:left w:val="none" w:sz="0" w:space="0" w:color="auto"/>
        <w:bottom w:val="none" w:sz="0" w:space="0" w:color="auto"/>
        <w:right w:val="none" w:sz="0" w:space="0" w:color="auto"/>
      </w:divBdr>
    </w:div>
    <w:div w:id="620650090">
      <w:bodyDiv w:val="1"/>
      <w:marLeft w:val="0"/>
      <w:marRight w:val="0"/>
      <w:marTop w:val="0"/>
      <w:marBottom w:val="0"/>
      <w:divBdr>
        <w:top w:val="none" w:sz="0" w:space="0" w:color="auto"/>
        <w:left w:val="none" w:sz="0" w:space="0" w:color="auto"/>
        <w:bottom w:val="none" w:sz="0" w:space="0" w:color="auto"/>
        <w:right w:val="none" w:sz="0" w:space="0" w:color="auto"/>
      </w:divBdr>
    </w:div>
    <w:div w:id="623275559">
      <w:bodyDiv w:val="1"/>
      <w:marLeft w:val="0"/>
      <w:marRight w:val="0"/>
      <w:marTop w:val="0"/>
      <w:marBottom w:val="0"/>
      <w:divBdr>
        <w:top w:val="none" w:sz="0" w:space="0" w:color="auto"/>
        <w:left w:val="none" w:sz="0" w:space="0" w:color="auto"/>
        <w:bottom w:val="none" w:sz="0" w:space="0" w:color="auto"/>
        <w:right w:val="none" w:sz="0" w:space="0" w:color="auto"/>
      </w:divBdr>
    </w:div>
    <w:div w:id="630206499">
      <w:bodyDiv w:val="1"/>
      <w:marLeft w:val="0"/>
      <w:marRight w:val="0"/>
      <w:marTop w:val="0"/>
      <w:marBottom w:val="0"/>
      <w:divBdr>
        <w:top w:val="none" w:sz="0" w:space="0" w:color="auto"/>
        <w:left w:val="none" w:sz="0" w:space="0" w:color="auto"/>
        <w:bottom w:val="none" w:sz="0" w:space="0" w:color="auto"/>
        <w:right w:val="none" w:sz="0" w:space="0" w:color="auto"/>
      </w:divBdr>
    </w:div>
    <w:div w:id="667908255">
      <w:bodyDiv w:val="1"/>
      <w:marLeft w:val="0"/>
      <w:marRight w:val="0"/>
      <w:marTop w:val="0"/>
      <w:marBottom w:val="0"/>
      <w:divBdr>
        <w:top w:val="none" w:sz="0" w:space="0" w:color="auto"/>
        <w:left w:val="none" w:sz="0" w:space="0" w:color="auto"/>
        <w:bottom w:val="none" w:sz="0" w:space="0" w:color="auto"/>
        <w:right w:val="none" w:sz="0" w:space="0" w:color="auto"/>
      </w:divBdr>
    </w:div>
    <w:div w:id="728500162">
      <w:bodyDiv w:val="1"/>
      <w:marLeft w:val="0"/>
      <w:marRight w:val="0"/>
      <w:marTop w:val="0"/>
      <w:marBottom w:val="0"/>
      <w:divBdr>
        <w:top w:val="none" w:sz="0" w:space="0" w:color="auto"/>
        <w:left w:val="none" w:sz="0" w:space="0" w:color="auto"/>
        <w:bottom w:val="none" w:sz="0" w:space="0" w:color="auto"/>
        <w:right w:val="none" w:sz="0" w:space="0" w:color="auto"/>
      </w:divBdr>
    </w:div>
    <w:div w:id="891235777">
      <w:bodyDiv w:val="1"/>
      <w:marLeft w:val="0"/>
      <w:marRight w:val="0"/>
      <w:marTop w:val="0"/>
      <w:marBottom w:val="0"/>
      <w:divBdr>
        <w:top w:val="none" w:sz="0" w:space="0" w:color="auto"/>
        <w:left w:val="none" w:sz="0" w:space="0" w:color="auto"/>
        <w:bottom w:val="none" w:sz="0" w:space="0" w:color="auto"/>
        <w:right w:val="none" w:sz="0" w:space="0" w:color="auto"/>
      </w:divBdr>
    </w:div>
    <w:div w:id="892236489">
      <w:bodyDiv w:val="1"/>
      <w:marLeft w:val="0"/>
      <w:marRight w:val="0"/>
      <w:marTop w:val="0"/>
      <w:marBottom w:val="0"/>
      <w:divBdr>
        <w:top w:val="none" w:sz="0" w:space="0" w:color="auto"/>
        <w:left w:val="none" w:sz="0" w:space="0" w:color="auto"/>
        <w:bottom w:val="none" w:sz="0" w:space="0" w:color="auto"/>
        <w:right w:val="none" w:sz="0" w:space="0" w:color="auto"/>
      </w:divBdr>
    </w:div>
    <w:div w:id="964119348">
      <w:bodyDiv w:val="1"/>
      <w:marLeft w:val="0"/>
      <w:marRight w:val="0"/>
      <w:marTop w:val="0"/>
      <w:marBottom w:val="0"/>
      <w:divBdr>
        <w:top w:val="none" w:sz="0" w:space="0" w:color="auto"/>
        <w:left w:val="none" w:sz="0" w:space="0" w:color="auto"/>
        <w:bottom w:val="none" w:sz="0" w:space="0" w:color="auto"/>
        <w:right w:val="none" w:sz="0" w:space="0" w:color="auto"/>
      </w:divBdr>
    </w:div>
    <w:div w:id="1015037578">
      <w:bodyDiv w:val="1"/>
      <w:marLeft w:val="0"/>
      <w:marRight w:val="0"/>
      <w:marTop w:val="0"/>
      <w:marBottom w:val="0"/>
      <w:divBdr>
        <w:top w:val="none" w:sz="0" w:space="0" w:color="auto"/>
        <w:left w:val="none" w:sz="0" w:space="0" w:color="auto"/>
        <w:bottom w:val="none" w:sz="0" w:space="0" w:color="auto"/>
        <w:right w:val="none" w:sz="0" w:space="0" w:color="auto"/>
      </w:divBdr>
    </w:div>
    <w:div w:id="1090198183">
      <w:bodyDiv w:val="1"/>
      <w:marLeft w:val="0"/>
      <w:marRight w:val="0"/>
      <w:marTop w:val="0"/>
      <w:marBottom w:val="0"/>
      <w:divBdr>
        <w:top w:val="none" w:sz="0" w:space="0" w:color="auto"/>
        <w:left w:val="none" w:sz="0" w:space="0" w:color="auto"/>
        <w:bottom w:val="none" w:sz="0" w:space="0" w:color="auto"/>
        <w:right w:val="none" w:sz="0" w:space="0" w:color="auto"/>
      </w:divBdr>
    </w:div>
    <w:div w:id="1105229806">
      <w:bodyDiv w:val="1"/>
      <w:marLeft w:val="0"/>
      <w:marRight w:val="0"/>
      <w:marTop w:val="0"/>
      <w:marBottom w:val="0"/>
      <w:divBdr>
        <w:top w:val="none" w:sz="0" w:space="0" w:color="auto"/>
        <w:left w:val="none" w:sz="0" w:space="0" w:color="auto"/>
        <w:bottom w:val="none" w:sz="0" w:space="0" w:color="auto"/>
        <w:right w:val="none" w:sz="0" w:space="0" w:color="auto"/>
      </w:divBdr>
    </w:div>
    <w:div w:id="1187870526">
      <w:bodyDiv w:val="1"/>
      <w:marLeft w:val="0"/>
      <w:marRight w:val="0"/>
      <w:marTop w:val="0"/>
      <w:marBottom w:val="0"/>
      <w:divBdr>
        <w:top w:val="none" w:sz="0" w:space="0" w:color="auto"/>
        <w:left w:val="none" w:sz="0" w:space="0" w:color="auto"/>
        <w:bottom w:val="none" w:sz="0" w:space="0" w:color="auto"/>
        <w:right w:val="none" w:sz="0" w:space="0" w:color="auto"/>
      </w:divBdr>
    </w:div>
    <w:div w:id="1191451376">
      <w:bodyDiv w:val="1"/>
      <w:marLeft w:val="0"/>
      <w:marRight w:val="0"/>
      <w:marTop w:val="0"/>
      <w:marBottom w:val="0"/>
      <w:divBdr>
        <w:top w:val="none" w:sz="0" w:space="0" w:color="auto"/>
        <w:left w:val="none" w:sz="0" w:space="0" w:color="auto"/>
        <w:bottom w:val="none" w:sz="0" w:space="0" w:color="auto"/>
        <w:right w:val="none" w:sz="0" w:space="0" w:color="auto"/>
      </w:divBdr>
    </w:div>
    <w:div w:id="1206137893">
      <w:bodyDiv w:val="1"/>
      <w:marLeft w:val="0"/>
      <w:marRight w:val="0"/>
      <w:marTop w:val="0"/>
      <w:marBottom w:val="0"/>
      <w:divBdr>
        <w:top w:val="none" w:sz="0" w:space="0" w:color="auto"/>
        <w:left w:val="none" w:sz="0" w:space="0" w:color="auto"/>
        <w:bottom w:val="none" w:sz="0" w:space="0" w:color="auto"/>
        <w:right w:val="none" w:sz="0" w:space="0" w:color="auto"/>
      </w:divBdr>
    </w:div>
    <w:div w:id="1212962344">
      <w:bodyDiv w:val="1"/>
      <w:marLeft w:val="0"/>
      <w:marRight w:val="0"/>
      <w:marTop w:val="0"/>
      <w:marBottom w:val="0"/>
      <w:divBdr>
        <w:top w:val="none" w:sz="0" w:space="0" w:color="auto"/>
        <w:left w:val="none" w:sz="0" w:space="0" w:color="auto"/>
        <w:bottom w:val="none" w:sz="0" w:space="0" w:color="auto"/>
        <w:right w:val="none" w:sz="0" w:space="0" w:color="auto"/>
      </w:divBdr>
    </w:div>
    <w:div w:id="1273393509">
      <w:bodyDiv w:val="1"/>
      <w:marLeft w:val="0"/>
      <w:marRight w:val="0"/>
      <w:marTop w:val="0"/>
      <w:marBottom w:val="0"/>
      <w:divBdr>
        <w:top w:val="none" w:sz="0" w:space="0" w:color="auto"/>
        <w:left w:val="none" w:sz="0" w:space="0" w:color="auto"/>
        <w:bottom w:val="none" w:sz="0" w:space="0" w:color="auto"/>
        <w:right w:val="none" w:sz="0" w:space="0" w:color="auto"/>
      </w:divBdr>
    </w:div>
    <w:div w:id="1348483807">
      <w:bodyDiv w:val="1"/>
      <w:marLeft w:val="0"/>
      <w:marRight w:val="0"/>
      <w:marTop w:val="0"/>
      <w:marBottom w:val="0"/>
      <w:divBdr>
        <w:top w:val="none" w:sz="0" w:space="0" w:color="auto"/>
        <w:left w:val="none" w:sz="0" w:space="0" w:color="auto"/>
        <w:bottom w:val="none" w:sz="0" w:space="0" w:color="auto"/>
        <w:right w:val="none" w:sz="0" w:space="0" w:color="auto"/>
      </w:divBdr>
    </w:div>
    <w:div w:id="1488551706">
      <w:bodyDiv w:val="1"/>
      <w:marLeft w:val="0"/>
      <w:marRight w:val="0"/>
      <w:marTop w:val="0"/>
      <w:marBottom w:val="0"/>
      <w:divBdr>
        <w:top w:val="none" w:sz="0" w:space="0" w:color="auto"/>
        <w:left w:val="none" w:sz="0" w:space="0" w:color="auto"/>
        <w:bottom w:val="none" w:sz="0" w:space="0" w:color="auto"/>
        <w:right w:val="none" w:sz="0" w:space="0" w:color="auto"/>
      </w:divBdr>
    </w:div>
    <w:div w:id="1568959076">
      <w:bodyDiv w:val="1"/>
      <w:marLeft w:val="0"/>
      <w:marRight w:val="0"/>
      <w:marTop w:val="0"/>
      <w:marBottom w:val="0"/>
      <w:divBdr>
        <w:top w:val="none" w:sz="0" w:space="0" w:color="auto"/>
        <w:left w:val="none" w:sz="0" w:space="0" w:color="auto"/>
        <w:bottom w:val="none" w:sz="0" w:space="0" w:color="auto"/>
        <w:right w:val="none" w:sz="0" w:space="0" w:color="auto"/>
      </w:divBdr>
    </w:div>
    <w:div w:id="1654332207">
      <w:bodyDiv w:val="1"/>
      <w:marLeft w:val="0"/>
      <w:marRight w:val="0"/>
      <w:marTop w:val="0"/>
      <w:marBottom w:val="0"/>
      <w:divBdr>
        <w:top w:val="none" w:sz="0" w:space="0" w:color="auto"/>
        <w:left w:val="none" w:sz="0" w:space="0" w:color="auto"/>
        <w:bottom w:val="none" w:sz="0" w:space="0" w:color="auto"/>
        <w:right w:val="none" w:sz="0" w:space="0" w:color="auto"/>
      </w:divBdr>
    </w:div>
    <w:div w:id="1677925865">
      <w:bodyDiv w:val="1"/>
      <w:marLeft w:val="0"/>
      <w:marRight w:val="0"/>
      <w:marTop w:val="0"/>
      <w:marBottom w:val="0"/>
      <w:divBdr>
        <w:top w:val="none" w:sz="0" w:space="0" w:color="auto"/>
        <w:left w:val="none" w:sz="0" w:space="0" w:color="auto"/>
        <w:bottom w:val="none" w:sz="0" w:space="0" w:color="auto"/>
        <w:right w:val="none" w:sz="0" w:space="0" w:color="auto"/>
      </w:divBdr>
    </w:div>
    <w:div w:id="1733456099">
      <w:bodyDiv w:val="1"/>
      <w:marLeft w:val="0"/>
      <w:marRight w:val="0"/>
      <w:marTop w:val="0"/>
      <w:marBottom w:val="0"/>
      <w:divBdr>
        <w:top w:val="none" w:sz="0" w:space="0" w:color="auto"/>
        <w:left w:val="none" w:sz="0" w:space="0" w:color="auto"/>
        <w:bottom w:val="none" w:sz="0" w:space="0" w:color="auto"/>
        <w:right w:val="none" w:sz="0" w:space="0" w:color="auto"/>
      </w:divBdr>
    </w:div>
    <w:div w:id="1785417991">
      <w:bodyDiv w:val="1"/>
      <w:marLeft w:val="0"/>
      <w:marRight w:val="0"/>
      <w:marTop w:val="0"/>
      <w:marBottom w:val="0"/>
      <w:divBdr>
        <w:top w:val="none" w:sz="0" w:space="0" w:color="auto"/>
        <w:left w:val="none" w:sz="0" w:space="0" w:color="auto"/>
        <w:bottom w:val="none" w:sz="0" w:space="0" w:color="auto"/>
        <w:right w:val="none" w:sz="0" w:space="0" w:color="auto"/>
      </w:divBdr>
    </w:div>
    <w:div w:id="1828551454">
      <w:bodyDiv w:val="1"/>
      <w:marLeft w:val="0"/>
      <w:marRight w:val="0"/>
      <w:marTop w:val="0"/>
      <w:marBottom w:val="0"/>
      <w:divBdr>
        <w:top w:val="none" w:sz="0" w:space="0" w:color="auto"/>
        <w:left w:val="none" w:sz="0" w:space="0" w:color="auto"/>
        <w:bottom w:val="none" w:sz="0" w:space="0" w:color="auto"/>
        <w:right w:val="none" w:sz="0" w:space="0" w:color="auto"/>
      </w:divBdr>
    </w:div>
    <w:div w:id="1835023847">
      <w:bodyDiv w:val="1"/>
      <w:marLeft w:val="0"/>
      <w:marRight w:val="0"/>
      <w:marTop w:val="0"/>
      <w:marBottom w:val="0"/>
      <w:divBdr>
        <w:top w:val="none" w:sz="0" w:space="0" w:color="auto"/>
        <w:left w:val="none" w:sz="0" w:space="0" w:color="auto"/>
        <w:bottom w:val="none" w:sz="0" w:space="0" w:color="auto"/>
        <w:right w:val="none" w:sz="0" w:space="0" w:color="auto"/>
      </w:divBdr>
    </w:div>
    <w:div w:id="1835293009">
      <w:bodyDiv w:val="1"/>
      <w:marLeft w:val="0"/>
      <w:marRight w:val="0"/>
      <w:marTop w:val="0"/>
      <w:marBottom w:val="0"/>
      <w:divBdr>
        <w:top w:val="none" w:sz="0" w:space="0" w:color="auto"/>
        <w:left w:val="none" w:sz="0" w:space="0" w:color="auto"/>
        <w:bottom w:val="none" w:sz="0" w:space="0" w:color="auto"/>
        <w:right w:val="none" w:sz="0" w:space="0" w:color="auto"/>
      </w:divBdr>
    </w:div>
    <w:div w:id="1884557175">
      <w:bodyDiv w:val="1"/>
      <w:marLeft w:val="0"/>
      <w:marRight w:val="0"/>
      <w:marTop w:val="0"/>
      <w:marBottom w:val="0"/>
      <w:divBdr>
        <w:top w:val="none" w:sz="0" w:space="0" w:color="auto"/>
        <w:left w:val="none" w:sz="0" w:space="0" w:color="auto"/>
        <w:bottom w:val="none" w:sz="0" w:space="0" w:color="auto"/>
        <w:right w:val="none" w:sz="0" w:space="0" w:color="auto"/>
      </w:divBdr>
    </w:div>
    <w:div w:id="1899976160">
      <w:bodyDiv w:val="1"/>
      <w:marLeft w:val="0"/>
      <w:marRight w:val="0"/>
      <w:marTop w:val="0"/>
      <w:marBottom w:val="0"/>
      <w:divBdr>
        <w:top w:val="none" w:sz="0" w:space="0" w:color="auto"/>
        <w:left w:val="none" w:sz="0" w:space="0" w:color="auto"/>
        <w:bottom w:val="none" w:sz="0" w:space="0" w:color="auto"/>
        <w:right w:val="none" w:sz="0" w:space="0" w:color="auto"/>
      </w:divBdr>
    </w:div>
    <w:div w:id="1962685064">
      <w:bodyDiv w:val="1"/>
      <w:marLeft w:val="0"/>
      <w:marRight w:val="0"/>
      <w:marTop w:val="0"/>
      <w:marBottom w:val="0"/>
      <w:divBdr>
        <w:top w:val="none" w:sz="0" w:space="0" w:color="auto"/>
        <w:left w:val="none" w:sz="0" w:space="0" w:color="auto"/>
        <w:bottom w:val="none" w:sz="0" w:space="0" w:color="auto"/>
        <w:right w:val="none" w:sz="0" w:space="0" w:color="auto"/>
      </w:divBdr>
    </w:div>
    <w:div w:id="1977029880">
      <w:bodyDiv w:val="1"/>
      <w:marLeft w:val="0"/>
      <w:marRight w:val="0"/>
      <w:marTop w:val="0"/>
      <w:marBottom w:val="0"/>
      <w:divBdr>
        <w:top w:val="none" w:sz="0" w:space="0" w:color="auto"/>
        <w:left w:val="none" w:sz="0" w:space="0" w:color="auto"/>
        <w:bottom w:val="none" w:sz="0" w:space="0" w:color="auto"/>
        <w:right w:val="none" w:sz="0" w:space="0" w:color="auto"/>
      </w:divBdr>
    </w:div>
    <w:div w:id="2057392865">
      <w:bodyDiv w:val="1"/>
      <w:marLeft w:val="0"/>
      <w:marRight w:val="0"/>
      <w:marTop w:val="0"/>
      <w:marBottom w:val="0"/>
      <w:divBdr>
        <w:top w:val="none" w:sz="0" w:space="0" w:color="auto"/>
        <w:left w:val="none" w:sz="0" w:space="0" w:color="auto"/>
        <w:bottom w:val="none" w:sz="0" w:space="0" w:color="auto"/>
        <w:right w:val="none" w:sz="0" w:space="0" w:color="auto"/>
      </w:divBdr>
    </w:div>
    <w:div w:id="2078670910">
      <w:bodyDiv w:val="1"/>
      <w:marLeft w:val="0"/>
      <w:marRight w:val="0"/>
      <w:marTop w:val="0"/>
      <w:marBottom w:val="0"/>
      <w:divBdr>
        <w:top w:val="none" w:sz="0" w:space="0" w:color="auto"/>
        <w:left w:val="none" w:sz="0" w:space="0" w:color="auto"/>
        <w:bottom w:val="none" w:sz="0" w:space="0" w:color="auto"/>
        <w:right w:val="none" w:sz="0" w:space="0" w:color="auto"/>
      </w:divBdr>
    </w:div>
    <w:div w:id="2098793279">
      <w:bodyDiv w:val="1"/>
      <w:marLeft w:val="0"/>
      <w:marRight w:val="0"/>
      <w:marTop w:val="0"/>
      <w:marBottom w:val="0"/>
      <w:divBdr>
        <w:top w:val="none" w:sz="0" w:space="0" w:color="auto"/>
        <w:left w:val="none" w:sz="0" w:space="0" w:color="auto"/>
        <w:bottom w:val="none" w:sz="0" w:space="0" w:color="auto"/>
        <w:right w:val="none" w:sz="0" w:space="0" w:color="auto"/>
      </w:divBdr>
    </w:div>
    <w:div w:id="2111460652">
      <w:bodyDiv w:val="1"/>
      <w:marLeft w:val="0"/>
      <w:marRight w:val="0"/>
      <w:marTop w:val="0"/>
      <w:marBottom w:val="0"/>
      <w:divBdr>
        <w:top w:val="none" w:sz="0" w:space="0" w:color="auto"/>
        <w:left w:val="none" w:sz="0" w:space="0" w:color="auto"/>
        <w:bottom w:val="none" w:sz="0" w:space="0" w:color="auto"/>
        <w:right w:val="none" w:sz="0" w:space="0" w:color="auto"/>
      </w:divBdr>
    </w:div>
    <w:div w:id="213150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silparticipativo.presidencia.gov.br/processes/planoclima/f/533/" TargetMode="External"/><Relationship Id="rId13" Type="http://schemas.openxmlformats.org/officeDocument/2006/relationships/hyperlink" Target="https://ww2.contag.org.br/plano-clima--agricultura-familiar-e-mais-vulneravel-a-crise-climatica-mas-tambem-e-parte-da-solucao-2024062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br/mma/pt-br/assuntos/noticias/brasil-entrega-a-onu-nova-ndc-alinhada-ao-acordo-de-paris/ndc-versao-em-portugue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0/1982-0259.2022.e8634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26633/RPSP.2019.84" TargetMode="External"/><Relationship Id="rId4" Type="http://schemas.openxmlformats.org/officeDocument/2006/relationships/webSettings" Target="webSettings.xml"/><Relationship Id="rId9" Type="http://schemas.openxmlformats.org/officeDocument/2006/relationships/hyperlink" Target="https://redesans.com.br/rede/wp-content/uploads/2024/11/Plano-Nacional-de-Abastecimento-Alimentar-2025-2028.pdf" TargetMode="External"/><Relationship Id="rId14" Type="http://schemas.openxmlformats.org/officeDocument/2006/relationships/hyperlink" Target="https://ww2.contag.org.br/votem-pela-criacao-de-um-plano-de-mitigacao-as-mudancas-climaticas-especifico-para-a-agricultura-familiar-202408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gov.br/mma/pt-br/assuntos/noticias/brasil-entrega-a-onu-nova-ndc-alinhada-ao-acordo-de-paris/ndc-versao-em-portugues.pdf/" TargetMode="External"/><Relationship Id="rId2" Type="http://schemas.openxmlformats.org/officeDocument/2006/relationships/hyperlink" Target="https://www.gov.br/mma/pt-br/assuntos/mudanca-do-clima/adaptacao" TargetMode="External"/><Relationship Id="rId1" Type="http://schemas.openxmlformats.org/officeDocument/2006/relationships/hyperlink" Target="https://ww2.contag.org.br/plano-clima--agricultura-familiar-e-mais-vulneravel-a-crise-climatica-mas-tambem-e-parte-da-solucao-20240625" TargetMode="External"/><Relationship Id="rId6" Type="http://schemas.openxmlformats.org/officeDocument/2006/relationships/hyperlink" Target="https://brasilparticipativo.presidencia.gov.br/processes/planoclima/f/533/" TargetMode="External"/><Relationship Id="rId5" Type="http://schemas.openxmlformats.org/officeDocument/2006/relationships/hyperlink" Target="https://redesans.com.br/rede/wp-content/uploads/2024/11/Plano-Nacional-de-Abastecimento-Alimentar-2025-2028.pdf" TargetMode="External"/><Relationship Id="rId4" Type="http://schemas.openxmlformats.org/officeDocument/2006/relationships/hyperlink" Target="https://ww2.contag.org.br/votem-pela-criacao-de-um-plano-de-mitigacao-as-mudancas-climaticas-especifico-para-a-agricultura-familiar-20240822"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4988</Words>
  <Characters>26938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31863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Iorrana Lisboa Camboim</cp:lastModifiedBy>
  <cp:revision>2</cp:revision>
  <dcterms:created xsi:type="dcterms:W3CDTF">2025-04-28T13:40:00Z</dcterms:created>
  <dcterms:modified xsi:type="dcterms:W3CDTF">2025-04-28T13:40:00Z</dcterms:modified>
</cp:coreProperties>
</file>