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5B51" w14:textId="77777777" w:rsidR="0064328E" w:rsidRPr="00650E01" w:rsidRDefault="0064328E" w:rsidP="0064328E">
      <w:pPr>
        <w:ind w:right="-2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</w:t>
      </w:r>
      <w:r w:rsidRPr="00690907">
        <w:rPr>
          <w:rFonts w:cs="Arial"/>
          <w:b/>
          <w:sz w:val="28"/>
          <w:szCs w:val="28"/>
        </w:rPr>
        <w:t xml:space="preserve">ORMAÇÃO </w:t>
      </w:r>
      <w:r>
        <w:rPr>
          <w:rFonts w:cs="Arial"/>
          <w:b/>
          <w:sz w:val="28"/>
          <w:szCs w:val="28"/>
        </w:rPr>
        <w:t>COM</w:t>
      </w:r>
      <w:r w:rsidRPr="00690907">
        <w:rPr>
          <w:rFonts w:cs="Arial"/>
          <w:b/>
          <w:sz w:val="28"/>
          <w:szCs w:val="28"/>
        </w:rPr>
        <w:t xml:space="preserve"> TECNOLOGIAS DIGITAIS PARA ALÉM DAS FERRAMENTAS</w:t>
      </w:r>
    </w:p>
    <w:p w14:paraId="011AFE8A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</w:p>
    <w:p w14:paraId="03A399D3" w14:textId="2109290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</w:t>
      </w:r>
      <w:r w:rsidR="003C06F4">
        <w:rPr>
          <w:rFonts w:eastAsia="Arial" w:cs="Arial"/>
          <w:color w:val="000000"/>
          <w:sz w:val="20"/>
          <w:szCs w:val="20"/>
        </w:rPr>
        <w:t>ANTOS</w:t>
      </w:r>
      <w:r>
        <w:rPr>
          <w:rFonts w:eastAsia="Arial" w:cs="Arial"/>
          <w:color w:val="000000"/>
          <w:sz w:val="20"/>
          <w:szCs w:val="20"/>
        </w:rPr>
        <w:t xml:space="preserve">, </w:t>
      </w:r>
      <w:r w:rsidR="003C06F4">
        <w:rPr>
          <w:rFonts w:eastAsia="Arial" w:cs="Arial"/>
          <w:color w:val="000000"/>
          <w:sz w:val="20"/>
          <w:szCs w:val="20"/>
        </w:rPr>
        <w:t>José Elyton Batista</w:t>
      </w:r>
      <w:r>
        <w:rPr>
          <w:rFonts w:eastAsia="Arial" w:cs="Arial"/>
          <w:color w:val="000000"/>
          <w:sz w:val="20"/>
          <w:szCs w:val="20"/>
          <w:vertAlign w:val="superscript"/>
        </w:rPr>
        <w:footnoteReference w:id="1"/>
      </w:r>
      <w:r>
        <w:rPr>
          <w:rFonts w:eastAsia="Arial" w:cs="Arial"/>
          <w:color w:val="000000"/>
          <w:sz w:val="20"/>
          <w:szCs w:val="20"/>
        </w:rPr>
        <w:t> </w:t>
      </w:r>
    </w:p>
    <w:p w14:paraId="21A3AECA" w14:textId="77777777" w:rsidR="00D645D6" w:rsidRDefault="003C06F4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RODRIGUES</w:t>
      </w:r>
      <w:r w:rsidR="008F0BC3">
        <w:rPr>
          <w:rFonts w:eastAsia="Arial" w:cs="Arial"/>
          <w:color w:val="000000"/>
          <w:sz w:val="20"/>
          <w:szCs w:val="20"/>
        </w:rPr>
        <w:t xml:space="preserve">, </w:t>
      </w:r>
      <w:r>
        <w:rPr>
          <w:rFonts w:eastAsia="Arial" w:cs="Arial"/>
          <w:color w:val="000000"/>
          <w:sz w:val="20"/>
          <w:szCs w:val="20"/>
        </w:rPr>
        <w:t>Bruno Meneses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2"/>
      </w:r>
    </w:p>
    <w:p w14:paraId="3650F524" w14:textId="7707A665" w:rsidR="008F0BC3" w:rsidRDefault="00D645D6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SANTOS, Iris Grasielle Xavier</w:t>
      </w:r>
      <w:r w:rsidR="007744B0">
        <w:rPr>
          <w:rStyle w:val="Refdenotaderodap"/>
          <w:rFonts w:eastAsia="Arial" w:cs="Arial"/>
          <w:color w:val="000000"/>
          <w:sz w:val="20"/>
          <w:szCs w:val="20"/>
        </w:rPr>
        <w:footnoteReference w:id="3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0EC5C126" w14:textId="2B75D3B8" w:rsidR="002E6BC2" w:rsidRDefault="002E6BC2" w:rsidP="002E6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CA807B" w14:textId="77777777" w:rsidR="002E6BC2" w:rsidRDefault="002E6BC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202FCC" w14:textId="7EB66CD6" w:rsidR="00B425FC" w:rsidRDefault="007B6D8B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b/>
          <w:bCs/>
          <w:color w:val="000000"/>
          <w:sz w:val="20"/>
          <w:szCs w:val="20"/>
        </w:rPr>
      </w:pPr>
      <w:r w:rsidRPr="007B6D8B">
        <w:rPr>
          <w:rFonts w:eastAsia="Times New Roman" w:cs="Arial"/>
          <w:b/>
          <w:bCs/>
          <w:color w:val="000000"/>
          <w:sz w:val="20"/>
          <w:szCs w:val="20"/>
        </w:rPr>
        <w:t>GT 8 – Educação em Ciências e Matemática</w:t>
      </w:r>
    </w:p>
    <w:p w14:paraId="7C317DC9" w14:textId="77777777" w:rsidR="007B6D8B" w:rsidRDefault="007B6D8B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</w:p>
    <w:p w14:paraId="509F2B2F" w14:textId="77777777" w:rsidR="009918DA" w:rsidRPr="009918DA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14:paraId="49D00D2C" w14:textId="54B3CA96" w:rsidR="0064328E" w:rsidRPr="009918DA" w:rsidRDefault="009918DA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18DA">
        <w:rPr>
          <w:rFonts w:eastAsia="Times New Roman" w:cs="Arial"/>
          <w:color w:val="000000"/>
          <w:sz w:val="20"/>
          <w:szCs w:val="20"/>
        </w:rPr>
        <w:t>Este estudo, de natureza qualitativa e fundamentado em um estudo de caso</w:t>
      </w:r>
      <w:r w:rsidR="0064328E" w:rsidRPr="009918DA">
        <w:rPr>
          <w:rFonts w:eastAsia="Arial" w:cs="Arial"/>
          <w:bCs/>
          <w:color w:val="000000"/>
          <w:sz w:val="20"/>
          <w:szCs w:val="20"/>
        </w:rPr>
        <w:t>, analisa as percepções sobre o ensino e a aprendizagem de Matemática com tecnologias digitais</w:t>
      </w:r>
      <w:r w:rsidR="00D63DBB" w:rsidRPr="009918DA">
        <w:rPr>
          <w:rFonts w:eastAsia="Arial" w:cs="Arial"/>
          <w:bCs/>
          <w:color w:val="000000"/>
          <w:sz w:val="20"/>
          <w:szCs w:val="20"/>
        </w:rPr>
        <w:t xml:space="preserve"> (TD)</w:t>
      </w:r>
      <w:r w:rsidR="0064328E" w:rsidRPr="009918DA">
        <w:rPr>
          <w:rFonts w:eastAsia="Arial" w:cs="Arial"/>
          <w:bCs/>
          <w:color w:val="000000"/>
          <w:sz w:val="20"/>
          <w:szCs w:val="20"/>
        </w:rPr>
        <w:t>, enfatizando uma formação que ultrapassa o enfoque t</w:t>
      </w:r>
      <w:r w:rsidR="0064328E" w:rsidRPr="0064328E">
        <w:rPr>
          <w:rFonts w:eastAsia="Arial" w:cs="Arial"/>
          <w:bCs/>
          <w:color w:val="000000"/>
          <w:sz w:val="20"/>
          <w:szCs w:val="20"/>
        </w:rPr>
        <w:t>écnico. Os relatos revelam que os professores passaram a compreender as TD como mediadoras de aprendizagens significativas, valorizando autonomia, autoria e pensamento crítico. A inovação foi associada não apenas às ferramentas, mas às metodologias e intenções pedagógicas, tornando a Matemática um campo fértil para práticas interativas e colaborativas.</w:t>
      </w:r>
    </w:p>
    <w:p w14:paraId="5D453A8F" w14:textId="77777777" w:rsidR="009918DA" w:rsidRPr="0064328E" w:rsidRDefault="009918DA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Cs/>
          <w:color w:val="000000"/>
          <w:sz w:val="20"/>
          <w:szCs w:val="20"/>
        </w:rPr>
      </w:pPr>
    </w:p>
    <w:p w14:paraId="04AEC49E" w14:textId="4C283B30" w:rsidR="008F0BC3" w:rsidRPr="0064328E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 xml:space="preserve">Palavras-chave: </w:t>
      </w:r>
      <w:r w:rsidR="0064328E">
        <w:rPr>
          <w:rFonts w:eastAsia="Arial" w:cs="Arial"/>
          <w:color w:val="000000"/>
          <w:sz w:val="20"/>
          <w:szCs w:val="20"/>
        </w:rPr>
        <w:t>Tecnologias Educacionais. Ensino de Matemática. Prática Pedagógica.</w:t>
      </w:r>
    </w:p>
    <w:p w14:paraId="3FB98357" w14:textId="428CCC82" w:rsidR="008F0BC3" w:rsidRDefault="008F0BC3" w:rsidP="00C274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6A24017A" w14:textId="02598BAD" w:rsidR="000B7577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bookmarkStart w:id="0" w:name="_Hlk206621063"/>
      <w:r w:rsidRPr="00D95726">
        <w:rPr>
          <w:rFonts w:eastAsia="Arial" w:cs="Arial"/>
          <w:b/>
          <w:color w:val="000000"/>
          <w:szCs w:val="24"/>
        </w:rPr>
        <w:t>INTRODUÇÃO</w:t>
      </w:r>
    </w:p>
    <w:p w14:paraId="1D99153A" w14:textId="77777777" w:rsidR="0064328E" w:rsidRDefault="0064328E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697E0C9E" w14:textId="77777777" w:rsidR="005D67F8" w:rsidRDefault="005D67F8" w:rsidP="009918DA">
      <w:pPr>
        <w:ind w:firstLine="709"/>
        <w:rPr>
          <w:rFonts w:cs="Arial"/>
          <w:szCs w:val="24"/>
        </w:rPr>
      </w:pPr>
      <w:r w:rsidRPr="005D67F8">
        <w:rPr>
          <w:rFonts w:cs="Arial"/>
          <w:szCs w:val="24"/>
        </w:rPr>
        <w:t>Nas últimas décadas, as transformações sociotécnicas impulsionadas pela presença constante de dispositivos digitais impactaram tanto o modo de vida quanto as dinâmicas educativas. Assim, reduzir a formação docente ao domínio técnico mostra-se insuficiente. O desafio atual é compreender a cultura digital como fenômeno que atravessa práticas, saberes e relações, exigindo uma formação capaz de acolher essa complexidade e articular teoria, prática e intencionalidade pedagógica.</w:t>
      </w:r>
    </w:p>
    <w:p w14:paraId="6337A783" w14:textId="0A1BFE86" w:rsidR="006128D6" w:rsidRDefault="00903BF9" w:rsidP="009918DA">
      <w:pPr>
        <w:ind w:firstLine="709"/>
        <w:rPr>
          <w:rFonts w:cs="Arial"/>
          <w:szCs w:val="24"/>
        </w:rPr>
      </w:pPr>
      <w:r w:rsidRPr="00E2152A">
        <w:rPr>
          <w:rFonts w:cs="Arial"/>
          <w:szCs w:val="24"/>
        </w:rPr>
        <w:t xml:space="preserve">A chamada cultura digital, conforme Ferreira (2020), envolve hábitos, práticas e interações sociais </w:t>
      </w:r>
      <w:r w:rsidR="009918DA" w:rsidRPr="009918DA">
        <w:rPr>
          <w:rFonts w:cs="Arial"/>
          <w:szCs w:val="24"/>
        </w:rPr>
        <w:t>que se configuram pela presença marcante das tecnologias em nossa vida diária</w:t>
      </w:r>
      <w:r w:rsidRPr="00E2152A">
        <w:rPr>
          <w:rFonts w:cs="Arial"/>
          <w:szCs w:val="24"/>
        </w:rPr>
        <w:t xml:space="preserve">, </w:t>
      </w:r>
      <w:r w:rsidR="009918DA" w:rsidRPr="009918DA">
        <w:rPr>
          <w:rFonts w:cs="Arial"/>
          <w:szCs w:val="24"/>
        </w:rPr>
        <w:t>demandando dos sujeitos a ressignificação de seus modos de agir, pensar e aprender. Assim, refletir sobre a formação docente no século XXI não se restringe a considerar novas linguagens, mas envolve compreender novas maneiras de existir e de se posicionar no mundo</w:t>
      </w:r>
      <w:r w:rsidR="009918DA">
        <w:rPr>
          <w:rFonts w:cs="Arial"/>
          <w:szCs w:val="24"/>
        </w:rPr>
        <w:t xml:space="preserve">. </w:t>
      </w:r>
      <w:r w:rsidRPr="00E2152A">
        <w:rPr>
          <w:rFonts w:cs="Arial"/>
          <w:szCs w:val="24"/>
        </w:rPr>
        <w:t xml:space="preserve">Para Lopes e Oliveira (2021), esse contexto exige repensar caminhos para a aprendizagem, sobretudo frente a uma geração que cresceu imersa em fluxos </w:t>
      </w:r>
      <w:r w:rsidRPr="00E2152A">
        <w:rPr>
          <w:rFonts w:cs="Arial"/>
          <w:szCs w:val="24"/>
        </w:rPr>
        <w:lastRenderedPageBreak/>
        <w:t>informacionais constantes e que demanda mediações mais dinâmicas, participativas e conectadas com sua realidade.</w:t>
      </w:r>
    </w:p>
    <w:p w14:paraId="59D479C8" w14:textId="0D4AFC02" w:rsidR="005D67F8" w:rsidRDefault="005D67F8" w:rsidP="009918DA">
      <w:pPr>
        <w:ind w:firstLine="709"/>
        <w:rPr>
          <w:rFonts w:cs="Arial"/>
          <w:szCs w:val="24"/>
        </w:rPr>
      </w:pPr>
      <w:r w:rsidRPr="005D67F8">
        <w:rPr>
          <w:rFonts w:cs="Arial"/>
          <w:szCs w:val="24"/>
        </w:rPr>
        <w:t>Não se trata de adaptar práticas antigas a novos formatos, mas de provocar deslocamentos na compreensão da docência, atravessada por demandas mais amplas e complexas. Como destacam Santos, Silva e Carvalho (2022), é necessário romper com a ideia de que somos agentes passivos da cultura digital, assumindo nosso papel de autores e recriadores de práticas educativas. A formação docente, nesse sentido, deve ir além de treinamentos funcionais, assumindo caráter formativo, crítico e emancipador. Além disso,</w:t>
      </w:r>
      <w:r w:rsidR="002D33D5">
        <w:rPr>
          <w:rFonts w:cs="Arial"/>
          <w:szCs w:val="24"/>
        </w:rPr>
        <w:t xml:space="preserve"> a educação com </w:t>
      </w:r>
      <w:r w:rsidRPr="005D67F8">
        <w:rPr>
          <w:rFonts w:cs="Arial"/>
          <w:szCs w:val="24"/>
        </w:rPr>
        <w:t>tecnologias na formação</w:t>
      </w:r>
      <w:r w:rsidR="002D33D5">
        <w:rPr>
          <w:rFonts w:cs="Arial"/>
          <w:szCs w:val="24"/>
        </w:rPr>
        <w:t xml:space="preserve"> formal</w:t>
      </w:r>
      <w:r w:rsidRPr="005D67F8">
        <w:rPr>
          <w:rFonts w:cs="Arial"/>
          <w:szCs w:val="24"/>
        </w:rPr>
        <w:t xml:space="preserve"> deve articular-se com a construção da identidade docente, pois a familiaridade com ambientes digitais ou aplicativos não garante práticas pedagógicas significativas. </w:t>
      </w:r>
    </w:p>
    <w:p w14:paraId="27935988" w14:textId="2D60F399" w:rsidR="00C36923" w:rsidRDefault="00903BF9" w:rsidP="002D33D5">
      <w:pPr>
        <w:ind w:firstLine="709"/>
        <w:rPr>
          <w:rFonts w:cs="Arial"/>
          <w:szCs w:val="24"/>
        </w:rPr>
      </w:pPr>
      <w:r w:rsidRPr="00E2152A">
        <w:rPr>
          <w:rFonts w:cs="Arial"/>
          <w:szCs w:val="24"/>
        </w:rPr>
        <w:t>Nesse contexto, este artigo tem como objetivo geral analisar as percepções</w:t>
      </w:r>
      <w:r w:rsidR="00554FED">
        <w:rPr>
          <w:rFonts w:cs="Arial"/>
          <w:szCs w:val="24"/>
        </w:rPr>
        <w:t xml:space="preserve"> de licenciandos</w:t>
      </w:r>
      <w:r w:rsidRPr="00E2152A">
        <w:rPr>
          <w:rFonts w:cs="Arial"/>
          <w:szCs w:val="24"/>
        </w:rPr>
        <w:t xml:space="preserve"> sobre o ensino e a aprendizagem de Matemática com tecnologias digitais, buscando compreender como a formação que ultrapassa o enfoque técnico contribui para práticas pedagógicas mais reflexivas, intencionais e alinhadas às demandas da cultura digital.</w:t>
      </w:r>
      <w:r w:rsidR="00554FED">
        <w:rPr>
          <w:rFonts w:cs="Arial"/>
          <w:szCs w:val="24"/>
        </w:rPr>
        <w:t xml:space="preserve"> </w:t>
      </w:r>
      <w:r w:rsidR="002D33D5" w:rsidRPr="002D33D5">
        <w:rPr>
          <w:rFonts w:cs="Arial"/>
          <w:szCs w:val="24"/>
        </w:rPr>
        <w:t>Ao abordar essas questões, busca-se fomentar o debate acerca da necessidade de uma formação que ultrapasse o domínio instrumental das ferramentas, valorizando a construção de sentidos pedagógicos e o fortalecimento da autonomia docente diante das transformações do mundo contemporâneo.</w:t>
      </w:r>
    </w:p>
    <w:p w14:paraId="172D190D" w14:textId="77777777" w:rsidR="002D33D5" w:rsidRDefault="002D33D5" w:rsidP="002D33D5">
      <w:pPr>
        <w:ind w:firstLine="709"/>
        <w:rPr>
          <w:rFonts w:eastAsia="Arial" w:cs="Arial"/>
          <w:b/>
          <w:color w:val="000000"/>
          <w:szCs w:val="24"/>
        </w:rPr>
      </w:pPr>
    </w:p>
    <w:p w14:paraId="561E8DC0" w14:textId="378D9AC3" w:rsidR="005B4023" w:rsidRPr="00C36923" w:rsidRDefault="005B4023" w:rsidP="00C36923">
      <w:pPr>
        <w:spacing w:before="120"/>
        <w:rPr>
          <w:rFonts w:cs="Arial"/>
          <w:b/>
          <w:bCs/>
          <w:szCs w:val="24"/>
        </w:rPr>
      </w:pPr>
      <w:r w:rsidRPr="00C36923">
        <w:rPr>
          <w:rFonts w:cs="Arial"/>
          <w:b/>
          <w:bCs/>
          <w:szCs w:val="24"/>
        </w:rPr>
        <w:t>ENTRE A TÉCNICA E A PRÁXIS: CAMINHOS FORMATIVOS NA CULTURA DIGITAL</w:t>
      </w:r>
    </w:p>
    <w:p w14:paraId="47F67CCD" w14:textId="77777777" w:rsidR="005B4023" w:rsidRDefault="005B4023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1C1928EB" w14:textId="460F9C16" w:rsidR="001A662D" w:rsidRDefault="002D33D5" w:rsidP="009918DA">
      <w:pPr>
        <w:tabs>
          <w:tab w:val="left" w:pos="709"/>
        </w:tabs>
        <w:ind w:firstLine="709"/>
        <w:rPr>
          <w:rFonts w:cs="Arial"/>
          <w:szCs w:val="24"/>
        </w:rPr>
      </w:pPr>
      <w:r w:rsidRPr="002D33D5">
        <w:rPr>
          <w:rFonts w:cs="Arial"/>
          <w:szCs w:val="24"/>
        </w:rPr>
        <w:t>A simples presença das tecnologias digitais no ambiente escolar não resulta, necessariamente, em inovação pedagógica.</w:t>
      </w:r>
      <w:r w:rsidR="005D67F8" w:rsidRPr="005D67F8">
        <w:rPr>
          <w:rFonts w:cs="Arial"/>
          <w:szCs w:val="24"/>
        </w:rPr>
        <w:t xml:space="preserve"> É necessário questionar se essas tecnologias nos cursos de formação inicial promovem reflexão crítica ou permanecem reduzidas a práticas instrumentais. Como destaca Franco (2016), uma prática docente pedagógica exige intencionalidade e consciência crítica sobre o ensino, indo além do domínio de estratégias e procedimentos. Quando centrada apenas na operacionalização de plataformas, a formação docente corre o risco de perpetuar práticas tradicionais mediadas por interfaces digitais. Santos, Silva e Carvalho (2022) alertam que, mesmo inseridos na cultura digital, os docentes podem atuar de forma restrita e repetitiva, revelando a </w:t>
      </w:r>
      <w:r w:rsidR="005D67F8" w:rsidRPr="005D67F8">
        <w:rPr>
          <w:rFonts w:cs="Arial"/>
          <w:szCs w:val="24"/>
        </w:rPr>
        <w:lastRenderedPageBreak/>
        <w:t>necessidade de formações que provoquem rupturas, ressignificações e articulações entre vida social e prática escolar.</w:t>
      </w:r>
      <w:r w:rsidR="005B4023">
        <w:rPr>
          <w:rFonts w:cs="Arial"/>
          <w:szCs w:val="24"/>
        </w:rPr>
        <w:tab/>
      </w:r>
    </w:p>
    <w:p w14:paraId="63DFA591" w14:textId="2B9DB9CE" w:rsidR="005B4023" w:rsidRDefault="005B4023" w:rsidP="009918DA">
      <w:pPr>
        <w:tabs>
          <w:tab w:val="left" w:pos="709"/>
        </w:tabs>
        <w:ind w:firstLine="709"/>
        <w:rPr>
          <w:rFonts w:cs="Arial"/>
          <w:szCs w:val="24"/>
        </w:rPr>
      </w:pPr>
      <w:r w:rsidRPr="00E2152A">
        <w:rPr>
          <w:rFonts w:cs="Arial"/>
          <w:szCs w:val="24"/>
        </w:rPr>
        <w:t>No campo da formação matemática, esse desafio ganha contornos ainda mais complexos. Historicamente, os cursos de licenciatura em Matemática priorizam o conhecimento específico da área, em detrimento das discussões pedagógicas e metodológicas. Segundo Moreira e David (2018), o modelo tradicional de formação, conhecido como “3+1”, ainda influencia muitas estruturas curriculares, separando o saber matemático do saber ensinar</w:t>
      </w:r>
      <w:r w:rsidR="002451FE">
        <w:rPr>
          <w:rFonts w:cs="Arial"/>
          <w:szCs w:val="24"/>
        </w:rPr>
        <w:t>.</w:t>
      </w:r>
    </w:p>
    <w:p w14:paraId="15DF8511" w14:textId="2AA150EF" w:rsidR="005B4023" w:rsidRDefault="005B4023" w:rsidP="009918DA">
      <w:pPr>
        <w:tabs>
          <w:tab w:val="left" w:pos="709"/>
        </w:tabs>
        <w:ind w:firstLine="709"/>
        <w:rPr>
          <w:rFonts w:cs="Arial"/>
          <w:szCs w:val="24"/>
        </w:rPr>
      </w:pPr>
      <w:r w:rsidRPr="00E2152A">
        <w:rPr>
          <w:rFonts w:cs="Arial"/>
          <w:szCs w:val="24"/>
        </w:rPr>
        <w:t xml:space="preserve">Motta (2017) reforça que, para que a integração da </w:t>
      </w:r>
      <w:r w:rsidR="00554FED">
        <w:rPr>
          <w:rFonts w:cs="Arial"/>
          <w:szCs w:val="24"/>
        </w:rPr>
        <w:t>M</w:t>
      </w:r>
      <w:r w:rsidRPr="00E2152A">
        <w:rPr>
          <w:rFonts w:cs="Arial"/>
          <w:szCs w:val="24"/>
        </w:rPr>
        <w:t>atemática com tecnologias torne a sala de aula um espaço reflexivo e criativo, é necessário que o professor tenha um olhar analítico sobre sua própria formação. Isso implica construir uma base sólida de conhecimentos que articule conteúdo, didática e cultura digital. Tal base não pode ser construída de maneira isolada, mas deve ser favorecida por currículos que proponham o diálogo constante entre teoria e prática, entre o concreto da sala de aula e o abstrato da linguagem matemática.</w:t>
      </w:r>
    </w:p>
    <w:p w14:paraId="4AB709EC" w14:textId="10E4D24A" w:rsidR="00B425FC" w:rsidRDefault="002451FE" w:rsidP="002D33D5">
      <w:pPr>
        <w:tabs>
          <w:tab w:val="left" w:pos="709"/>
        </w:tabs>
        <w:ind w:firstLine="709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5B4023" w:rsidRPr="00E2152A">
        <w:rPr>
          <w:rFonts w:cs="Arial"/>
          <w:szCs w:val="24"/>
        </w:rPr>
        <w:t xml:space="preserve">esse processo, as </w:t>
      </w:r>
      <w:r w:rsidR="00554FED">
        <w:rPr>
          <w:rFonts w:cs="Arial"/>
          <w:szCs w:val="24"/>
        </w:rPr>
        <w:t>TD</w:t>
      </w:r>
      <w:r w:rsidR="005B4023" w:rsidRPr="00E2152A">
        <w:rPr>
          <w:rFonts w:cs="Arial"/>
          <w:szCs w:val="24"/>
        </w:rPr>
        <w:t xml:space="preserve"> podem ampliar possibilidades de visualização, experimentação e problematização, desde que estejam integradas a práticas intencionais, conectadas ao contexto e aos sujeitos envolvidos.</w:t>
      </w:r>
      <w:r>
        <w:rPr>
          <w:rFonts w:cs="Arial"/>
          <w:szCs w:val="24"/>
        </w:rPr>
        <w:t xml:space="preserve"> </w:t>
      </w:r>
      <w:r w:rsidR="005B4023" w:rsidRPr="00E2152A">
        <w:rPr>
          <w:rFonts w:cs="Arial"/>
          <w:szCs w:val="24"/>
        </w:rPr>
        <w:t xml:space="preserve">Lopes e Oliveira (2021) </w:t>
      </w:r>
      <w:r w:rsidR="002D33D5">
        <w:rPr>
          <w:rFonts w:cs="Arial"/>
          <w:szCs w:val="24"/>
        </w:rPr>
        <w:t>d</w:t>
      </w:r>
      <w:r w:rsidR="002D33D5" w:rsidRPr="002D33D5">
        <w:rPr>
          <w:rFonts w:cs="Arial"/>
          <w:szCs w:val="24"/>
        </w:rPr>
        <w:t>estacam que a formação com tecnologias deve ocorrer de forma transversal e imersiva, proporcionando experiências em que os futuros docentes se reconheçam como protagonistas do processo de ensino-aprendizagem. Salienta-se que o objetivo vai além da simples apresentação de dispositivos ou plataformas, envolvendo a criação de experiências que favoreçam a compreensão das interações entre conteúdo, mediação e cultura digital. O essencial não é apenas a familiaridade com o digital, mas a construção de sentidos pedagógicos para sua efetiva aplicação em sala de aula. Quando incorporadas à práxis, e não tratadas como meros adereços, as tecnologias digitais podem contribuir para uma docência mais autônoma, criativa e transformadora.</w:t>
      </w:r>
    </w:p>
    <w:p w14:paraId="5D4B09A0" w14:textId="77777777" w:rsidR="002D33D5" w:rsidRPr="00B425FC" w:rsidRDefault="002D33D5" w:rsidP="002D33D5">
      <w:pPr>
        <w:tabs>
          <w:tab w:val="left" w:pos="709"/>
        </w:tabs>
        <w:ind w:firstLine="709"/>
        <w:rPr>
          <w:rFonts w:eastAsia="Arial" w:cs="Arial"/>
          <w:bCs/>
          <w:color w:val="000000"/>
          <w:szCs w:val="24"/>
        </w:rPr>
      </w:pPr>
    </w:p>
    <w:p w14:paraId="3A321BBB" w14:textId="34F41B8A" w:rsidR="00C274A9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PROCEDIMENTOS ÉTICOS E METODOLÓGICOS</w:t>
      </w:r>
    </w:p>
    <w:p w14:paraId="7DDC437A" w14:textId="77777777" w:rsidR="005B4023" w:rsidRDefault="005B4023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17C79D2C" w14:textId="2908F8FE" w:rsidR="005B4023" w:rsidRDefault="005B4023" w:rsidP="009918D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rPr>
          <w:rFonts w:eastAsia="Arial" w:cs="Arial"/>
          <w:bCs/>
          <w:color w:val="000000"/>
          <w:szCs w:val="24"/>
        </w:rPr>
      </w:pPr>
      <w:r>
        <w:rPr>
          <w:rFonts w:eastAsia="Arial" w:cs="Arial"/>
          <w:bCs/>
          <w:color w:val="000000"/>
          <w:szCs w:val="24"/>
        </w:rPr>
        <w:lastRenderedPageBreak/>
        <w:t>Esta investigação adota a metodologia de</w:t>
      </w:r>
      <w:r w:rsidRPr="005B4023">
        <w:rPr>
          <w:rFonts w:eastAsia="Arial" w:cs="Arial"/>
          <w:bCs/>
          <w:color w:val="000000"/>
          <w:szCs w:val="24"/>
        </w:rPr>
        <w:t xml:space="preserve"> estudo de caso, </w:t>
      </w:r>
      <w:r>
        <w:rPr>
          <w:rFonts w:eastAsia="Arial" w:cs="Arial"/>
          <w:bCs/>
          <w:color w:val="000000"/>
          <w:szCs w:val="24"/>
        </w:rPr>
        <w:t xml:space="preserve">que </w:t>
      </w:r>
      <w:r w:rsidRPr="005B4023">
        <w:rPr>
          <w:rFonts w:eastAsia="Arial" w:cs="Arial"/>
          <w:bCs/>
          <w:color w:val="000000"/>
          <w:szCs w:val="24"/>
        </w:rPr>
        <w:t xml:space="preserve">conforme delineado por Yin (2015), possibilita uma análise aprofundada de fenômenos educacionais em seus contextos reais, permitindo compreender como as </w:t>
      </w:r>
      <w:r w:rsidR="00554FED">
        <w:rPr>
          <w:rFonts w:eastAsia="Arial" w:cs="Arial"/>
          <w:bCs/>
          <w:color w:val="000000"/>
          <w:szCs w:val="24"/>
        </w:rPr>
        <w:t>TD</w:t>
      </w:r>
      <w:r w:rsidRPr="005B4023">
        <w:rPr>
          <w:rFonts w:eastAsia="Arial" w:cs="Arial"/>
          <w:bCs/>
          <w:color w:val="000000"/>
          <w:szCs w:val="24"/>
        </w:rPr>
        <w:t xml:space="preserve">, ao serem incorporadas ao ensino de Matemática, influenciam as práticas pedagógicas e as percepções dos envolvidos. </w:t>
      </w:r>
    </w:p>
    <w:p w14:paraId="1026BBE9" w14:textId="4E2567F5" w:rsidR="00D645D6" w:rsidRPr="005B4023" w:rsidRDefault="00C36923" w:rsidP="009918D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rPr>
          <w:rFonts w:eastAsia="Arial" w:cs="Arial"/>
          <w:bCs/>
          <w:color w:val="000000"/>
          <w:szCs w:val="24"/>
        </w:rPr>
      </w:pPr>
      <w:r w:rsidRPr="00C36923">
        <w:rPr>
          <w:rFonts w:eastAsia="Arial" w:cs="Arial"/>
          <w:bCs/>
          <w:color w:val="000000"/>
          <w:szCs w:val="24"/>
        </w:rPr>
        <w:t>Realizou-se um</w:t>
      </w:r>
      <w:r w:rsidR="00554FED">
        <w:rPr>
          <w:rFonts w:eastAsia="Arial" w:cs="Arial"/>
          <w:bCs/>
          <w:color w:val="000000"/>
          <w:szCs w:val="24"/>
        </w:rPr>
        <w:t xml:space="preserve">a </w:t>
      </w:r>
      <w:r w:rsidRPr="00C36923">
        <w:rPr>
          <w:rFonts w:eastAsia="Arial" w:cs="Arial"/>
          <w:bCs/>
          <w:color w:val="000000"/>
          <w:szCs w:val="24"/>
        </w:rPr>
        <w:t>formação</w:t>
      </w:r>
      <w:r>
        <w:rPr>
          <w:rFonts w:eastAsia="Arial" w:cs="Arial"/>
          <w:bCs/>
          <w:color w:val="000000"/>
          <w:szCs w:val="24"/>
        </w:rPr>
        <w:t xml:space="preserve"> no segundo semestre de 2024</w:t>
      </w:r>
      <w:r w:rsidRPr="00C36923">
        <w:rPr>
          <w:rFonts w:eastAsia="Arial" w:cs="Arial"/>
          <w:bCs/>
          <w:color w:val="000000"/>
          <w:szCs w:val="24"/>
        </w:rPr>
        <w:t xml:space="preserve"> para estudantes de segunda licenciatura em Matemática, integrante</w:t>
      </w:r>
      <w:r>
        <w:rPr>
          <w:rFonts w:eastAsia="Arial" w:cs="Arial"/>
          <w:bCs/>
          <w:color w:val="000000"/>
          <w:szCs w:val="24"/>
        </w:rPr>
        <w:t>s</w:t>
      </w:r>
      <w:r w:rsidRPr="00C36923">
        <w:rPr>
          <w:rFonts w:eastAsia="Arial" w:cs="Arial"/>
          <w:bCs/>
          <w:color w:val="000000"/>
          <w:szCs w:val="24"/>
        </w:rPr>
        <w:t xml:space="preserve"> do Programa de Qualificação Docente da </w:t>
      </w:r>
      <w:r>
        <w:rPr>
          <w:rFonts w:eastAsia="Arial" w:cs="Arial"/>
          <w:bCs/>
          <w:color w:val="000000"/>
          <w:szCs w:val="24"/>
        </w:rPr>
        <w:t>Universidade Federal de Sergipe (</w:t>
      </w:r>
      <w:r w:rsidRPr="00C36923">
        <w:rPr>
          <w:rFonts w:eastAsia="Arial" w:cs="Arial"/>
          <w:bCs/>
          <w:color w:val="000000"/>
          <w:szCs w:val="24"/>
        </w:rPr>
        <w:t>UFS</w:t>
      </w:r>
      <w:r>
        <w:rPr>
          <w:rFonts w:eastAsia="Arial" w:cs="Arial"/>
          <w:bCs/>
          <w:color w:val="000000"/>
          <w:szCs w:val="24"/>
        </w:rPr>
        <w:t>)</w:t>
      </w:r>
      <w:r w:rsidRPr="00C36923">
        <w:rPr>
          <w:rFonts w:eastAsia="Arial" w:cs="Arial"/>
          <w:bCs/>
          <w:color w:val="000000"/>
          <w:szCs w:val="24"/>
        </w:rPr>
        <w:t xml:space="preserve">, intitulado </w:t>
      </w:r>
      <w:r w:rsidRPr="00554FED">
        <w:rPr>
          <w:rFonts w:eastAsia="Arial" w:cs="Arial"/>
          <w:b/>
          <w:color w:val="000000"/>
          <w:szCs w:val="24"/>
        </w:rPr>
        <w:t>Formação Docente em Matemática: Para Além das Ferramentas</w:t>
      </w:r>
      <w:r w:rsidRPr="00C36923">
        <w:rPr>
          <w:rFonts w:eastAsia="Arial" w:cs="Arial"/>
          <w:bCs/>
          <w:color w:val="000000"/>
          <w:szCs w:val="24"/>
        </w:rPr>
        <w:t xml:space="preserve">, ministrado de forma remota pelo </w:t>
      </w:r>
      <w:r w:rsidRPr="00554FED">
        <w:rPr>
          <w:rFonts w:eastAsia="Arial" w:cs="Arial"/>
          <w:bCs/>
          <w:i/>
          <w:iCs/>
          <w:color w:val="000000"/>
          <w:szCs w:val="24"/>
        </w:rPr>
        <w:t>Google Meet</w:t>
      </w:r>
      <w:r w:rsidRPr="00C36923">
        <w:rPr>
          <w:rFonts w:eastAsia="Arial" w:cs="Arial"/>
          <w:bCs/>
          <w:color w:val="000000"/>
          <w:szCs w:val="24"/>
        </w:rPr>
        <w:t xml:space="preserve">. </w:t>
      </w:r>
      <w:r w:rsidR="00D645D6" w:rsidRPr="00D645D6">
        <w:rPr>
          <w:rFonts w:eastAsia="Arial" w:cs="Arial"/>
          <w:bCs/>
          <w:color w:val="000000"/>
          <w:szCs w:val="24"/>
        </w:rPr>
        <w:t xml:space="preserve">Os dados foram coletados por meio do </w:t>
      </w:r>
      <w:r w:rsidR="00D645D6" w:rsidRPr="00D645D6">
        <w:rPr>
          <w:rFonts w:eastAsia="Arial" w:cs="Arial"/>
          <w:bCs/>
          <w:i/>
          <w:iCs/>
          <w:color w:val="000000"/>
          <w:szCs w:val="24"/>
        </w:rPr>
        <w:t>Padlet</w:t>
      </w:r>
      <w:r w:rsidR="00D645D6" w:rsidRPr="00D645D6">
        <w:rPr>
          <w:rFonts w:eastAsia="Arial" w:cs="Arial"/>
          <w:bCs/>
          <w:color w:val="000000"/>
          <w:szCs w:val="24"/>
        </w:rPr>
        <w:t xml:space="preserve">, considerando as concepções dos </w:t>
      </w:r>
      <w:r w:rsidR="00D645D6">
        <w:rPr>
          <w:rFonts w:eastAsia="Arial" w:cs="Arial"/>
          <w:bCs/>
          <w:color w:val="000000"/>
          <w:szCs w:val="24"/>
        </w:rPr>
        <w:t>licenciandos</w:t>
      </w:r>
      <w:r w:rsidR="00D645D6" w:rsidRPr="00D645D6">
        <w:rPr>
          <w:rFonts w:eastAsia="Arial" w:cs="Arial"/>
          <w:bCs/>
          <w:color w:val="000000"/>
          <w:szCs w:val="24"/>
        </w:rPr>
        <w:t xml:space="preserve"> sobre o ensino e a aprendizagem de Matemática com tecnologias digitais e como a formação impactou suas estratégias e práticas pedagógicas.</w:t>
      </w:r>
    </w:p>
    <w:p w14:paraId="2708B5CB" w14:textId="77777777" w:rsidR="00C36923" w:rsidRDefault="00C36923" w:rsidP="002451FE">
      <w:pPr>
        <w:rPr>
          <w:rFonts w:cs="Arial"/>
          <w:b/>
          <w:bCs/>
          <w:szCs w:val="24"/>
        </w:rPr>
      </w:pPr>
    </w:p>
    <w:p w14:paraId="2BAD4676" w14:textId="5ADE8E5F" w:rsidR="005B4023" w:rsidRPr="00C36923" w:rsidRDefault="005B4023" w:rsidP="00C36923">
      <w:pPr>
        <w:spacing w:before="120"/>
        <w:rPr>
          <w:rFonts w:cs="Arial"/>
          <w:b/>
          <w:bCs/>
          <w:szCs w:val="24"/>
        </w:rPr>
      </w:pPr>
      <w:r w:rsidRPr="00C36923">
        <w:rPr>
          <w:rFonts w:cs="Arial"/>
          <w:b/>
          <w:bCs/>
          <w:szCs w:val="24"/>
        </w:rPr>
        <w:t>CAMINHOS FORMATIVOS PARA O PENSAR DIGITAL NA EDUCAÇÃO MATEMÁTICA:</w:t>
      </w:r>
      <w:r w:rsidR="00C36923" w:rsidRPr="00C36923">
        <w:rPr>
          <w:rFonts w:cs="Arial"/>
          <w:b/>
          <w:bCs/>
          <w:szCs w:val="24"/>
        </w:rPr>
        <w:t xml:space="preserve"> </w:t>
      </w:r>
      <w:r w:rsidRPr="00C36923">
        <w:rPr>
          <w:rFonts w:cs="Arial"/>
          <w:b/>
          <w:bCs/>
          <w:szCs w:val="24"/>
        </w:rPr>
        <w:t>ANÁLISE CRÍTICA DOS DADOS</w:t>
      </w:r>
    </w:p>
    <w:p w14:paraId="51AB5808" w14:textId="77777777" w:rsidR="0018593A" w:rsidRPr="00A31672" w:rsidRDefault="0018593A" w:rsidP="0018593A">
      <w:pPr>
        <w:ind w:left="284" w:hanging="284"/>
        <w:jc w:val="center"/>
        <w:rPr>
          <w:rFonts w:cs="Arial"/>
          <w:szCs w:val="24"/>
        </w:rPr>
      </w:pPr>
    </w:p>
    <w:p w14:paraId="3174ED0B" w14:textId="6ACD1386" w:rsidR="005B4023" w:rsidRDefault="005B4023" w:rsidP="009918DA">
      <w:pPr>
        <w:tabs>
          <w:tab w:val="left" w:pos="709"/>
        </w:tabs>
        <w:ind w:firstLine="720"/>
        <w:rPr>
          <w:rFonts w:cs="Arial"/>
          <w:szCs w:val="24"/>
        </w:rPr>
      </w:pPr>
      <w:r w:rsidRPr="00A31672">
        <w:rPr>
          <w:rFonts w:cs="Arial"/>
          <w:szCs w:val="24"/>
        </w:rPr>
        <w:t xml:space="preserve">A crescente presença das TD no cotidiano escolar desafia os processos formativos a ultrapassarem o uso mecânico das ferramentas. </w:t>
      </w:r>
      <w:r w:rsidR="00554FED">
        <w:rPr>
          <w:rFonts w:cs="Arial"/>
          <w:szCs w:val="24"/>
        </w:rPr>
        <w:t>A formação</w:t>
      </w:r>
      <w:r w:rsidRPr="00A31672">
        <w:rPr>
          <w:rFonts w:cs="Arial"/>
          <w:szCs w:val="24"/>
        </w:rPr>
        <w:t xml:space="preserve"> “Tecnologias Digitais para além das ferramentas” propôs-se a romper com essa lógica instrumental, promovendo um</w:t>
      </w:r>
      <w:r w:rsidR="00554FED">
        <w:rPr>
          <w:rFonts w:cs="Arial"/>
          <w:szCs w:val="24"/>
        </w:rPr>
        <w:t xml:space="preserve"> momento</w:t>
      </w:r>
      <w:r w:rsidRPr="00A31672">
        <w:rPr>
          <w:rFonts w:cs="Arial"/>
          <w:szCs w:val="24"/>
        </w:rPr>
        <w:t xml:space="preserve"> voltad</w:t>
      </w:r>
      <w:r w:rsidR="00554FED">
        <w:rPr>
          <w:rFonts w:cs="Arial"/>
          <w:szCs w:val="24"/>
        </w:rPr>
        <w:t>o</w:t>
      </w:r>
      <w:r w:rsidRPr="00A31672">
        <w:rPr>
          <w:rFonts w:cs="Arial"/>
          <w:szCs w:val="24"/>
        </w:rPr>
        <w:t xml:space="preserve"> à criticidade, criatividade e articulação entre saberes pedagógicos e tecnológicos. A análise das vozes dos participantes revela como essa abordagem repercutiu na prática e nas concepções dos futuros docentes.</w:t>
      </w:r>
    </w:p>
    <w:p w14:paraId="6DB6801B" w14:textId="35EC5B04" w:rsidR="005B4023" w:rsidRDefault="005B4023" w:rsidP="009918DA">
      <w:pPr>
        <w:tabs>
          <w:tab w:val="left" w:pos="709"/>
        </w:tabs>
        <w:ind w:firstLine="720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Pr="00A31672">
        <w:rPr>
          <w:rFonts w:cs="Arial"/>
          <w:szCs w:val="24"/>
        </w:rPr>
        <w:t xml:space="preserve"> </w:t>
      </w:r>
      <w:r w:rsidR="00554FED">
        <w:rPr>
          <w:rFonts w:cs="Arial"/>
          <w:szCs w:val="24"/>
        </w:rPr>
        <w:t>menção</w:t>
      </w:r>
      <w:r w:rsidRPr="00A31672">
        <w:rPr>
          <w:rFonts w:cs="Arial"/>
          <w:szCs w:val="24"/>
        </w:rPr>
        <w:t xml:space="preserve"> de </w:t>
      </w:r>
      <w:r w:rsidRPr="00363C72">
        <w:rPr>
          <w:rFonts w:cs="Arial"/>
          <w:szCs w:val="24"/>
        </w:rPr>
        <w:t>Gama</w:t>
      </w:r>
      <w:r w:rsidRPr="00A31672">
        <w:rPr>
          <w:rFonts w:cs="Arial"/>
          <w:szCs w:val="24"/>
        </w:rPr>
        <w:t xml:space="preserve"> revela a essência do que propõe Valente (2014), ao destacar que não basta usar as ferramentas, é preciso compreender o “como” e o “porquê” de </w:t>
      </w:r>
      <w:r w:rsidR="00554FED">
        <w:rPr>
          <w:rFonts w:cs="Arial"/>
          <w:szCs w:val="24"/>
        </w:rPr>
        <w:t>envolv</w:t>
      </w:r>
      <w:r w:rsidR="00363C72">
        <w:rPr>
          <w:rFonts w:cs="Arial"/>
          <w:szCs w:val="24"/>
        </w:rPr>
        <w:t>ê</w:t>
      </w:r>
      <w:r w:rsidR="00554FED">
        <w:rPr>
          <w:rFonts w:cs="Arial"/>
          <w:szCs w:val="24"/>
        </w:rPr>
        <w:t>-las</w:t>
      </w:r>
      <w:r w:rsidRPr="00A31672">
        <w:rPr>
          <w:rFonts w:cs="Arial"/>
          <w:szCs w:val="24"/>
        </w:rPr>
        <w:t xml:space="preserve"> ao ensino. Para </w:t>
      </w:r>
      <w:r w:rsidRPr="00363C72">
        <w:rPr>
          <w:rFonts w:cs="Arial"/>
          <w:szCs w:val="24"/>
        </w:rPr>
        <w:t>Gama</w:t>
      </w:r>
      <w:r w:rsidR="00363C72" w:rsidRPr="00363C72">
        <w:rPr>
          <w:rFonts w:cs="Arial"/>
          <w:szCs w:val="24"/>
        </w:rPr>
        <w:t xml:space="preserve"> (2024)</w:t>
      </w:r>
      <w:r w:rsidRPr="00A31672">
        <w:rPr>
          <w:rFonts w:cs="Arial"/>
          <w:szCs w:val="24"/>
        </w:rPr>
        <w:t>, “a formação contribuiu para ampliar meu repertório tecnológico, mostrando que mesmo ferramentas simples podem ser potentes quando há intencionalidade pedagógica”. Essa reflexão mostra o rompimento com a visão ingênua da tecnologia como “salvação” do ensino, alertando para a necessidade de sua apropriação crítica, como já indicava Kenski (2012)</w:t>
      </w:r>
      <w:r>
        <w:rPr>
          <w:rFonts w:cs="Arial"/>
          <w:szCs w:val="24"/>
        </w:rPr>
        <w:t>.</w:t>
      </w:r>
    </w:p>
    <w:p w14:paraId="0D5D8618" w14:textId="0E3F774A" w:rsidR="005B4023" w:rsidRDefault="005B4023" w:rsidP="009918DA">
      <w:pPr>
        <w:tabs>
          <w:tab w:val="left" w:pos="709"/>
        </w:tabs>
        <w:ind w:firstLine="720"/>
        <w:rPr>
          <w:rFonts w:cs="Arial"/>
          <w:szCs w:val="24"/>
        </w:rPr>
      </w:pPr>
      <w:r w:rsidRPr="00A31672">
        <w:rPr>
          <w:rFonts w:cs="Arial"/>
          <w:szCs w:val="24"/>
        </w:rPr>
        <w:t xml:space="preserve">Na percepção de </w:t>
      </w:r>
      <w:r w:rsidRPr="00363C72">
        <w:rPr>
          <w:rFonts w:cs="Arial"/>
          <w:szCs w:val="24"/>
        </w:rPr>
        <w:t>Alfa</w:t>
      </w:r>
      <w:r w:rsidR="00363C72" w:rsidRPr="00363C72">
        <w:rPr>
          <w:rFonts w:cs="Arial"/>
          <w:szCs w:val="24"/>
        </w:rPr>
        <w:t xml:space="preserve"> (2024)</w:t>
      </w:r>
      <w:r w:rsidRPr="00A31672">
        <w:rPr>
          <w:rFonts w:cs="Arial"/>
          <w:szCs w:val="24"/>
        </w:rPr>
        <w:t xml:space="preserve">, a formação gerou um deslocamento do olhar técnico para o pedagógico: “os jogos digitais e aplicativos mostraram-se aliados para a aprendizagem, mas o diferencial foi pensar como usá-los de forma criativa e significativa </w:t>
      </w:r>
      <w:r w:rsidRPr="00A31672">
        <w:rPr>
          <w:rFonts w:cs="Arial"/>
          <w:szCs w:val="24"/>
        </w:rPr>
        <w:lastRenderedPageBreak/>
        <w:t>na realidade da escola pública”. Essa concepção está em consonância com o que aponta Freire (1996) ao afirmar que o professor precisa estar em permanente atitude de pesquisa, de inquietação e abertura ao novo, sem perder de vista o contexto em que atua.</w:t>
      </w:r>
    </w:p>
    <w:p w14:paraId="57EE0AFA" w14:textId="55BD40B7" w:rsidR="005B4023" w:rsidRDefault="005B4023" w:rsidP="009918DA">
      <w:pPr>
        <w:tabs>
          <w:tab w:val="left" w:pos="709"/>
        </w:tabs>
        <w:ind w:firstLine="720"/>
        <w:rPr>
          <w:rFonts w:cs="Arial"/>
          <w:szCs w:val="24"/>
        </w:rPr>
      </w:pPr>
      <w:r w:rsidRPr="00A31672">
        <w:rPr>
          <w:rFonts w:cs="Arial"/>
          <w:szCs w:val="24"/>
        </w:rPr>
        <w:t xml:space="preserve">A transformação da prática docente é evidenciada por </w:t>
      </w:r>
      <w:r w:rsidRPr="00363C72">
        <w:rPr>
          <w:rFonts w:cs="Arial"/>
          <w:szCs w:val="24"/>
        </w:rPr>
        <w:t>Beta</w:t>
      </w:r>
      <w:r w:rsidR="00363C72" w:rsidRPr="00363C72">
        <w:rPr>
          <w:rFonts w:cs="Arial"/>
          <w:szCs w:val="24"/>
        </w:rPr>
        <w:t xml:space="preserve"> (2024)</w:t>
      </w:r>
      <w:r w:rsidRPr="00A31672">
        <w:rPr>
          <w:rFonts w:cs="Arial"/>
          <w:szCs w:val="24"/>
        </w:rPr>
        <w:t xml:space="preserve">, que afirma: “compreendi que inovar não é apenas usar tecnologia, mas repensar toda a estrutura da aula: da escuta dos alunos à avaliação, passando pela mediação ativa”. Aqui, ecoa a crítica de </w:t>
      </w:r>
      <w:r w:rsidR="00363C72">
        <w:rPr>
          <w:rFonts w:cs="Arial"/>
          <w:szCs w:val="24"/>
        </w:rPr>
        <w:t>Santos (2024)</w:t>
      </w:r>
      <w:r w:rsidRPr="00A31672">
        <w:rPr>
          <w:rFonts w:cs="Arial"/>
          <w:szCs w:val="24"/>
        </w:rPr>
        <w:t xml:space="preserve"> ao uso superficial das tecnologias como, sem mudança de paradigma. É nesse sentido que Barcelos e Batista (2018) reforçam a ideia de que a inovação passa pela reconstrução de sentidos e práticas, e não pela simples substituição de materiais didáticos</w:t>
      </w:r>
      <w:r>
        <w:rPr>
          <w:rFonts w:cs="Arial"/>
          <w:szCs w:val="24"/>
        </w:rPr>
        <w:t>.</w:t>
      </w:r>
    </w:p>
    <w:p w14:paraId="2B3123A2" w14:textId="508AF7D1" w:rsidR="00D645D6" w:rsidRDefault="005B4023" w:rsidP="0064328E">
      <w:pPr>
        <w:ind w:firstLine="720"/>
        <w:rPr>
          <w:rFonts w:cs="Arial"/>
          <w:szCs w:val="24"/>
        </w:rPr>
      </w:pPr>
      <w:r w:rsidRPr="00363C72">
        <w:rPr>
          <w:rFonts w:cs="Arial"/>
          <w:szCs w:val="24"/>
        </w:rPr>
        <w:t>Delta</w:t>
      </w:r>
      <w:r w:rsidR="00363C72">
        <w:rPr>
          <w:rFonts w:cs="Arial"/>
          <w:szCs w:val="24"/>
        </w:rPr>
        <w:t xml:space="preserve"> (2024)</w:t>
      </w:r>
      <w:r w:rsidRPr="00A31672">
        <w:rPr>
          <w:rFonts w:cs="Arial"/>
          <w:szCs w:val="24"/>
        </w:rPr>
        <w:t xml:space="preserve">, por sua vez, destaca os ganhos no engajamento e na aprendizagem significativa: “os alunos passaram a ver a Matemática de forma mais próxima e real, pois ao utilizar simuladores, vídeos e aplicativos, conseguimos conectar o conteúdo com o cotidiano deles”. Essa fala reforça o argumento de Lévy (1999) </w:t>
      </w:r>
      <w:r w:rsidR="00D645D6" w:rsidRPr="00D645D6">
        <w:rPr>
          <w:rFonts w:cs="Arial"/>
          <w:szCs w:val="24"/>
        </w:rPr>
        <w:t xml:space="preserve">sobre o potencial das mídias digitais em gerar </w:t>
      </w:r>
      <w:r w:rsidR="00D645D6">
        <w:rPr>
          <w:rFonts w:cs="Arial"/>
          <w:szCs w:val="24"/>
        </w:rPr>
        <w:t>ambiências</w:t>
      </w:r>
      <w:r w:rsidR="00D645D6" w:rsidRPr="00D645D6">
        <w:rPr>
          <w:rFonts w:cs="Arial"/>
          <w:szCs w:val="24"/>
        </w:rPr>
        <w:t xml:space="preserve"> de aprendizage</w:t>
      </w:r>
      <w:r w:rsidR="00D645D6">
        <w:rPr>
          <w:rFonts w:cs="Arial"/>
          <w:szCs w:val="24"/>
        </w:rPr>
        <w:t>ns</w:t>
      </w:r>
      <w:r w:rsidR="00D645D6" w:rsidRPr="00D645D6">
        <w:rPr>
          <w:rFonts w:cs="Arial"/>
          <w:szCs w:val="24"/>
        </w:rPr>
        <w:t xml:space="preserve"> e </w:t>
      </w:r>
      <w:r w:rsidR="00D645D6">
        <w:rPr>
          <w:rFonts w:cs="Arial"/>
          <w:szCs w:val="24"/>
        </w:rPr>
        <w:t xml:space="preserve">de </w:t>
      </w:r>
      <w:r w:rsidR="00D645D6" w:rsidRPr="00D645D6">
        <w:rPr>
          <w:rFonts w:cs="Arial"/>
          <w:szCs w:val="24"/>
        </w:rPr>
        <w:t>experiência</w:t>
      </w:r>
      <w:r w:rsidR="00D645D6">
        <w:rPr>
          <w:rFonts w:cs="Arial"/>
          <w:szCs w:val="24"/>
        </w:rPr>
        <w:t>s</w:t>
      </w:r>
      <w:r w:rsidR="00D645D6" w:rsidRPr="00D645D6">
        <w:rPr>
          <w:rFonts w:cs="Arial"/>
          <w:szCs w:val="24"/>
        </w:rPr>
        <w:t xml:space="preserve"> cognitiva</w:t>
      </w:r>
      <w:r w:rsidR="00D645D6">
        <w:rPr>
          <w:rFonts w:cs="Arial"/>
          <w:szCs w:val="24"/>
        </w:rPr>
        <w:t>s</w:t>
      </w:r>
      <w:r w:rsidR="00D645D6" w:rsidRPr="00D645D6">
        <w:rPr>
          <w:rFonts w:cs="Arial"/>
          <w:szCs w:val="24"/>
        </w:rPr>
        <w:t>.</w:t>
      </w:r>
    </w:p>
    <w:p w14:paraId="344F8FA4" w14:textId="5AA15277" w:rsidR="005B4023" w:rsidRDefault="005B4023" w:rsidP="009918DA">
      <w:pPr>
        <w:tabs>
          <w:tab w:val="left" w:pos="709"/>
        </w:tabs>
        <w:ind w:firstLine="720"/>
        <w:rPr>
          <w:rFonts w:cs="Arial"/>
          <w:szCs w:val="24"/>
        </w:rPr>
      </w:pPr>
      <w:r w:rsidRPr="00A31672">
        <w:rPr>
          <w:rFonts w:cs="Arial"/>
          <w:szCs w:val="24"/>
        </w:rPr>
        <w:t xml:space="preserve">A diversidade das percepções analisadas mostra que a formação impactou tanto o plano técnico quanto o epistêmico dos participantes. </w:t>
      </w:r>
      <w:r w:rsidRPr="00363C72">
        <w:rPr>
          <w:rFonts w:cs="Arial"/>
          <w:szCs w:val="24"/>
        </w:rPr>
        <w:t>Épsilon</w:t>
      </w:r>
      <w:r w:rsidR="00363C72" w:rsidRPr="00363C72">
        <w:rPr>
          <w:rFonts w:cs="Arial"/>
          <w:szCs w:val="24"/>
        </w:rPr>
        <w:t xml:space="preserve"> (2024)</w:t>
      </w:r>
      <w:r w:rsidRPr="00A31672">
        <w:rPr>
          <w:rFonts w:cs="Arial"/>
          <w:szCs w:val="24"/>
        </w:rPr>
        <w:t xml:space="preserve"> relata que, mesmo com limitações de internet na escola, “a criatividade floresceu ao explorar ferramentas off</w:t>
      </w:r>
      <w:r w:rsidR="00363C72">
        <w:rPr>
          <w:rFonts w:cs="Arial"/>
          <w:szCs w:val="24"/>
        </w:rPr>
        <w:t>-</w:t>
      </w:r>
      <w:r w:rsidRPr="00A31672">
        <w:rPr>
          <w:rFonts w:cs="Arial"/>
          <w:szCs w:val="24"/>
        </w:rPr>
        <w:t>line com QR Code e RA (realidade aumentada), o que antes parecia distante, hoje é possível e desejável”. Tal relato exemplifica o que propõe Moran (2013): a formação docente deve despertar o professor para criar soluções educativas com os recursos disponíveis, e não</w:t>
      </w:r>
      <w:r w:rsidR="00363C72">
        <w:rPr>
          <w:rFonts w:cs="Arial"/>
          <w:szCs w:val="24"/>
        </w:rPr>
        <w:t xml:space="preserve"> </w:t>
      </w:r>
      <w:r w:rsidRPr="00A31672">
        <w:rPr>
          <w:rFonts w:cs="Arial"/>
          <w:szCs w:val="24"/>
        </w:rPr>
        <w:t>replicar modelos prontos.</w:t>
      </w:r>
    </w:p>
    <w:p w14:paraId="6B465BFE" w14:textId="37F86EFC" w:rsidR="005B4023" w:rsidRDefault="005B4023" w:rsidP="0064328E">
      <w:pPr>
        <w:ind w:firstLine="720"/>
        <w:rPr>
          <w:rFonts w:cs="Arial"/>
          <w:szCs w:val="24"/>
        </w:rPr>
      </w:pPr>
      <w:r w:rsidRPr="00A31672">
        <w:rPr>
          <w:rFonts w:cs="Arial"/>
          <w:szCs w:val="24"/>
        </w:rPr>
        <w:t xml:space="preserve">Além das </w:t>
      </w:r>
      <w:r w:rsidR="00363C72">
        <w:rPr>
          <w:rFonts w:cs="Arial"/>
          <w:szCs w:val="24"/>
        </w:rPr>
        <w:t>tecnologias como instrumentos pedagógicos e potencializadores do ensino e aprendizagem de Matemática</w:t>
      </w:r>
      <w:r w:rsidRPr="00A31672">
        <w:rPr>
          <w:rFonts w:cs="Arial"/>
          <w:szCs w:val="24"/>
        </w:rPr>
        <w:t>, a formação valorizou a reflexão pedagógica.</w:t>
      </w:r>
      <w:r w:rsidRPr="00363C72">
        <w:rPr>
          <w:rFonts w:cs="Arial"/>
          <w:szCs w:val="24"/>
        </w:rPr>
        <w:t xml:space="preserve"> Zeta</w:t>
      </w:r>
      <w:r w:rsidRPr="00A31672">
        <w:rPr>
          <w:rFonts w:cs="Arial"/>
          <w:szCs w:val="24"/>
        </w:rPr>
        <w:t xml:space="preserve"> </w:t>
      </w:r>
      <w:r w:rsidR="00363C72">
        <w:rPr>
          <w:rFonts w:cs="Arial"/>
          <w:szCs w:val="24"/>
        </w:rPr>
        <w:t xml:space="preserve">(2024) </w:t>
      </w:r>
      <w:r w:rsidRPr="00A31672">
        <w:rPr>
          <w:rFonts w:cs="Arial"/>
          <w:szCs w:val="24"/>
        </w:rPr>
        <w:t>afirmou: “nunca havia pensado em usar o celular como aliado da aprendizagem. Agora compreendo que ele pode ser um portal de acesso ao raciocínio lógico, à resolução de problemas e à autoria”. Tal visão se alinha à concepção de Silva (2010), para quem o papel das TD na escola deve ser discutido à luz de sua função social, cultural e crítica, indo além do seu uso como entretenimento ou mera visualização de conteúdo.</w:t>
      </w:r>
    </w:p>
    <w:p w14:paraId="21DFD86A" w14:textId="62DD9E6B" w:rsidR="005B4023" w:rsidRPr="00A31672" w:rsidRDefault="005B4023" w:rsidP="009918DA">
      <w:pPr>
        <w:tabs>
          <w:tab w:val="left" w:pos="709"/>
        </w:tabs>
        <w:ind w:firstLine="720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Pr="00A31672">
        <w:rPr>
          <w:rFonts w:cs="Arial"/>
          <w:szCs w:val="24"/>
        </w:rPr>
        <w:t xml:space="preserve">s dados apontam que uma formação para além das ferramentas pode mobilizar mudanças concretas nas práticas e nas concepções docentes. Os relatos de Gama, Alfa, Beta, Delta e demais participantes evidenciam que não se trata apenas de ensinar a usar </w:t>
      </w:r>
      <w:r w:rsidRPr="00A31672">
        <w:rPr>
          <w:rFonts w:cs="Arial"/>
          <w:szCs w:val="24"/>
        </w:rPr>
        <w:lastRenderedPageBreak/>
        <w:t xml:space="preserve">tecnologias, mas de formar sujeitos capazes de reinventar sua prática, tornando o ensino de Matemática mais dinâmico, interativo e conectado às exigências do século XXI. Como sintetizou </w:t>
      </w:r>
      <w:r w:rsidRPr="00363C72">
        <w:rPr>
          <w:rFonts w:cs="Arial"/>
          <w:szCs w:val="24"/>
        </w:rPr>
        <w:t>Kappa</w:t>
      </w:r>
      <w:r w:rsidR="00363C72">
        <w:rPr>
          <w:rFonts w:cs="Arial"/>
          <w:szCs w:val="24"/>
        </w:rPr>
        <w:t xml:space="preserve"> (2024)</w:t>
      </w:r>
      <w:r w:rsidRPr="00A31672">
        <w:rPr>
          <w:rFonts w:cs="Arial"/>
          <w:szCs w:val="24"/>
        </w:rPr>
        <w:t>, “a formação me deu coragem para ousar. Agora sei que não é preciso muito para fazer diferente — é preciso sentido”.</w:t>
      </w:r>
    </w:p>
    <w:p w14:paraId="02B06FC4" w14:textId="77777777" w:rsidR="00C36923" w:rsidRDefault="00C3692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0C2F6363" w14:textId="1432FA13" w:rsidR="0064328E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CONSIDERAÇÕES FINAIS </w:t>
      </w:r>
    </w:p>
    <w:p w14:paraId="5AA22C82" w14:textId="77777777" w:rsidR="002476ED" w:rsidRDefault="002476ED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2B4D0168" w14:textId="0C19FE8B" w:rsidR="002476ED" w:rsidRDefault="001A662D" w:rsidP="009918D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Arial" w:cs="Arial"/>
          <w:bCs/>
          <w:color w:val="000000"/>
          <w:szCs w:val="24"/>
        </w:rPr>
      </w:pPr>
      <w:r w:rsidRPr="001A662D">
        <w:rPr>
          <w:rFonts w:eastAsia="Arial" w:cs="Arial"/>
          <w:bCs/>
          <w:color w:val="000000"/>
          <w:szCs w:val="24"/>
        </w:rPr>
        <w:t xml:space="preserve">A formação </w:t>
      </w:r>
      <w:r w:rsidRPr="00363C72">
        <w:rPr>
          <w:rFonts w:eastAsia="Arial" w:cs="Arial"/>
          <w:bCs/>
          <w:color w:val="000000"/>
          <w:szCs w:val="24"/>
        </w:rPr>
        <w:t xml:space="preserve">“Tecnologias Digitais para além das ferramentas” </w:t>
      </w:r>
      <w:r w:rsidRPr="001A662D">
        <w:rPr>
          <w:rFonts w:eastAsia="Arial" w:cs="Arial"/>
          <w:bCs/>
          <w:color w:val="000000"/>
          <w:szCs w:val="24"/>
        </w:rPr>
        <w:t xml:space="preserve">demonstrou a </w:t>
      </w:r>
      <w:r w:rsidR="00D645D6">
        <w:rPr>
          <w:rFonts w:eastAsia="Arial" w:cs="Arial"/>
          <w:bCs/>
          <w:color w:val="000000"/>
          <w:szCs w:val="24"/>
        </w:rPr>
        <w:t>necessidade</w:t>
      </w:r>
      <w:r w:rsidRPr="001A662D">
        <w:rPr>
          <w:rFonts w:eastAsia="Arial" w:cs="Arial"/>
          <w:bCs/>
          <w:color w:val="000000"/>
          <w:szCs w:val="24"/>
        </w:rPr>
        <w:t xml:space="preserve"> de um percurso pautado na criticidade, experimentação e ressignificação das práticas docentes. Os professores ampliaram não apenas seu repertório técnico, mas passaram a compreender as tecnologias digitais como aliadas na mediação de aprendizagens significativas, centradas no estudante e voltadas à autonomia, autoria e pensamento crítico. A experiência evidenciou que a inovação reside nas metodologias, intenções pedagógicas e na capacidade de engajar e provocar sentido para os alunos, tornando a Matemática um campo fértil para experiências interativas e colaborativas.</w:t>
      </w:r>
    </w:p>
    <w:p w14:paraId="12B15F0E" w14:textId="76D382C7" w:rsidR="008F0BC3" w:rsidRPr="001A662D" w:rsidRDefault="001A662D" w:rsidP="009918D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Arial" w:cs="Arial"/>
          <w:bCs/>
          <w:color w:val="000000"/>
          <w:szCs w:val="24"/>
        </w:rPr>
      </w:pPr>
      <w:r w:rsidRPr="001A662D">
        <w:rPr>
          <w:rFonts w:eastAsia="Arial" w:cs="Arial"/>
          <w:bCs/>
          <w:color w:val="000000"/>
          <w:szCs w:val="24"/>
        </w:rPr>
        <w:t>Reforça-se a necessidade de políticas de formação contínua, que valorizem o contexto escolar, promovam o uso crítico e criativo das tecnologias e fortaleçam o professor como sujeito reflexivo e protagonista, evidenciando que formar para além das ferramentas é formar para transformar o ensino.</w:t>
      </w:r>
    </w:p>
    <w:p w14:paraId="330B8971" w14:textId="77777777" w:rsidR="001A662D" w:rsidRPr="00D95726" w:rsidRDefault="001A662D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39985ED9" w14:textId="77777777" w:rsidR="008F0BC3" w:rsidRDefault="008F0BC3" w:rsidP="00445A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REFERÊNCIAS </w:t>
      </w:r>
    </w:p>
    <w:p w14:paraId="51A85A14" w14:textId="77777777" w:rsidR="0018593A" w:rsidRPr="0018593A" w:rsidRDefault="0018593A" w:rsidP="00445A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Cs w:val="24"/>
        </w:rPr>
      </w:pPr>
    </w:p>
    <w:bookmarkEnd w:id="0"/>
    <w:p w14:paraId="248097F3" w14:textId="77777777" w:rsidR="00363C72" w:rsidRDefault="00363C72" w:rsidP="00363C72">
      <w:pPr>
        <w:spacing w:line="240" w:lineRule="auto"/>
        <w:jc w:val="left"/>
        <w:rPr>
          <w:rFonts w:cs="Arial"/>
          <w:szCs w:val="24"/>
        </w:rPr>
      </w:pPr>
      <w:r w:rsidRPr="00445AC0">
        <w:rPr>
          <w:rFonts w:cs="Arial"/>
          <w:szCs w:val="24"/>
        </w:rPr>
        <w:t xml:space="preserve">BARCELOS, V.; BATISTA, E. T. </w:t>
      </w:r>
      <w:r w:rsidRPr="00445AC0">
        <w:rPr>
          <w:rFonts w:cs="Arial"/>
          <w:b/>
          <w:bCs/>
          <w:szCs w:val="24"/>
        </w:rPr>
        <w:t xml:space="preserve">Tecnologias digitais e inovação no ensino: </w:t>
      </w:r>
      <w:r w:rsidRPr="00445AC0">
        <w:rPr>
          <w:rFonts w:cs="Arial"/>
          <w:szCs w:val="24"/>
        </w:rPr>
        <w:t>práticas pedagógicas e ressignificação docente. Revista Educação e Cultura Contemporânea, v. 15, n. 39, p. 213–232, 2018.</w:t>
      </w:r>
    </w:p>
    <w:p w14:paraId="0BCE871A" w14:textId="77777777" w:rsidR="00363C72" w:rsidRDefault="00363C72" w:rsidP="00363C72">
      <w:pPr>
        <w:spacing w:line="240" w:lineRule="auto"/>
        <w:jc w:val="left"/>
        <w:rPr>
          <w:rFonts w:cs="Arial"/>
          <w:szCs w:val="24"/>
        </w:rPr>
      </w:pPr>
    </w:p>
    <w:p w14:paraId="5BFA6D70" w14:textId="745213CD" w:rsidR="00363C72" w:rsidRPr="00445AC0" w:rsidRDefault="00363C72" w:rsidP="00363C72">
      <w:pPr>
        <w:spacing w:line="240" w:lineRule="auto"/>
        <w:jc w:val="left"/>
        <w:rPr>
          <w:rFonts w:cs="Arial"/>
          <w:szCs w:val="24"/>
        </w:rPr>
      </w:pPr>
      <w:r w:rsidRPr="00445AC0">
        <w:rPr>
          <w:rFonts w:cs="Arial"/>
          <w:szCs w:val="24"/>
        </w:rPr>
        <w:t xml:space="preserve">BRASIL. SBEM/SBM. Boletim SBEM/SBM – </w:t>
      </w:r>
      <w:r w:rsidRPr="00796E2B">
        <w:rPr>
          <w:rFonts w:cs="Arial"/>
          <w:b/>
          <w:bCs/>
          <w:szCs w:val="24"/>
        </w:rPr>
        <w:t xml:space="preserve">Formação de Professores de Matemática para a Educação Básica. </w:t>
      </w:r>
      <w:r w:rsidRPr="00445AC0">
        <w:rPr>
          <w:rFonts w:cs="Arial"/>
          <w:szCs w:val="24"/>
        </w:rPr>
        <w:t>Maio de 2013.</w:t>
      </w:r>
    </w:p>
    <w:p w14:paraId="31453708" w14:textId="77777777" w:rsidR="00363C72" w:rsidRDefault="00363C72" w:rsidP="0036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  <w:bCs/>
          <w:color w:val="000000"/>
          <w:szCs w:val="24"/>
        </w:rPr>
      </w:pPr>
      <w:r w:rsidRPr="0018593A">
        <w:rPr>
          <w:rFonts w:eastAsia="Arial" w:cs="Arial"/>
          <w:bCs/>
          <w:color w:val="000000"/>
          <w:szCs w:val="24"/>
        </w:rPr>
        <w:t xml:space="preserve">FERREIRA, L. C. </w:t>
      </w:r>
      <w:r w:rsidRPr="0018593A">
        <w:rPr>
          <w:rFonts w:eastAsia="Arial" w:cs="Arial"/>
          <w:b/>
          <w:color w:val="000000"/>
          <w:szCs w:val="24"/>
        </w:rPr>
        <w:t>Cultura digital e educação:</w:t>
      </w:r>
      <w:r w:rsidRPr="0018593A">
        <w:rPr>
          <w:rFonts w:eastAsia="Arial" w:cs="Arial"/>
          <w:bCs/>
          <w:color w:val="000000"/>
          <w:szCs w:val="24"/>
        </w:rPr>
        <w:t xml:space="preserve"> práticas, interações e aprendizagens. São Paulo: Cortez, 2020.</w:t>
      </w:r>
    </w:p>
    <w:p w14:paraId="5FD0D870" w14:textId="77777777" w:rsidR="00363C72" w:rsidRDefault="00363C72" w:rsidP="00363C72">
      <w:pPr>
        <w:spacing w:line="240" w:lineRule="auto"/>
        <w:jc w:val="left"/>
        <w:rPr>
          <w:rFonts w:cs="Arial"/>
          <w:szCs w:val="24"/>
        </w:rPr>
      </w:pPr>
    </w:p>
    <w:p w14:paraId="475D0379" w14:textId="0D21AC04" w:rsidR="00363C72" w:rsidRDefault="00363C72" w:rsidP="00363C72">
      <w:pPr>
        <w:spacing w:line="240" w:lineRule="auto"/>
        <w:jc w:val="left"/>
        <w:rPr>
          <w:rFonts w:cs="Arial"/>
          <w:szCs w:val="24"/>
        </w:rPr>
      </w:pPr>
      <w:r w:rsidRPr="00445AC0">
        <w:rPr>
          <w:rFonts w:cs="Arial"/>
          <w:szCs w:val="24"/>
        </w:rPr>
        <w:t xml:space="preserve">FRANCO, M. A. S. </w:t>
      </w:r>
      <w:r w:rsidRPr="00796E2B">
        <w:rPr>
          <w:rFonts w:cs="Arial"/>
          <w:b/>
          <w:bCs/>
          <w:szCs w:val="24"/>
        </w:rPr>
        <w:t>Prática pedagógica e docência:</w:t>
      </w:r>
      <w:r w:rsidRPr="00445AC0">
        <w:rPr>
          <w:rFonts w:cs="Arial"/>
          <w:szCs w:val="24"/>
        </w:rPr>
        <w:t xml:space="preserve"> um olhar a partir da epistemologia do conceito. Revista Brasileira de Estudos Pedagógicos, Brasília, v. 97, n. 247, p. 534-551, dez. 2016.</w:t>
      </w:r>
    </w:p>
    <w:p w14:paraId="4B9CD823" w14:textId="77777777" w:rsidR="00363C72" w:rsidRPr="00445AC0" w:rsidRDefault="00363C72" w:rsidP="00363C72">
      <w:pPr>
        <w:spacing w:line="240" w:lineRule="auto"/>
        <w:jc w:val="left"/>
        <w:rPr>
          <w:rFonts w:cs="Arial"/>
          <w:szCs w:val="24"/>
        </w:rPr>
      </w:pPr>
    </w:p>
    <w:p w14:paraId="565B236E" w14:textId="77777777" w:rsidR="00363C72" w:rsidRPr="00445AC0" w:rsidRDefault="00363C72" w:rsidP="00363C72">
      <w:pPr>
        <w:spacing w:line="240" w:lineRule="auto"/>
        <w:jc w:val="left"/>
        <w:rPr>
          <w:rFonts w:cs="Arial"/>
          <w:szCs w:val="24"/>
        </w:rPr>
      </w:pPr>
      <w:r w:rsidRPr="00445AC0">
        <w:rPr>
          <w:rFonts w:cs="Arial"/>
          <w:szCs w:val="24"/>
        </w:rPr>
        <w:t xml:space="preserve">FREIRE, Paulo. </w:t>
      </w:r>
      <w:r w:rsidRPr="00445AC0">
        <w:rPr>
          <w:rFonts w:cs="Arial"/>
          <w:b/>
          <w:bCs/>
          <w:szCs w:val="24"/>
        </w:rPr>
        <w:t>Pedagogia da autonomia</w:t>
      </w:r>
      <w:r w:rsidRPr="00445AC0">
        <w:rPr>
          <w:rFonts w:cs="Arial"/>
          <w:szCs w:val="24"/>
        </w:rPr>
        <w:t>: saberes necessários à prática educativa. São Paulo: Paz e Terra, 1996.</w:t>
      </w:r>
    </w:p>
    <w:p w14:paraId="6F9BA51B" w14:textId="77777777" w:rsidR="00363C72" w:rsidRDefault="00363C72" w:rsidP="00363C72">
      <w:pPr>
        <w:spacing w:line="240" w:lineRule="auto"/>
        <w:jc w:val="left"/>
        <w:rPr>
          <w:rFonts w:cs="Arial"/>
          <w:szCs w:val="24"/>
        </w:rPr>
      </w:pPr>
    </w:p>
    <w:p w14:paraId="016B1113" w14:textId="6A0C295C" w:rsidR="00363C72" w:rsidRPr="00445AC0" w:rsidRDefault="00363C72" w:rsidP="00363C72">
      <w:pPr>
        <w:spacing w:line="240" w:lineRule="auto"/>
        <w:jc w:val="left"/>
        <w:rPr>
          <w:rFonts w:cs="Arial"/>
          <w:szCs w:val="24"/>
        </w:rPr>
      </w:pPr>
      <w:r w:rsidRPr="00445AC0">
        <w:rPr>
          <w:rFonts w:cs="Arial"/>
          <w:szCs w:val="24"/>
        </w:rPr>
        <w:t xml:space="preserve">KENSKI, Vani Moreira. </w:t>
      </w:r>
      <w:r w:rsidRPr="00445AC0">
        <w:rPr>
          <w:rFonts w:cs="Arial"/>
          <w:b/>
          <w:bCs/>
          <w:szCs w:val="24"/>
        </w:rPr>
        <w:t>Educação e Tecnologias:</w:t>
      </w:r>
      <w:r w:rsidRPr="00445AC0">
        <w:rPr>
          <w:rFonts w:cs="Arial"/>
          <w:szCs w:val="24"/>
        </w:rPr>
        <w:t xml:space="preserve"> o novo ritmo da informação. 6. ed. Campinas: Papirus, 2012.</w:t>
      </w:r>
    </w:p>
    <w:p w14:paraId="1B6E4076" w14:textId="77777777" w:rsidR="00363C72" w:rsidRDefault="00363C72" w:rsidP="00363C72">
      <w:pPr>
        <w:spacing w:line="240" w:lineRule="auto"/>
        <w:jc w:val="left"/>
        <w:rPr>
          <w:rFonts w:cs="Arial"/>
          <w:szCs w:val="24"/>
        </w:rPr>
      </w:pPr>
    </w:p>
    <w:p w14:paraId="037ABEC7" w14:textId="4119F239" w:rsidR="00363C72" w:rsidRPr="00445AC0" w:rsidRDefault="00363C72" w:rsidP="00363C72">
      <w:pPr>
        <w:spacing w:line="240" w:lineRule="auto"/>
        <w:jc w:val="left"/>
        <w:rPr>
          <w:rFonts w:cs="Arial"/>
          <w:szCs w:val="24"/>
        </w:rPr>
      </w:pPr>
      <w:r w:rsidRPr="00445AC0">
        <w:rPr>
          <w:rFonts w:cs="Arial"/>
          <w:szCs w:val="24"/>
        </w:rPr>
        <w:t xml:space="preserve">LÉVY, Pierre. </w:t>
      </w:r>
      <w:r w:rsidRPr="00445AC0">
        <w:rPr>
          <w:rFonts w:cs="Arial"/>
          <w:b/>
          <w:bCs/>
          <w:szCs w:val="24"/>
        </w:rPr>
        <w:t>Cibercultura</w:t>
      </w:r>
      <w:r w:rsidRPr="00445AC0">
        <w:rPr>
          <w:rFonts w:cs="Arial"/>
          <w:szCs w:val="24"/>
        </w:rPr>
        <w:t>. São Paulo: Editora 34, 1999.</w:t>
      </w:r>
    </w:p>
    <w:p w14:paraId="2A2BD15A" w14:textId="77777777" w:rsidR="00363C72" w:rsidRDefault="00363C72" w:rsidP="0036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  <w:bCs/>
          <w:color w:val="000000"/>
          <w:szCs w:val="24"/>
        </w:rPr>
      </w:pPr>
    </w:p>
    <w:p w14:paraId="16F5869A" w14:textId="6FABBAD8" w:rsidR="00363C72" w:rsidRDefault="00363C72" w:rsidP="0036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  <w:bCs/>
          <w:color w:val="000000"/>
          <w:szCs w:val="24"/>
        </w:rPr>
      </w:pPr>
      <w:r w:rsidRPr="0018593A">
        <w:rPr>
          <w:rFonts w:eastAsia="Arial" w:cs="Arial"/>
          <w:bCs/>
          <w:color w:val="000000"/>
          <w:szCs w:val="24"/>
        </w:rPr>
        <w:t xml:space="preserve">LOPES, M. A.; OLIVEIRA, R. P. </w:t>
      </w:r>
      <w:r w:rsidRPr="0018593A">
        <w:rPr>
          <w:rFonts w:eastAsia="Arial" w:cs="Arial"/>
          <w:b/>
          <w:color w:val="000000"/>
          <w:szCs w:val="24"/>
        </w:rPr>
        <w:t>Aprendizagem na era digital:</w:t>
      </w:r>
      <w:r w:rsidRPr="0018593A">
        <w:rPr>
          <w:rFonts w:eastAsia="Arial" w:cs="Arial"/>
          <w:bCs/>
          <w:color w:val="000000"/>
          <w:szCs w:val="24"/>
        </w:rPr>
        <w:t xml:space="preserve"> desafios e possibilidades para a formação docente. Belo Horizonte: Autêntica, 2021.</w:t>
      </w:r>
    </w:p>
    <w:p w14:paraId="4061797F" w14:textId="77777777" w:rsidR="00363C72" w:rsidRDefault="00363C72" w:rsidP="00363C72">
      <w:pPr>
        <w:spacing w:line="240" w:lineRule="auto"/>
        <w:jc w:val="left"/>
        <w:rPr>
          <w:rFonts w:cs="Arial"/>
          <w:szCs w:val="24"/>
        </w:rPr>
      </w:pPr>
    </w:p>
    <w:p w14:paraId="64398AA8" w14:textId="6E0B3E49" w:rsidR="00363C72" w:rsidRPr="00445AC0" w:rsidRDefault="00363C72" w:rsidP="00363C72">
      <w:pPr>
        <w:spacing w:line="240" w:lineRule="auto"/>
        <w:jc w:val="left"/>
        <w:rPr>
          <w:rFonts w:cs="Arial"/>
          <w:szCs w:val="24"/>
        </w:rPr>
      </w:pPr>
      <w:r w:rsidRPr="00445AC0">
        <w:rPr>
          <w:rFonts w:cs="Arial"/>
          <w:szCs w:val="24"/>
        </w:rPr>
        <w:t xml:space="preserve">MORAN, José Manuel. </w:t>
      </w:r>
      <w:r w:rsidRPr="00445AC0">
        <w:rPr>
          <w:rFonts w:cs="Arial"/>
          <w:b/>
          <w:bCs/>
          <w:szCs w:val="24"/>
        </w:rPr>
        <w:t>A educação que desejamos:</w:t>
      </w:r>
      <w:r w:rsidRPr="00445AC0">
        <w:rPr>
          <w:rFonts w:cs="Arial"/>
          <w:szCs w:val="24"/>
        </w:rPr>
        <w:t xml:space="preserve"> novos desafios e como chegar lá. Campinas: Papirus, 2013.</w:t>
      </w:r>
    </w:p>
    <w:p w14:paraId="7835A714" w14:textId="77777777" w:rsidR="00363C72" w:rsidRDefault="00363C72" w:rsidP="00363C72">
      <w:pPr>
        <w:spacing w:line="240" w:lineRule="auto"/>
        <w:jc w:val="left"/>
        <w:rPr>
          <w:rFonts w:cs="Arial"/>
          <w:szCs w:val="24"/>
        </w:rPr>
      </w:pPr>
    </w:p>
    <w:p w14:paraId="0E893F42" w14:textId="767EC417" w:rsidR="00363C72" w:rsidRPr="00445AC0" w:rsidRDefault="00363C72" w:rsidP="00363C72">
      <w:pPr>
        <w:spacing w:line="240" w:lineRule="auto"/>
        <w:jc w:val="left"/>
        <w:rPr>
          <w:rFonts w:cs="Arial"/>
          <w:szCs w:val="24"/>
        </w:rPr>
      </w:pPr>
      <w:r w:rsidRPr="00445AC0">
        <w:rPr>
          <w:rFonts w:cs="Arial"/>
          <w:szCs w:val="24"/>
        </w:rPr>
        <w:t xml:space="preserve">MOREIRA, K.; DAVID, M. M. </w:t>
      </w:r>
      <w:r w:rsidRPr="00796E2B">
        <w:rPr>
          <w:rFonts w:cs="Arial"/>
          <w:b/>
          <w:bCs/>
          <w:szCs w:val="24"/>
        </w:rPr>
        <w:t xml:space="preserve">A matemática no currículo dos cursos de licenciatura em Matemática: </w:t>
      </w:r>
      <w:r w:rsidRPr="00445AC0">
        <w:rPr>
          <w:rFonts w:cs="Arial"/>
          <w:szCs w:val="24"/>
        </w:rPr>
        <w:t>o velho e o novo. Bolema, Rio Claro (SP), v. 32, n. 60, p. 300–323, abr./jun. 2018.</w:t>
      </w:r>
    </w:p>
    <w:p w14:paraId="678F8B33" w14:textId="77777777" w:rsidR="00363C72" w:rsidRDefault="00363C72" w:rsidP="00363C72">
      <w:pPr>
        <w:spacing w:line="240" w:lineRule="auto"/>
        <w:jc w:val="left"/>
        <w:rPr>
          <w:rFonts w:cs="Arial"/>
          <w:szCs w:val="24"/>
        </w:rPr>
      </w:pPr>
    </w:p>
    <w:p w14:paraId="424C8611" w14:textId="3D57ACDE" w:rsidR="00363C72" w:rsidRDefault="00363C72" w:rsidP="00363C72">
      <w:pPr>
        <w:spacing w:line="240" w:lineRule="auto"/>
        <w:jc w:val="left"/>
        <w:rPr>
          <w:rFonts w:cs="Arial"/>
          <w:szCs w:val="24"/>
        </w:rPr>
      </w:pPr>
      <w:r w:rsidRPr="00445AC0">
        <w:rPr>
          <w:rFonts w:cs="Arial"/>
          <w:szCs w:val="24"/>
        </w:rPr>
        <w:t xml:space="preserve">MOTTA, A. B. </w:t>
      </w:r>
      <w:r w:rsidRPr="00796E2B">
        <w:rPr>
          <w:rFonts w:cs="Arial"/>
          <w:b/>
          <w:bCs/>
          <w:szCs w:val="24"/>
        </w:rPr>
        <w:t>Contribuições do Pibid/Matemática/UFPI para a formação docente dos bolsistas.</w:t>
      </w:r>
      <w:r w:rsidRPr="00445AC0">
        <w:rPr>
          <w:rFonts w:cs="Arial"/>
          <w:szCs w:val="24"/>
        </w:rPr>
        <w:t xml:space="preserve"> In: ALMEIDA, M. E. B.; ALMEIDA, F. J. S. (org.). Ensino de Matemática com Tecnologias Digitais. São Paulo: Livraria da Física, 2017. p. 133-148.</w:t>
      </w:r>
    </w:p>
    <w:p w14:paraId="243BB9E1" w14:textId="77777777" w:rsidR="00C75F85" w:rsidRDefault="00C75F85" w:rsidP="00363C72">
      <w:pPr>
        <w:spacing w:line="240" w:lineRule="auto"/>
        <w:jc w:val="left"/>
        <w:rPr>
          <w:rFonts w:cs="Arial"/>
          <w:szCs w:val="24"/>
        </w:rPr>
      </w:pPr>
    </w:p>
    <w:p w14:paraId="7286560B" w14:textId="62E497CD" w:rsidR="00C75F85" w:rsidRPr="00445AC0" w:rsidRDefault="00C75F85" w:rsidP="00363C72">
      <w:pPr>
        <w:spacing w:line="240" w:lineRule="auto"/>
        <w:jc w:val="left"/>
        <w:rPr>
          <w:rFonts w:cs="Arial"/>
          <w:szCs w:val="24"/>
        </w:rPr>
      </w:pPr>
      <w:r w:rsidRPr="00C75F85">
        <w:rPr>
          <w:rFonts w:cs="Arial"/>
          <w:szCs w:val="24"/>
        </w:rPr>
        <w:t>SANTOS, J</w:t>
      </w:r>
      <w:r>
        <w:rPr>
          <w:rFonts w:cs="Arial"/>
          <w:szCs w:val="24"/>
        </w:rPr>
        <w:t>.</w:t>
      </w:r>
      <w:r w:rsidRPr="00C75F85">
        <w:rPr>
          <w:rFonts w:cs="Arial"/>
          <w:szCs w:val="24"/>
        </w:rPr>
        <w:t xml:space="preserve"> E</w:t>
      </w:r>
      <w:r>
        <w:rPr>
          <w:rFonts w:cs="Arial"/>
          <w:szCs w:val="24"/>
        </w:rPr>
        <w:t xml:space="preserve">. </w:t>
      </w:r>
      <w:r w:rsidRPr="00C75F85">
        <w:rPr>
          <w:rFonts w:cs="Arial"/>
          <w:szCs w:val="24"/>
        </w:rPr>
        <w:t>B</w:t>
      </w:r>
      <w:r>
        <w:rPr>
          <w:rFonts w:cs="Arial"/>
          <w:szCs w:val="24"/>
        </w:rPr>
        <w:t xml:space="preserve">. </w:t>
      </w:r>
      <w:r w:rsidRPr="00C75F85">
        <w:rPr>
          <w:rFonts w:cs="Arial"/>
          <w:szCs w:val="24"/>
        </w:rPr>
        <w:t xml:space="preserve">dos. </w:t>
      </w:r>
      <w:r w:rsidRPr="00C75F85">
        <w:rPr>
          <w:rFonts w:cs="Arial"/>
          <w:b/>
          <w:bCs/>
          <w:szCs w:val="24"/>
        </w:rPr>
        <w:t>Formação de professores de matemática com tecnologias digitais</w:t>
      </w:r>
      <w:r w:rsidRPr="00C75F85">
        <w:rPr>
          <w:rFonts w:cs="Arial"/>
          <w:szCs w:val="24"/>
        </w:rPr>
        <w:t>: compreensões, experiências e processos ecossistêmicos. 2024. 239 f. Tese (Doutorado em Educação) — Universidade Federal de Sergipe, São Cristóvão, 2024.</w:t>
      </w:r>
    </w:p>
    <w:p w14:paraId="7EC9C052" w14:textId="77777777" w:rsidR="00363C72" w:rsidRDefault="00363C72" w:rsidP="0036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  <w:bCs/>
          <w:color w:val="000000"/>
          <w:szCs w:val="24"/>
        </w:rPr>
      </w:pPr>
    </w:p>
    <w:p w14:paraId="0CC011C5" w14:textId="08DC1978" w:rsidR="00363C72" w:rsidRPr="0018593A" w:rsidRDefault="00363C72" w:rsidP="0036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  <w:bCs/>
          <w:color w:val="000000"/>
          <w:szCs w:val="24"/>
        </w:rPr>
      </w:pPr>
      <w:r w:rsidRPr="0018593A">
        <w:rPr>
          <w:rFonts w:eastAsia="Arial" w:cs="Arial"/>
          <w:bCs/>
          <w:color w:val="000000"/>
          <w:szCs w:val="24"/>
        </w:rPr>
        <w:t xml:space="preserve">SANTOS, P. R.; SILVA, J. M.; CARVALHO, A. F. </w:t>
      </w:r>
      <w:r w:rsidRPr="0018593A">
        <w:rPr>
          <w:rFonts w:eastAsia="Arial" w:cs="Arial"/>
          <w:b/>
          <w:color w:val="000000"/>
          <w:szCs w:val="24"/>
        </w:rPr>
        <w:t>Docência e cultura digital</w:t>
      </w:r>
      <w:r w:rsidRPr="0018593A">
        <w:rPr>
          <w:rFonts w:eastAsia="Arial" w:cs="Arial"/>
          <w:bCs/>
          <w:color w:val="000000"/>
          <w:szCs w:val="24"/>
        </w:rPr>
        <w:t>: reflexões críticas sobre formação e prática pedagógica. Rio de Janeiro: Vozes, 2022.</w:t>
      </w:r>
    </w:p>
    <w:p w14:paraId="71AE1A79" w14:textId="77777777" w:rsidR="00363C72" w:rsidRDefault="00363C72" w:rsidP="00363C72">
      <w:pPr>
        <w:spacing w:line="240" w:lineRule="auto"/>
        <w:jc w:val="left"/>
        <w:rPr>
          <w:rFonts w:cs="Arial"/>
          <w:szCs w:val="24"/>
        </w:rPr>
      </w:pPr>
    </w:p>
    <w:p w14:paraId="3F767301" w14:textId="1CE3FEAE" w:rsidR="00363C72" w:rsidRDefault="00363C72" w:rsidP="00363C72">
      <w:pPr>
        <w:spacing w:line="240" w:lineRule="auto"/>
        <w:jc w:val="left"/>
        <w:rPr>
          <w:rFonts w:cs="Arial"/>
          <w:szCs w:val="24"/>
        </w:rPr>
      </w:pPr>
      <w:r w:rsidRPr="00445AC0">
        <w:rPr>
          <w:rFonts w:cs="Arial"/>
          <w:szCs w:val="24"/>
        </w:rPr>
        <w:t xml:space="preserve">SILVA, Marco. </w:t>
      </w:r>
      <w:r w:rsidRPr="00445AC0">
        <w:rPr>
          <w:rFonts w:cs="Arial"/>
          <w:b/>
          <w:bCs/>
          <w:szCs w:val="24"/>
        </w:rPr>
        <w:t>Educação online:</w:t>
      </w:r>
      <w:r w:rsidRPr="00445AC0">
        <w:rPr>
          <w:rFonts w:cs="Arial"/>
          <w:szCs w:val="24"/>
        </w:rPr>
        <w:t xml:space="preserve"> teorias, práticas, legislação e formação corporativa. São Paulo: Loyola, 2010.</w:t>
      </w:r>
    </w:p>
    <w:p w14:paraId="40C68F18" w14:textId="77777777" w:rsidR="00363C72" w:rsidRDefault="00363C72" w:rsidP="00363C72">
      <w:pPr>
        <w:spacing w:line="240" w:lineRule="auto"/>
        <w:jc w:val="left"/>
        <w:rPr>
          <w:rFonts w:cs="Arial"/>
          <w:szCs w:val="24"/>
        </w:rPr>
      </w:pPr>
    </w:p>
    <w:p w14:paraId="3E26CF4C" w14:textId="3F3A75D0" w:rsidR="00363C72" w:rsidRPr="00445AC0" w:rsidRDefault="00363C72" w:rsidP="00363C72">
      <w:pPr>
        <w:spacing w:line="240" w:lineRule="auto"/>
        <w:jc w:val="left"/>
        <w:rPr>
          <w:rFonts w:cs="Arial"/>
          <w:szCs w:val="24"/>
        </w:rPr>
      </w:pPr>
      <w:r w:rsidRPr="00445AC0">
        <w:rPr>
          <w:rFonts w:cs="Arial"/>
          <w:szCs w:val="24"/>
        </w:rPr>
        <w:t xml:space="preserve">VALENTE, José Armando. </w:t>
      </w:r>
      <w:r w:rsidRPr="00445AC0">
        <w:rPr>
          <w:rFonts w:cs="Arial"/>
          <w:b/>
          <w:bCs/>
          <w:szCs w:val="24"/>
        </w:rPr>
        <w:t>Tecnologia no ensino:</w:t>
      </w:r>
      <w:r w:rsidRPr="00445AC0">
        <w:rPr>
          <w:rFonts w:cs="Arial"/>
          <w:szCs w:val="24"/>
        </w:rPr>
        <w:t xml:space="preserve"> por quê? Para quê? In: LITWIN, Edith. Tecnologia Educacional: políticas, histórias e propostas. Porto Alegre: Artmed, 2014.</w:t>
      </w:r>
    </w:p>
    <w:p w14:paraId="04AF1A11" w14:textId="77777777" w:rsidR="00363C72" w:rsidRDefault="00363C72" w:rsidP="00363C72">
      <w:pPr>
        <w:spacing w:line="240" w:lineRule="auto"/>
        <w:jc w:val="left"/>
        <w:rPr>
          <w:rFonts w:cs="Arial"/>
          <w:szCs w:val="24"/>
          <w:lang w:val="en-GB"/>
        </w:rPr>
      </w:pPr>
    </w:p>
    <w:p w14:paraId="71EB5998" w14:textId="1C6C6017" w:rsidR="00363C72" w:rsidRDefault="00363C72" w:rsidP="00363C72">
      <w:pPr>
        <w:spacing w:line="240" w:lineRule="auto"/>
        <w:jc w:val="left"/>
        <w:rPr>
          <w:rFonts w:cs="Arial"/>
          <w:szCs w:val="24"/>
        </w:rPr>
      </w:pPr>
      <w:r w:rsidRPr="006B54B3">
        <w:rPr>
          <w:rFonts w:cs="Arial"/>
          <w:szCs w:val="24"/>
          <w:lang w:val="en-GB"/>
        </w:rPr>
        <w:t xml:space="preserve">YIN, Robert K. </w:t>
      </w:r>
      <w:r w:rsidRPr="006B54B3">
        <w:rPr>
          <w:rFonts w:cs="Arial"/>
          <w:b/>
          <w:bCs/>
          <w:szCs w:val="24"/>
          <w:lang w:val="en-GB"/>
        </w:rPr>
        <w:t>Estudo de caso:</w:t>
      </w:r>
      <w:r w:rsidRPr="006B54B3">
        <w:rPr>
          <w:rFonts w:cs="Arial"/>
          <w:szCs w:val="24"/>
          <w:lang w:val="en-GB"/>
        </w:rPr>
        <w:t xml:space="preserve"> planejamento e métodos. 5. ed. Porto Alegre: Bookman, 2015.</w:t>
      </w:r>
    </w:p>
    <w:sectPr w:rsidR="00363C72" w:rsidSect="008F0BC3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401C" w14:textId="77777777" w:rsidR="008E2E48" w:rsidRDefault="008E2E48" w:rsidP="008F0BC3">
      <w:pPr>
        <w:spacing w:line="240" w:lineRule="auto"/>
      </w:pPr>
      <w:r>
        <w:separator/>
      </w:r>
    </w:p>
  </w:endnote>
  <w:endnote w:type="continuationSeparator" w:id="0">
    <w:p w14:paraId="759A67C8" w14:textId="77777777" w:rsidR="008E2E48" w:rsidRDefault="008E2E48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349023"/>
      <w:docPartObj>
        <w:docPartGallery w:val="Page Numbers (Bottom of Page)"/>
        <w:docPartUnique/>
      </w:docPartObj>
    </w:sdtPr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(Epeal)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1HFgIAACwEAAAOAAAAZHJzL2Uyb0RvYy54bWysU11v2yAUfZ+0/4B4X+wkbtZ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(Epeal)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0C2CB13"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8C8C8C" w:themeColor="background1" w:themeShade="8C"/>
                          </w:rPr>
                          <w:t>2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0844" w14:textId="77777777" w:rsidR="008E2E48" w:rsidRDefault="008E2E48" w:rsidP="008F0BC3">
      <w:pPr>
        <w:spacing w:line="240" w:lineRule="auto"/>
      </w:pPr>
      <w:r>
        <w:separator/>
      </w:r>
    </w:p>
  </w:footnote>
  <w:footnote w:type="continuationSeparator" w:id="0">
    <w:p w14:paraId="3BCEB04C" w14:textId="77777777" w:rsidR="008E2E48" w:rsidRDefault="008E2E48" w:rsidP="008F0BC3">
      <w:pPr>
        <w:spacing w:line="240" w:lineRule="auto"/>
      </w:pPr>
      <w:r>
        <w:continuationSeparator/>
      </w:r>
    </w:p>
  </w:footnote>
  <w:footnote w:id="1">
    <w:p w14:paraId="5EE955C6" w14:textId="2FA61CB1" w:rsidR="008F0BC3" w:rsidRPr="007744B0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  <w:r w:rsidRPr="007744B0">
        <w:rPr>
          <w:sz w:val="20"/>
          <w:szCs w:val="20"/>
          <w:vertAlign w:val="superscript"/>
        </w:rPr>
        <w:footnoteRef/>
      </w:r>
      <w:r w:rsidRPr="007744B0">
        <w:rPr>
          <w:rFonts w:eastAsia="Arial" w:cs="Arial"/>
          <w:color w:val="000000"/>
          <w:sz w:val="20"/>
          <w:szCs w:val="20"/>
        </w:rPr>
        <w:t xml:space="preserve"> </w:t>
      </w:r>
      <w:r w:rsidR="002476ED" w:rsidRPr="007744B0">
        <w:rPr>
          <w:rFonts w:eastAsia="Arial" w:cs="Arial"/>
          <w:color w:val="000000"/>
          <w:sz w:val="20"/>
          <w:szCs w:val="20"/>
        </w:rPr>
        <w:t xml:space="preserve">Secretaria Municipal de Educação de Rio Largo, </w:t>
      </w:r>
      <w:r w:rsidR="007744B0" w:rsidRPr="007744B0">
        <w:rPr>
          <w:rFonts w:eastAsia="Arial" w:cs="Arial"/>
          <w:color w:val="000000"/>
          <w:sz w:val="20"/>
          <w:szCs w:val="20"/>
        </w:rPr>
        <w:t>Rio Largo</w:t>
      </w:r>
      <w:r w:rsidR="002476ED" w:rsidRPr="007744B0">
        <w:rPr>
          <w:rFonts w:eastAsia="Arial" w:cs="Arial"/>
          <w:color w:val="000000"/>
          <w:sz w:val="20"/>
          <w:szCs w:val="20"/>
        </w:rPr>
        <w:t>, Brasil</w:t>
      </w:r>
      <w:r w:rsidRPr="007744B0">
        <w:rPr>
          <w:rFonts w:eastAsia="Arial" w:cs="Arial"/>
          <w:color w:val="000000"/>
          <w:sz w:val="20"/>
          <w:szCs w:val="20"/>
        </w:rPr>
        <w:t>. E-mail</w:t>
      </w:r>
      <w:r w:rsidR="002476ED" w:rsidRPr="007744B0">
        <w:rPr>
          <w:rFonts w:eastAsia="Arial" w:cs="Arial"/>
          <w:sz w:val="20"/>
          <w:szCs w:val="20"/>
        </w:rPr>
        <w:t>: elyton_batista@hotmail.com.</w:t>
      </w:r>
    </w:p>
  </w:footnote>
  <w:footnote w:id="2">
    <w:p w14:paraId="388C69B1" w14:textId="357DF1B2" w:rsidR="008F0BC3" w:rsidRPr="007744B0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 w:rsidRPr="007744B0">
        <w:rPr>
          <w:sz w:val="20"/>
          <w:szCs w:val="20"/>
          <w:vertAlign w:val="superscript"/>
        </w:rPr>
        <w:footnoteRef/>
      </w:r>
      <w:r w:rsidRPr="007744B0">
        <w:rPr>
          <w:rFonts w:eastAsia="Arial" w:cs="Arial"/>
          <w:color w:val="000000"/>
          <w:sz w:val="20"/>
          <w:szCs w:val="20"/>
        </w:rPr>
        <w:t xml:space="preserve"> </w:t>
      </w:r>
      <w:r w:rsidR="002476ED" w:rsidRPr="007744B0">
        <w:rPr>
          <w:rFonts w:eastAsia="Arial" w:cs="Arial"/>
          <w:color w:val="000000"/>
          <w:sz w:val="20"/>
          <w:szCs w:val="20"/>
        </w:rPr>
        <w:t>Secretaria Municipal de Educação de Cristinápolis, Sergipe, Brasil</w:t>
      </w:r>
      <w:r w:rsidRPr="007744B0">
        <w:rPr>
          <w:rFonts w:eastAsia="Arial" w:cs="Arial"/>
          <w:color w:val="000000"/>
          <w:sz w:val="20"/>
          <w:szCs w:val="20"/>
        </w:rPr>
        <w:t>. E-mail</w:t>
      </w:r>
      <w:r w:rsidR="002476ED" w:rsidRPr="007744B0">
        <w:rPr>
          <w:rFonts w:eastAsia="Arial" w:cs="Arial"/>
          <w:sz w:val="20"/>
          <w:szCs w:val="20"/>
        </w:rPr>
        <w:t>: drbrunomr@</w:t>
      </w:r>
      <w:r w:rsidR="006C1214">
        <w:rPr>
          <w:rFonts w:eastAsia="Arial" w:cs="Arial"/>
          <w:sz w:val="20"/>
          <w:szCs w:val="20"/>
        </w:rPr>
        <w:t>g</w:t>
      </w:r>
      <w:r w:rsidR="002476ED" w:rsidRPr="007744B0">
        <w:rPr>
          <w:rFonts w:eastAsia="Arial" w:cs="Arial"/>
          <w:sz w:val="20"/>
          <w:szCs w:val="20"/>
        </w:rPr>
        <w:t>mail.com.</w:t>
      </w:r>
    </w:p>
  </w:footnote>
  <w:footnote w:id="3">
    <w:p w14:paraId="7B876E31" w14:textId="03EE0D39" w:rsidR="007744B0" w:rsidRPr="007744B0" w:rsidRDefault="007744B0">
      <w:pPr>
        <w:pStyle w:val="Textodenotaderodap"/>
      </w:pPr>
      <w:r w:rsidRPr="007744B0">
        <w:rPr>
          <w:rStyle w:val="Refdenotaderodap"/>
        </w:rPr>
        <w:footnoteRef/>
      </w:r>
      <w:r w:rsidRPr="007744B0">
        <w:t xml:space="preserve"> </w:t>
      </w:r>
      <w:r w:rsidRPr="007744B0">
        <w:rPr>
          <w:rFonts w:eastAsia="Arial" w:cs="Arial"/>
          <w:color w:val="000000"/>
        </w:rPr>
        <w:t>Secretaria Municipal de Educação de Maceió, Maceió, Brasil. E-mail</w:t>
      </w:r>
      <w:r w:rsidRPr="007744B0">
        <w:rPr>
          <w:rFonts w:eastAsia="Arial" w:cs="Arial"/>
        </w:rPr>
        <w:t>: igx29.psicoped@</w:t>
      </w:r>
      <w:r w:rsidR="006C1214">
        <w:rPr>
          <w:rFonts w:eastAsia="Arial" w:cs="Arial"/>
        </w:rPr>
        <w:t>hot</w:t>
      </w:r>
      <w:r w:rsidRPr="007744B0">
        <w:rPr>
          <w:rFonts w:eastAsia="Arial" w:cs="Arial"/>
        </w:rPr>
        <w:t>mail.com.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17232164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C3"/>
    <w:rsid w:val="00003A44"/>
    <w:rsid w:val="000A368E"/>
    <w:rsid w:val="000B7577"/>
    <w:rsid w:val="00104388"/>
    <w:rsid w:val="00135EF9"/>
    <w:rsid w:val="001426EC"/>
    <w:rsid w:val="00144133"/>
    <w:rsid w:val="0018593A"/>
    <w:rsid w:val="001A662D"/>
    <w:rsid w:val="001C2E1F"/>
    <w:rsid w:val="001D22AC"/>
    <w:rsid w:val="001F3989"/>
    <w:rsid w:val="002451FE"/>
    <w:rsid w:val="00247308"/>
    <w:rsid w:val="002476ED"/>
    <w:rsid w:val="002677B2"/>
    <w:rsid w:val="002D33D5"/>
    <w:rsid w:val="002E6BC2"/>
    <w:rsid w:val="002F02EF"/>
    <w:rsid w:val="00363C72"/>
    <w:rsid w:val="0037168F"/>
    <w:rsid w:val="00395F2E"/>
    <w:rsid w:val="003C06F4"/>
    <w:rsid w:val="003D7893"/>
    <w:rsid w:val="00406249"/>
    <w:rsid w:val="00445AC0"/>
    <w:rsid w:val="004B0D37"/>
    <w:rsid w:val="004D04D3"/>
    <w:rsid w:val="00554FED"/>
    <w:rsid w:val="005B4023"/>
    <w:rsid w:val="005D67F8"/>
    <w:rsid w:val="006128D6"/>
    <w:rsid w:val="0064328E"/>
    <w:rsid w:val="006B7AF0"/>
    <w:rsid w:val="006C1214"/>
    <w:rsid w:val="00715ACC"/>
    <w:rsid w:val="007744B0"/>
    <w:rsid w:val="00796E2B"/>
    <w:rsid w:val="007B6D8B"/>
    <w:rsid w:val="00807E37"/>
    <w:rsid w:val="008A187D"/>
    <w:rsid w:val="008E2E48"/>
    <w:rsid w:val="008F0BC3"/>
    <w:rsid w:val="00903BF9"/>
    <w:rsid w:val="00941087"/>
    <w:rsid w:val="00956FF4"/>
    <w:rsid w:val="009579CA"/>
    <w:rsid w:val="009918DA"/>
    <w:rsid w:val="00AB5F08"/>
    <w:rsid w:val="00B425FC"/>
    <w:rsid w:val="00B62F75"/>
    <w:rsid w:val="00B64B0C"/>
    <w:rsid w:val="00BF7AA5"/>
    <w:rsid w:val="00C274A9"/>
    <w:rsid w:val="00C36923"/>
    <w:rsid w:val="00C55FA2"/>
    <w:rsid w:val="00C576FE"/>
    <w:rsid w:val="00C75F85"/>
    <w:rsid w:val="00CB1137"/>
    <w:rsid w:val="00CF00AA"/>
    <w:rsid w:val="00D50E79"/>
    <w:rsid w:val="00D63DBB"/>
    <w:rsid w:val="00D645D6"/>
    <w:rsid w:val="00D95726"/>
    <w:rsid w:val="00E714A8"/>
    <w:rsid w:val="00EC4B7C"/>
    <w:rsid w:val="00EC7E94"/>
    <w:rsid w:val="00F113A9"/>
    <w:rsid w:val="00F12AA1"/>
    <w:rsid w:val="00F54569"/>
    <w:rsid w:val="00FB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1CA29"/>
  <w15:chartTrackingRefBased/>
  <w15:docId w15:val="{48342EA6-2B89-481E-B1A2-A665D2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44B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44B0"/>
    <w:rPr>
      <w:rFonts w:ascii="Arial" w:eastAsia="Calibri" w:hAnsi="Arial" w:cs="Calibri"/>
      <w:color w:val="000000" w:themeColor="text1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744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301F-5024-49D7-8230-DD3C7334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2308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Elyton Santos</cp:lastModifiedBy>
  <cp:revision>3</cp:revision>
  <dcterms:created xsi:type="dcterms:W3CDTF">2025-08-24T15:21:00Z</dcterms:created>
  <dcterms:modified xsi:type="dcterms:W3CDTF">2025-08-24T15:30:00Z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