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9C" w:rsidRDefault="003A08B1" w:rsidP="00C6689C">
      <w:pPr>
        <w:tabs>
          <w:tab w:val="center" w:pos="4252"/>
          <w:tab w:val="left" w:pos="72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A UTILIZAÇÃO </w:t>
      </w:r>
      <w:r w:rsidR="00791A7E">
        <w:rPr>
          <w:rFonts w:ascii="Times New Roman" w:hAnsi="Times New Roman"/>
          <w:b/>
          <w:sz w:val="28"/>
          <w:szCs w:val="28"/>
        </w:rPr>
        <w:t>DE TECNOLOGIAS DA INFORMAÇÃO E COMUNICAÇÃO POR ESTUDANTES DO ENSINO FUNDAMENTAL</w:t>
      </w:r>
    </w:p>
    <w:p w:rsidR="00C6689C" w:rsidRDefault="00C6689C" w:rsidP="00C668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89C" w:rsidRDefault="005B415B" w:rsidP="00C668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Guilherme Angelo Moreira Bernardo</w:t>
      </w:r>
      <w:r>
        <w:rPr>
          <w:rStyle w:val="Refdenotaderodap"/>
          <w:rFonts w:ascii="Times New Roman" w:hAnsi="Times New Roman"/>
          <w:sz w:val="24"/>
          <w:szCs w:val="24"/>
        </w:rPr>
        <w:footnoteReference w:id="1"/>
      </w:r>
      <w:r w:rsidR="00C6689C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George Dias Alves</w:t>
      </w:r>
      <w:r>
        <w:rPr>
          <w:rStyle w:val="Refdenotaderodap"/>
          <w:rFonts w:ascii="Times New Roman" w:hAnsi="Times New Roman"/>
          <w:sz w:val="24"/>
          <w:szCs w:val="24"/>
        </w:rPr>
        <w:footnoteReference w:id="2"/>
      </w:r>
      <w:r w:rsidR="00891A0A">
        <w:rPr>
          <w:rFonts w:ascii="Times New Roman" w:hAnsi="Times New Roman"/>
          <w:sz w:val="24"/>
          <w:szCs w:val="24"/>
        </w:rPr>
        <w:t>.</w:t>
      </w:r>
    </w:p>
    <w:p w:rsidR="00C6689C" w:rsidRPr="00517CEA" w:rsidRDefault="00C6689C" w:rsidP="00C6689C">
      <w:pPr>
        <w:spacing w:after="0" w:line="240" w:lineRule="auto"/>
        <w:jc w:val="center"/>
        <w:rPr>
          <w:rFonts w:ascii="Times New Roman" w:hAnsi="Times New Roman"/>
          <w:sz w:val="6"/>
          <w:szCs w:val="24"/>
        </w:rPr>
      </w:pPr>
      <w:bookmarkStart w:id="0" w:name="_GoBack"/>
      <w:bookmarkEnd w:id="0"/>
    </w:p>
    <w:p w:rsidR="00C6689C" w:rsidRDefault="00C6689C" w:rsidP="00C6689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17CEA" w:rsidRPr="00517CEA" w:rsidRDefault="00C6689C" w:rsidP="00517CEA">
      <w:pPr>
        <w:spacing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hAnsi="Times New Roman"/>
          <w:b/>
          <w:bCs/>
        </w:rPr>
        <w:t>Resumo</w:t>
      </w:r>
      <w:r w:rsidR="00517CEA">
        <w:rPr>
          <w:rFonts w:ascii="Times New Roman" w:hAnsi="Times New Roman"/>
          <w:b/>
          <w:bCs/>
        </w:rPr>
        <w:t>:</w:t>
      </w:r>
      <w:r w:rsidR="00517CEA" w:rsidRPr="00517C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7CEA" w:rsidRPr="00517CEA">
        <w:rPr>
          <w:rFonts w:ascii="Times New Roman" w:eastAsia="Times New Roman" w:hAnsi="Times New Roman" w:cs="Times New Roman"/>
          <w:szCs w:val="24"/>
        </w:rPr>
        <w:t xml:space="preserve">As sociedades contemporâneas vivem um momento de transformação, nunca imaginado antes, essas mudanças têm sido fruto, principalmente, dos avanços das tecnologias e do desenvolvimento científico. Neste complexo de acontecimentos, surge o que conhecemos por globalização, fenômeno caracterizado por proporcionar integração e comunicação, concebendo um grande fluxo de informações que são compartilhadas em um curto intervalo de tempo por intermédio das Tecnologias da Informação e Comunicação </w:t>
      </w:r>
      <w:r w:rsidR="00857ACB">
        <w:rPr>
          <w:rFonts w:ascii="Times New Roman" w:eastAsia="Times New Roman" w:hAnsi="Times New Roman" w:cs="Times New Roman"/>
          <w:szCs w:val="24"/>
        </w:rPr>
        <w:t>(</w:t>
      </w:r>
      <w:r w:rsidR="00517CEA" w:rsidRPr="00517CEA">
        <w:rPr>
          <w:rFonts w:ascii="Times New Roman" w:eastAsia="Times New Roman" w:hAnsi="Times New Roman" w:cs="Times New Roman"/>
          <w:szCs w:val="24"/>
        </w:rPr>
        <w:t>TICs</w:t>
      </w:r>
      <w:r w:rsidR="00857ACB">
        <w:rPr>
          <w:rFonts w:ascii="Times New Roman" w:eastAsia="Times New Roman" w:hAnsi="Times New Roman" w:cs="Times New Roman"/>
          <w:szCs w:val="24"/>
        </w:rPr>
        <w:t>)</w:t>
      </w:r>
      <w:r w:rsidR="00517CEA" w:rsidRPr="00517CEA">
        <w:rPr>
          <w:rFonts w:ascii="Times New Roman" w:eastAsia="Times New Roman" w:hAnsi="Times New Roman" w:cs="Times New Roman"/>
          <w:szCs w:val="24"/>
        </w:rPr>
        <w:t xml:space="preserve">. Nesse contexto, cabe a escola, enquanto promotora da cidadania e formadora de cidadãos críticos e conscientes, buscar assimilar as referências destas novas perspectivas e aplica-las ao ensino. Assim, analisar as TICs como ferramentas tecnológicas usadas no tratamento das informações que interferem e mediam os seres, torna-se importante compreender como os/as estudantes da Educação Básica utilizam estes meios em sua vida cotidiana e através disso criar possibilidades para implementação desses instrumentos no processo de ensino e aprendizagem. Nesta pesquisa, investigamos através de um questionário aplicado a 35 discentes do nono ano do Ensino Fundamental, como eles/as utilizam as TICs em seu cotidiano. </w:t>
      </w:r>
      <w:r w:rsidR="00517CEA" w:rsidRPr="00857ACB">
        <w:rPr>
          <w:rFonts w:ascii="Times New Roman" w:eastAsia="Times New Roman" w:hAnsi="Times New Roman" w:cs="Times New Roman"/>
          <w:szCs w:val="24"/>
        </w:rPr>
        <w:t xml:space="preserve">A partir dos dados obtidos, percebemos que a maior parte dos/as discentes </w:t>
      </w:r>
      <w:proofErr w:type="gramStart"/>
      <w:r w:rsidR="00517CEA" w:rsidRPr="00857ACB">
        <w:rPr>
          <w:rFonts w:ascii="Times New Roman" w:eastAsia="Times New Roman" w:hAnsi="Times New Roman" w:cs="Times New Roman"/>
          <w:szCs w:val="24"/>
        </w:rPr>
        <w:t>possuem</w:t>
      </w:r>
      <w:proofErr w:type="gramEnd"/>
      <w:r w:rsidR="00517CEA" w:rsidRPr="00857ACB">
        <w:rPr>
          <w:rFonts w:ascii="Times New Roman" w:eastAsia="Times New Roman" w:hAnsi="Times New Roman" w:cs="Times New Roman"/>
          <w:szCs w:val="24"/>
        </w:rPr>
        <w:t xml:space="preserve"> acesso a internet e a utiliza </w:t>
      </w:r>
      <w:r w:rsidR="00857ACB" w:rsidRPr="00857ACB">
        <w:rPr>
          <w:rFonts w:ascii="Times New Roman" w:eastAsia="Times New Roman" w:hAnsi="Times New Roman" w:cs="Times New Roman"/>
          <w:szCs w:val="24"/>
        </w:rPr>
        <w:t>majoritariamente</w:t>
      </w:r>
      <w:r w:rsidR="00517CEA" w:rsidRPr="00857ACB">
        <w:rPr>
          <w:rFonts w:ascii="Times New Roman" w:eastAsia="Times New Roman" w:hAnsi="Times New Roman" w:cs="Times New Roman"/>
          <w:szCs w:val="24"/>
        </w:rPr>
        <w:t xml:space="preserve"> através de celulares além de acessarem principalmente as redes sociais. </w:t>
      </w:r>
      <w:r w:rsidR="00517CEA" w:rsidRPr="00517CEA">
        <w:rPr>
          <w:rFonts w:ascii="Times New Roman" w:eastAsia="Times New Roman" w:hAnsi="Times New Roman" w:cs="Times New Roman"/>
          <w:szCs w:val="24"/>
        </w:rPr>
        <w:t xml:space="preserve">Este trabalho nos levou a refletir sobre a utilização das TICs no contexto vivencial dos/as estudantes. Percebemos também, que diante a disponibilidade de acesso desse grupo aos meios de comunicação e informação, propicia-se a implementação de metodologias que englobam estas tecnologias em favor da promoção de aprendizagens significativas. </w:t>
      </w:r>
    </w:p>
    <w:p w:rsidR="00C6689C" w:rsidRDefault="00C6689C" w:rsidP="00C6689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Palavras-chave</w:t>
      </w:r>
      <w:r>
        <w:rPr>
          <w:rFonts w:ascii="Times New Roman" w:hAnsi="Times New Roman"/>
        </w:rPr>
        <w:t xml:space="preserve">: </w:t>
      </w:r>
      <w:r w:rsidR="00857ACB">
        <w:rPr>
          <w:rFonts w:ascii="Times New Roman" w:hAnsi="Times New Roman"/>
        </w:rPr>
        <w:t>TICs</w:t>
      </w:r>
      <w:r w:rsidR="00891A0A">
        <w:rPr>
          <w:rFonts w:ascii="Times New Roman" w:hAnsi="Times New Roman"/>
        </w:rPr>
        <w:t>, Ensino Fundamental, Globalização.</w:t>
      </w:r>
    </w:p>
    <w:p w:rsidR="00C6689C" w:rsidRPr="00517CEA" w:rsidRDefault="00C6689C" w:rsidP="00C6689C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12"/>
        </w:rPr>
      </w:pPr>
    </w:p>
    <w:p w:rsidR="00791A7E" w:rsidRDefault="00791A7E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>Introdução</w:t>
      </w:r>
    </w:p>
    <w:p w:rsidR="005B415B" w:rsidRPr="005B415B" w:rsidRDefault="005B415B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6"/>
        </w:rPr>
      </w:pPr>
    </w:p>
    <w:p w:rsidR="00E41020" w:rsidRDefault="00791A7E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  <w:t>As sociedades contemporâneas vivenciam um momento nunca antes imaginado de suas histórias, principalmente no que se refere ao</w:t>
      </w:r>
      <w:r w:rsidR="00E41020">
        <w:t>s</w:t>
      </w:r>
      <w:r>
        <w:t xml:space="preserve"> avanço</w:t>
      </w:r>
      <w:r w:rsidR="00E41020">
        <w:t>s</w:t>
      </w:r>
      <w:r>
        <w:t xml:space="preserve"> das tecnologias e do desenvolvimento</w:t>
      </w:r>
      <w:r w:rsidR="00E41020">
        <w:t xml:space="preserve"> científico. Neste complexo de acontecimentos, surge o que conhecemos por globalização, que inundam as mais diversas instituições de conteúdos a serem assimilados. Neste contexto, a Escola, como promotora da cidadania, deve </w:t>
      </w:r>
      <w:proofErr w:type="gramStart"/>
      <w:r w:rsidR="00E41020">
        <w:t>perceber,</w:t>
      </w:r>
      <w:proofErr w:type="gramEnd"/>
      <w:r w:rsidR="00E41020">
        <w:t xml:space="preserve"> refinar e contextualizar estes conteúdos, embora confusos, importantíssimos para compreender a dinâmica atual (SILVA, 1999).</w:t>
      </w:r>
    </w:p>
    <w:p w:rsidR="00E41020" w:rsidRDefault="00E41020" w:rsidP="003A5522">
      <w:pPr>
        <w:spacing w:after="0" w:line="360" w:lineRule="auto"/>
        <w:ind w:firstLine="34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Educar em meio a esta conjuntura torna-se uma ação cada vez mais elaborada e desafiadora. Esta percepção ocorre ao passo que, compete à educação, buscar assimilar as referências que impeçam as pessoas de ficarem submersas e em “ondas de informações, mais ou menos efêmeras, que invadem os espaços públicos e privados e as levem a orientar-se para projetos de desenvolvimento individual e coletivo” (DELORS, 2003, p. 89).</w:t>
      </w:r>
    </w:p>
    <w:p w:rsidR="00D34F1D" w:rsidRDefault="007256AF" w:rsidP="003A5522">
      <w:pPr>
        <w:spacing w:after="0" w:line="360" w:lineRule="auto"/>
        <w:ind w:firstLine="34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Segundo Brasil (1998, p.8)</w:t>
      </w:r>
      <w:r w:rsidR="00D34F1D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“</w:t>
      </w:r>
      <w:r w:rsidRPr="007256AF">
        <w:rPr>
          <w:rFonts w:ascii="Times New Roman" w:hAnsi="Times New Roman"/>
          <w:sz w:val="24"/>
        </w:rPr>
        <w:t>saber utilizar diferentes fontes de informação e recursos tecnológicos para adquirir e construir conhecimentos</w:t>
      </w:r>
      <w:r w:rsidR="00D34F1D">
        <w:rPr>
          <w:rFonts w:ascii="Times New Roman" w:hAnsi="Times New Roman"/>
          <w:sz w:val="24"/>
        </w:rPr>
        <w:t xml:space="preserve">” elenca-se como um dos objetivos para o ensino fundamental, em especial o terceiro e quarto ciclo. </w:t>
      </w:r>
    </w:p>
    <w:p w:rsidR="003A5522" w:rsidRDefault="00D34F1D" w:rsidP="00517CEA">
      <w:pPr>
        <w:spacing w:after="120" w:line="360" w:lineRule="auto"/>
        <w:ind w:firstLine="34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Neste sentido, ao compreender as Tecnologias da Informação e Comunicação (TIC</w:t>
      </w:r>
      <w:r w:rsidR="00EC4DFC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 xml:space="preserve">), como infere Oliveira </w:t>
      </w:r>
      <w:proofErr w:type="gramStart"/>
      <w:r>
        <w:rPr>
          <w:rFonts w:ascii="Times New Roman" w:hAnsi="Times New Roman"/>
          <w:sz w:val="24"/>
        </w:rPr>
        <w:t>et</w:t>
      </w:r>
      <w:proofErr w:type="gramEnd"/>
      <w:r>
        <w:rPr>
          <w:rFonts w:ascii="Times New Roman" w:hAnsi="Times New Roman"/>
          <w:sz w:val="24"/>
        </w:rPr>
        <w:t xml:space="preserve"> a</w:t>
      </w:r>
      <w:r w:rsidR="00EE3D91">
        <w:rPr>
          <w:rFonts w:ascii="Times New Roman" w:hAnsi="Times New Roman"/>
          <w:sz w:val="24"/>
        </w:rPr>
        <w:t>l. (2015, p.77-78), “</w:t>
      </w:r>
      <w:r w:rsidR="00EE3D91" w:rsidRPr="00EE3D91">
        <w:rPr>
          <w:rFonts w:ascii="Times New Roman" w:hAnsi="Times New Roman" w:cs="Times New Roman"/>
          <w:sz w:val="24"/>
          <w:szCs w:val="30"/>
        </w:rPr>
        <w:t>um conjunto de recursos tecnológicos integrados entre si, que proporcionam por meio das funções de</w:t>
      </w:r>
      <w:r w:rsidR="00EE3D91">
        <w:rPr>
          <w:rFonts w:ascii="Times New Roman" w:hAnsi="Times New Roman" w:cs="Times New Roman"/>
          <w:sz w:val="24"/>
          <w:szCs w:val="30"/>
        </w:rPr>
        <w:t xml:space="preserve"> </w:t>
      </w:r>
      <w:r w:rsidR="00EE3D91" w:rsidRPr="00EE3D91">
        <w:rPr>
          <w:rFonts w:ascii="Times New Roman" w:hAnsi="Times New Roman" w:cs="Times New Roman"/>
          <w:sz w:val="24"/>
          <w:szCs w:val="30"/>
        </w:rPr>
        <w:t>Software e telecomunicações, a automação e comunicação dos processos de negócios, da pesquisa científica e de ensino e aprendizagem</w:t>
      </w:r>
      <w:r w:rsidR="00EE3D91">
        <w:rPr>
          <w:rFonts w:ascii="Times New Roman" w:hAnsi="Times New Roman" w:cs="Times New Roman"/>
          <w:sz w:val="24"/>
          <w:szCs w:val="30"/>
        </w:rPr>
        <w:t>”, ou mesmo,</w:t>
      </w:r>
      <w:r w:rsidR="00EE3D91">
        <w:rPr>
          <w:rFonts w:ascii="Times New Roman" w:hAnsi="Times New Roman"/>
          <w:sz w:val="24"/>
        </w:rPr>
        <w:t xml:space="preserve"> como </w:t>
      </w:r>
      <w:r w:rsidRPr="00D34F1D">
        <w:rPr>
          <w:rFonts w:ascii="Times New Roman" w:hAnsi="Times New Roman"/>
          <w:sz w:val="24"/>
        </w:rPr>
        <w:t>todo</w:t>
      </w:r>
      <w:r w:rsidR="00EE3D91">
        <w:rPr>
          <w:rFonts w:ascii="Times New Roman" w:hAnsi="Times New Roman"/>
          <w:sz w:val="24"/>
        </w:rPr>
        <w:t xml:space="preserve"> </w:t>
      </w:r>
      <w:r w:rsidRPr="00D34F1D">
        <w:rPr>
          <w:rFonts w:ascii="Times New Roman" w:hAnsi="Times New Roman"/>
          <w:sz w:val="24"/>
        </w:rPr>
        <w:t xml:space="preserve">meio técnico usados para tratar a informação e auxiliar </w:t>
      </w:r>
      <w:r>
        <w:rPr>
          <w:rFonts w:ascii="Times New Roman" w:hAnsi="Times New Roman"/>
          <w:sz w:val="24"/>
        </w:rPr>
        <w:t xml:space="preserve">nos processos informacionais </w:t>
      </w:r>
      <w:r w:rsidRPr="00D34F1D">
        <w:rPr>
          <w:rFonts w:ascii="Times New Roman" w:hAnsi="Times New Roman"/>
          <w:sz w:val="24"/>
        </w:rPr>
        <w:t>que interferem e mediam os seres</w:t>
      </w:r>
      <w:r w:rsidR="00EE3D91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torna-se importante compreender </w:t>
      </w:r>
      <w:r w:rsidR="003A5522">
        <w:rPr>
          <w:rFonts w:ascii="Times New Roman" w:hAnsi="Times New Roman"/>
          <w:sz w:val="24"/>
        </w:rPr>
        <w:t>como os/as estudantes da Educação Básica utilizam estes meios, visando sua implementação no processo de ensino e aprendizagem.</w:t>
      </w:r>
    </w:p>
    <w:p w:rsidR="00791A7E" w:rsidRDefault="00791A7E" w:rsidP="00517CEA">
      <w:pPr>
        <w:spacing w:after="12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3A5522">
        <w:rPr>
          <w:rFonts w:ascii="Times New Roman" w:hAnsi="Times New Roman" w:cs="Times New Roman"/>
          <w:b/>
          <w:sz w:val="24"/>
        </w:rPr>
        <w:t>Metodologia</w:t>
      </w:r>
    </w:p>
    <w:p w:rsidR="00EF4634" w:rsidRDefault="003A5522" w:rsidP="00EE3D9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EC4DFC">
        <w:rPr>
          <w:rFonts w:ascii="Times New Roman" w:hAnsi="Times New Roman" w:cs="Times New Roman"/>
          <w:sz w:val="24"/>
        </w:rPr>
        <w:t>Nesta pesquisa</w:t>
      </w:r>
      <w:r w:rsidR="00EF4634">
        <w:rPr>
          <w:rFonts w:ascii="Times New Roman" w:hAnsi="Times New Roman" w:cs="Times New Roman"/>
          <w:sz w:val="24"/>
        </w:rPr>
        <w:t>,</w:t>
      </w:r>
      <w:r w:rsidR="00EC4DFC">
        <w:rPr>
          <w:rFonts w:ascii="Times New Roman" w:hAnsi="Times New Roman" w:cs="Times New Roman"/>
          <w:sz w:val="24"/>
        </w:rPr>
        <w:t xml:space="preserve"> investigamos como os/as discentes da Educação Básica, em especial o Ensino Fundamental, utilizam as TICs em seu cotidiano. </w:t>
      </w:r>
      <w:r w:rsidR="00EF4634">
        <w:rPr>
          <w:rFonts w:ascii="Times New Roman" w:hAnsi="Times New Roman" w:cs="Times New Roman"/>
          <w:sz w:val="24"/>
        </w:rPr>
        <w:t>Desta forma, apli</w:t>
      </w:r>
      <w:r w:rsidR="00EC4DFC">
        <w:rPr>
          <w:rFonts w:ascii="Times New Roman" w:hAnsi="Times New Roman" w:cs="Times New Roman"/>
          <w:sz w:val="24"/>
        </w:rPr>
        <w:t>camos um questionário</w:t>
      </w:r>
      <w:r w:rsidR="00EC4DFC" w:rsidRPr="00EC4DFC">
        <w:rPr>
          <w:rFonts w:ascii="Times New Roman" w:hAnsi="Times New Roman" w:cs="Times New Roman"/>
          <w:sz w:val="24"/>
        </w:rPr>
        <w:t xml:space="preserve"> </w:t>
      </w:r>
      <w:r w:rsidR="00EC4DFC">
        <w:rPr>
          <w:rFonts w:ascii="Times New Roman" w:hAnsi="Times New Roman" w:cs="Times New Roman"/>
          <w:sz w:val="24"/>
        </w:rPr>
        <w:t xml:space="preserve">em uma turma de nono ano do Ensino Fundamental de uma </w:t>
      </w:r>
      <w:r w:rsidR="00EF4634">
        <w:rPr>
          <w:rFonts w:ascii="Times New Roman" w:hAnsi="Times New Roman" w:cs="Times New Roman"/>
          <w:sz w:val="24"/>
        </w:rPr>
        <w:t>E</w:t>
      </w:r>
      <w:r w:rsidR="00EC4DFC">
        <w:rPr>
          <w:rFonts w:ascii="Times New Roman" w:hAnsi="Times New Roman" w:cs="Times New Roman"/>
          <w:sz w:val="24"/>
        </w:rPr>
        <w:t>scola</w:t>
      </w:r>
      <w:r w:rsidR="00EF4634">
        <w:rPr>
          <w:rFonts w:ascii="Times New Roman" w:hAnsi="Times New Roman" w:cs="Times New Roman"/>
          <w:sz w:val="24"/>
        </w:rPr>
        <w:t xml:space="preserve"> da rede</w:t>
      </w:r>
      <w:r w:rsidR="00EC4DFC">
        <w:rPr>
          <w:rFonts w:ascii="Times New Roman" w:hAnsi="Times New Roman" w:cs="Times New Roman"/>
          <w:sz w:val="24"/>
        </w:rPr>
        <w:t xml:space="preserve"> pública</w:t>
      </w:r>
      <w:r w:rsidR="00EF4634">
        <w:rPr>
          <w:rFonts w:ascii="Times New Roman" w:hAnsi="Times New Roman" w:cs="Times New Roman"/>
          <w:sz w:val="24"/>
        </w:rPr>
        <w:t xml:space="preserve"> de ensino</w:t>
      </w:r>
      <w:r w:rsidR="00EC4DFC">
        <w:rPr>
          <w:rFonts w:ascii="Times New Roman" w:hAnsi="Times New Roman" w:cs="Times New Roman"/>
          <w:sz w:val="24"/>
        </w:rPr>
        <w:t xml:space="preserve"> do Estado da Paraíba. </w:t>
      </w:r>
    </w:p>
    <w:p w:rsidR="00EF4634" w:rsidRPr="003A5522" w:rsidRDefault="00EF4634" w:rsidP="00517CEA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</w:t>
      </w:r>
      <w:r w:rsidR="00EC4DF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diagnóstico</w:t>
      </w:r>
      <w:r w:rsidR="003A5522">
        <w:rPr>
          <w:rFonts w:ascii="Times New Roman" w:hAnsi="Times New Roman" w:cs="Times New Roman"/>
          <w:sz w:val="24"/>
        </w:rPr>
        <w:t xml:space="preserve"> foi </w:t>
      </w:r>
      <w:r>
        <w:rPr>
          <w:rFonts w:ascii="Times New Roman" w:hAnsi="Times New Roman" w:cs="Times New Roman"/>
          <w:sz w:val="24"/>
        </w:rPr>
        <w:t>realizado</w:t>
      </w:r>
      <w:r w:rsidR="003A5522">
        <w:rPr>
          <w:rFonts w:ascii="Times New Roman" w:hAnsi="Times New Roman" w:cs="Times New Roman"/>
          <w:sz w:val="24"/>
        </w:rPr>
        <w:t xml:space="preserve"> no mês de julho de 2017</w:t>
      </w:r>
      <w:r>
        <w:rPr>
          <w:rFonts w:ascii="Times New Roman" w:hAnsi="Times New Roman" w:cs="Times New Roman"/>
          <w:sz w:val="24"/>
        </w:rPr>
        <w:t xml:space="preserve"> com 35 alunos/as de idades entre 14 e 16 anos.</w:t>
      </w:r>
      <w:r w:rsidR="003A552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Os dados obtidos são de caráter quantitativo, segundo </w:t>
      </w:r>
      <w:r w:rsidRPr="00BD7ECB">
        <w:rPr>
          <w:rFonts w:ascii="Times New Roman" w:hAnsi="Times New Roman"/>
          <w:noProof/>
          <w:sz w:val="24"/>
          <w:szCs w:val="24"/>
          <w:lang w:eastAsia="pt-BR"/>
        </w:rPr>
        <w:t>Prodanov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e </w:t>
      </w:r>
      <w:r w:rsidRPr="00BD7ECB">
        <w:rPr>
          <w:rFonts w:ascii="Times New Roman" w:hAnsi="Times New Roman"/>
          <w:noProof/>
          <w:sz w:val="24"/>
          <w:szCs w:val="24"/>
          <w:lang w:eastAsia="pt-BR"/>
        </w:rPr>
        <w:t>Freitas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(2013), e traçam um perfil para este grupo de estudantes. </w:t>
      </w:r>
    </w:p>
    <w:p w:rsidR="00791A7E" w:rsidRDefault="00791A7E" w:rsidP="00517CEA">
      <w:pPr>
        <w:pStyle w:val="NormalWeb"/>
        <w:shd w:val="clear" w:color="auto" w:fill="FFFFFF"/>
        <w:spacing w:before="0" w:beforeAutospacing="0" w:after="120" w:afterAutospacing="0" w:line="360" w:lineRule="auto"/>
        <w:jc w:val="both"/>
        <w:rPr>
          <w:b/>
        </w:rPr>
      </w:pPr>
      <w:r>
        <w:rPr>
          <w:b/>
        </w:rPr>
        <w:t>Resultados e Discussão</w:t>
      </w:r>
    </w:p>
    <w:p w:rsidR="005B415B" w:rsidRPr="00EE3D91" w:rsidRDefault="005B415B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2"/>
        </w:rPr>
      </w:pPr>
    </w:p>
    <w:p w:rsidR="003226A9" w:rsidRDefault="00710B47" w:rsidP="00517CEA">
      <w:pPr>
        <w:pStyle w:val="NormalWeb"/>
        <w:shd w:val="clear" w:color="auto" w:fill="FFFFFF"/>
        <w:spacing w:before="0" w:beforeAutospacing="0" w:after="120" w:afterAutospacing="0" w:line="360" w:lineRule="auto"/>
        <w:jc w:val="both"/>
      </w:pPr>
      <w:r>
        <w:tab/>
        <w:t xml:space="preserve">No primeiro questionamento, indagamos se os/as estudantes possuíam telefone celular ou computador, ou seja, se dispunham dos equipamentos, meio físico, para acessar as mídias digitais e assim estabelecer comunicação ou acesso a informação. </w:t>
      </w:r>
    </w:p>
    <w:p w:rsidR="00EE3D91" w:rsidRDefault="00EE3D91" w:rsidP="00FF7ED5">
      <w:pPr>
        <w:pStyle w:val="NormalWeb"/>
        <w:shd w:val="clear" w:color="auto" w:fill="FFFFFF"/>
        <w:spacing w:before="0" w:beforeAutospacing="0" w:after="240" w:afterAutospacing="0" w:line="360" w:lineRule="auto"/>
        <w:jc w:val="center"/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55A3B1E" wp14:editId="319AC0D8">
            <wp:simplePos x="0" y="0"/>
            <wp:positionH relativeFrom="column">
              <wp:posOffset>358140</wp:posOffset>
            </wp:positionH>
            <wp:positionV relativeFrom="paragraph">
              <wp:posOffset>213995</wp:posOffset>
            </wp:positionV>
            <wp:extent cx="4933950" cy="1438684"/>
            <wp:effectExtent l="0" t="0" r="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os tem ou não tem comppp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43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D49">
        <w:rPr>
          <w:b/>
        </w:rPr>
        <w:t>Figura</w:t>
      </w:r>
      <w:r w:rsidR="00710B47">
        <w:rPr>
          <w:b/>
        </w:rPr>
        <w:t xml:space="preserve"> 1. </w:t>
      </w:r>
      <w:r w:rsidR="007F6763" w:rsidRPr="007F6763">
        <w:t>Porcentagem de estudantes que possuíam telefone celular e computador.</w:t>
      </w:r>
    </w:p>
    <w:p w:rsidR="00EE3D91" w:rsidRDefault="00EE3D91" w:rsidP="00EE3D91">
      <w:pPr>
        <w:pStyle w:val="NormalWeb"/>
        <w:shd w:val="clear" w:color="auto" w:fill="FFFFFF"/>
        <w:spacing w:before="0" w:beforeAutospacing="0" w:after="0" w:afterAutospacing="0" w:line="360" w:lineRule="auto"/>
      </w:pPr>
    </w:p>
    <w:p w:rsidR="00EE3D91" w:rsidRDefault="00EE3D91" w:rsidP="00EE3D91">
      <w:pPr>
        <w:pStyle w:val="NormalWeb"/>
        <w:shd w:val="clear" w:color="auto" w:fill="FFFFFF"/>
        <w:spacing w:before="0" w:beforeAutospacing="0" w:after="0" w:afterAutospacing="0" w:line="360" w:lineRule="auto"/>
      </w:pPr>
    </w:p>
    <w:p w:rsidR="00EE3D91" w:rsidRDefault="00EE3D91" w:rsidP="00EE3D91">
      <w:pPr>
        <w:pStyle w:val="NormalWeb"/>
        <w:shd w:val="clear" w:color="auto" w:fill="FFFFFF"/>
        <w:spacing w:before="0" w:beforeAutospacing="0" w:after="0" w:afterAutospacing="0" w:line="360" w:lineRule="auto"/>
      </w:pPr>
    </w:p>
    <w:p w:rsidR="00EE3D91" w:rsidRDefault="00EE3D91" w:rsidP="00EE3D91">
      <w:pPr>
        <w:pStyle w:val="NormalWeb"/>
        <w:shd w:val="clear" w:color="auto" w:fill="FFFFFF"/>
        <w:spacing w:before="0" w:beforeAutospacing="0" w:after="0" w:afterAutospacing="0" w:line="360" w:lineRule="auto"/>
      </w:pPr>
    </w:p>
    <w:p w:rsidR="00EE3D91" w:rsidRDefault="00EE3D91" w:rsidP="00EE3D91">
      <w:pPr>
        <w:pStyle w:val="NormalWeb"/>
        <w:shd w:val="clear" w:color="auto" w:fill="FFFFFF"/>
        <w:spacing w:before="0" w:beforeAutospacing="0" w:after="0" w:afterAutospacing="0" w:line="360" w:lineRule="auto"/>
      </w:pPr>
    </w:p>
    <w:p w:rsidR="005E0080" w:rsidRDefault="005E0080" w:rsidP="00EE3D91">
      <w:pPr>
        <w:pStyle w:val="NormalWeb"/>
        <w:shd w:val="clear" w:color="auto" w:fill="FFFFFF"/>
        <w:spacing w:before="0" w:beforeAutospacing="0" w:after="0" w:afterAutospacing="0" w:line="360" w:lineRule="auto"/>
        <w:jc w:val="center"/>
      </w:pPr>
      <w:r>
        <w:t>Fonte: Próprio autor, 2017.</w:t>
      </w:r>
    </w:p>
    <w:p w:rsidR="00D6176F" w:rsidRDefault="00D6176F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:rsidR="005E0080" w:rsidRDefault="00D6176F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lastRenderedPageBreak/>
        <w:tab/>
        <w:t>A partir dos dados a</w:t>
      </w:r>
      <w:r w:rsidR="00FF7ED5">
        <w:t>nteriores</w:t>
      </w:r>
      <w:r>
        <w:t xml:space="preserve">, podemos perceber que a maioria dos estudantes, </w:t>
      </w:r>
      <w:proofErr w:type="gramStart"/>
      <w:r>
        <w:t>cerca de 91</w:t>
      </w:r>
      <w:proofErr w:type="gramEnd"/>
      <w:r>
        <w:t xml:space="preserve">%, possui telefone celular, número superior ao quantitativo de estudantes que possuem computador. </w:t>
      </w:r>
      <w:r w:rsidR="00CD533D">
        <w:t xml:space="preserve">No entanto estes aparelhos não podem adentrar </w:t>
      </w:r>
      <w:r w:rsidR="009375C8">
        <w:t>a</w:t>
      </w:r>
      <w:r w:rsidR="00CD533D">
        <w:t xml:space="preserve">s </w:t>
      </w:r>
      <w:r w:rsidR="009375C8">
        <w:t>salas de aula por determinação do Estado, em que, por meio da lei Nº 8.949 de 03 de novembro de 2009 estabelece que “f</w:t>
      </w:r>
      <w:r w:rsidR="009375C8" w:rsidRPr="009375C8">
        <w:t>ica proibido o uso de telefone celular dentro das salas de aulas nas Escolas da Rede Pública Estadual, neste Estado.</w:t>
      </w:r>
      <w:r w:rsidR="009375C8">
        <w:t>” (PARAÍBA, 2009, p. 1).</w:t>
      </w:r>
    </w:p>
    <w:p w:rsidR="00FF7ED5" w:rsidRDefault="00CD533D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</w:r>
      <w:r w:rsidR="00135BDC">
        <w:t>Com relação ao uso dos computadores em atividades de ensino e aprendizagem, o</w:t>
      </w:r>
      <w:r>
        <w:t xml:space="preserve">s Parâmetros Curriculares Nacionais </w:t>
      </w:r>
      <w:r w:rsidR="00135BDC">
        <w:t>para o terceiro e quarto ciclos do Ensino Fundamental sinalizam que os “p</w:t>
      </w:r>
      <w:r w:rsidR="00135BDC" w:rsidRPr="00135BDC">
        <w:t>rocessos e fenômenos complexos, tradicionalmente trabalhados mediante desenhos e diagramas, poderão ser estudados com o auxílio de computadores e da Internet, complementos importantes no trabalho experimental dos estudantes</w:t>
      </w:r>
      <w:r w:rsidR="00135BDC">
        <w:t>” (BRASIL, 1998, p. 130)</w:t>
      </w:r>
      <w:r w:rsidR="00135BDC" w:rsidRPr="00135BDC">
        <w:t>.</w:t>
      </w:r>
      <w:r w:rsidR="00135BDC">
        <w:t xml:space="preserve"> </w:t>
      </w:r>
    </w:p>
    <w:p w:rsidR="00F33AA1" w:rsidRDefault="00135BDC" w:rsidP="00FF7ED5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As atividades e programações didáticas desta natureza são facilitadas quando o/a aprendiz tem acesso a computadores para além da </w:t>
      </w:r>
      <w:r w:rsidR="009375C8">
        <w:t>Escola</w:t>
      </w:r>
      <w:r>
        <w:t xml:space="preserve"> o que simplifica e potencializa as ações </w:t>
      </w:r>
      <w:r w:rsidR="00301BA1">
        <w:t>didático-</w:t>
      </w:r>
      <w:r>
        <w:t>pedagógicas</w:t>
      </w:r>
      <w:r w:rsidR="00301BA1">
        <w:t xml:space="preserve">, principalmente quando associado </w:t>
      </w:r>
      <w:r w:rsidR="009375C8">
        <w:t>à</w:t>
      </w:r>
      <w:r w:rsidR="00301BA1">
        <w:t xml:space="preserve"> conexão com a rede mundial de computadores, item da interrogativa seguinte. </w:t>
      </w:r>
    </w:p>
    <w:p w:rsidR="00F33AA1" w:rsidRPr="00F33AA1" w:rsidRDefault="00F33AA1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10"/>
        </w:rPr>
      </w:pPr>
    </w:p>
    <w:p w:rsidR="00F33AA1" w:rsidRPr="00F33AA1" w:rsidRDefault="00F33AA1" w:rsidP="00F33AA1">
      <w:pPr>
        <w:pStyle w:val="NormalWeb"/>
        <w:shd w:val="clear" w:color="auto" w:fill="FFFFFF"/>
        <w:spacing w:before="0" w:beforeAutospacing="0" w:after="0" w:afterAutospacing="0" w:line="360" w:lineRule="auto"/>
        <w:jc w:val="center"/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757E8C8" wp14:editId="028A35FF">
            <wp:simplePos x="0" y="0"/>
            <wp:positionH relativeFrom="column">
              <wp:posOffset>1158240</wp:posOffset>
            </wp:positionH>
            <wp:positionV relativeFrom="paragraph">
              <wp:posOffset>191770</wp:posOffset>
            </wp:positionV>
            <wp:extent cx="3298190" cy="1807210"/>
            <wp:effectExtent l="0" t="0" r="0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sso a n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D49">
        <w:rPr>
          <w:b/>
        </w:rPr>
        <w:t>Figura</w:t>
      </w:r>
      <w:r>
        <w:rPr>
          <w:b/>
        </w:rPr>
        <w:t xml:space="preserve"> 2. </w:t>
      </w:r>
      <w:r>
        <w:t>Resposta dos/as discentes sobre acesso a internet.</w:t>
      </w:r>
    </w:p>
    <w:p w:rsidR="003226A9" w:rsidRDefault="003226A9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736DA0" w:rsidRDefault="00736DA0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736DA0" w:rsidRDefault="00736DA0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736DA0" w:rsidRDefault="00736DA0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EF4634" w:rsidRDefault="00EF4634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EF4634" w:rsidRDefault="00EF4634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EF4634" w:rsidRDefault="00EF4634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F33AA1" w:rsidRDefault="00F33AA1" w:rsidP="00F33AA1">
      <w:pPr>
        <w:pStyle w:val="NormalWeb"/>
        <w:shd w:val="clear" w:color="auto" w:fill="FFFFFF"/>
        <w:spacing w:before="0" w:beforeAutospacing="0" w:after="0" w:afterAutospacing="0" w:line="360" w:lineRule="auto"/>
        <w:ind w:left="2124" w:firstLine="708"/>
      </w:pPr>
      <w:r>
        <w:t>Fonte: Próprio autor, 2017.</w:t>
      </w:r>
    </w:p>
    <w:p w:rsidR="00EF4634" w:rsidRDefault="006832FA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rPr>
          <w:b/>
        </w:rPr>
        <w:tab/>
      </w:r>
      <w:r>
        <w:t>Quanto aos dados de acesso a internet, podemos observar que mais de 90% da turma possui o sinal ou tem facilidade para usa-lo. Esta informação contrasta com o número de estudantes que possui</w:t>
      </w:r>
      <w:r w:rsidR="005B415B">
        <w:t xml:space="preserve"> computador em casa. Deste modo, </w:t>
      </w:r>
      <w:r>
        <w:t>pode</w:t>
      </w:r>
      <w:r w:rsidR="005B415B">
        <w:t>mos</w:t>
      </w:r>
      <w:r>
        <w:t xml:space="preserve"> inferir que a maioria utiliza a internet via aparelhos celulares</w:t>
      </w:r>
      <w:r w:rsidR="00B431FD">
        <w:t xml:space="preserve">. </w:t>
      </w:r>
      <w:r w:rsidR="005B415B">
        <w:t xml:space="preserve">Vale salientar que todos os/as estudantes residem na zona urbana </w:t>
      </w:r>
      <w:r w:rsidR="0018513D">
        <w:t xml:space="preserve">do município </w:t>
      </w:r>
      <w:r w:rsidR="005B415B">
        <w:t>o que, de certo modo, facilita a conexão com o sinal.</w:t>
      </w:r>
    </w:p>
    <w:p w:rsidR="0018513D" w:rsidRDefault="0018513D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  <w:t>Além destas asserções</w:t>
      </w:r>
      <w:r w:rsidR="00246606">
        <w:t xml:space="preserve">, podemos destacar que não consideramos o local </w:t>
      </w:r>
      <w:r>
        <w:t xml:space="preserve">onde se estabelecia o acesso, </w:t>
      </w:r>
      <w:r w:rsidR="00246606">
        <w:t>assim, não podemos afirmar se eles possuem internet em casa ou se a conexão é efetuada em outros ambientes.</w:t>
      </w:r>
    </w:p>
    <w:p w:rsidR="00246606" w:rsidRDefault="00246606" w:rsidP="0024660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lastRenderedPageBreak/>
        <w:t>Quando questionamos sobre a divisão da carga horária diária</w:t>
      </w:r>
      <w:r w:rsidR="004209E2">
        <w:t>, além das atividades escolares,</w:t>
      </w:r>
      <w:r>
        <w:t xml:space="preserve"> em função das </w:t>
      </w:r>
      <w:r w:rsidR="004209E2">
        <w:t>ocupações</w:t>
      </w:r>
      <w:r w:rsidR="0039284D">
        <w:t>:</w:t>
      </w:r>
      <w:r>
        <w:t xml:space="preserve"> “estudando”, “no celular”, “na internet”</w:t>
      </w:r>
      <w:r w:rsidR="0039284D">
        <w:t xml:space="preserve"> e </w:t>
      </w:r>
      <w:r>
        <w:t>“nas redes sociais”</w:t>
      </w:r>
      <w:r w:rsidR="0039284D">
        <w:t xml:space="preserve">; além das variadas respostas, foi possível a confecção dos gráficos que seguem, os quais refletem a porcentagem da fração horária do dia para cada tipo de atividade. </w:t>
      </w:r>
    </w:p>
    <w:p w:rsidR="00C57580" w:rsidRPr="004209E2" w:rsidRDefault="00C57580" w:rsidP="0024660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14"/>
        </w:rPr>
      </w:pPr>
    </w:p>
    <w:p w:rsidR="005B415B" w:rsidRPr="006832FA" w:rsidRDefault="00A34D49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rPr>
          <w:b/>
        </w:rPr>
        <w:t>Figura</w:t>
      </w:r>
      <w:r w:rsidR="00C57580">
        <w:rPr>
          <w:b/>
        </w:rPr>
        <w:t xml:space="preserve"> 3. </w:t>
      </w:r>
      <w:r w:rsidR="00C57580">
        <w:t>Atividades em função da carga horária</w:t>
      </w:r>
      <w:r w:rsidR="004209E2">
        <w:t xml:space="preserve"> além da Escola</w:t>
      </w:r>
      <w:r w:rsidR="00C57580">
        <w:t>. a) Estudando; b) No Celular; c) Na Internet; d) Nas Redes Sociais.</w:t>
      </w:r>
    </w:p>
    <w:p w:rsidR="00C57580" w:rsidRDefault="00C57580" w:rsidP="00C5758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FA2CD81" wp14:editId="53B2BD48">
            <wp:extent cx="5760085" cy="33274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dnado i nternet celular redes sociai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80" w:rsidRDefault="00C57580" w:rsidP="00C57580">
      <w:pPr>
        <w:pStyle w:val="NormalWeb"/>
        <w:shd w:val="clear" w:color="auto" w:fill="FFFFFF"/>
        <w:spacing w:before="0" w:beforeAutospacing="0" w:after="0" w:afterAutospacing="0" w:line="360" w:lineRule="auto"/>
        <w:jc w:val="center"/>
      </w:pPr>
      <w:r>
        <w:t>Fonte: Próprio autor, 2017.</w:t>
      </w:r>
    </w:p>
    <w:p w:rsidR="00C57580" w:rsidRPr="000217BE" w:rsidRDefault="00C57580" w:rsidP="00C5758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sz w:val="10"/>
        </w:rPr>
      </w:pPr>
    </w:p>
    <w:p w:rsidR="00EF4634" w:rsidRDefault="004209E2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4209E2">
        <w:tab/>
        <w:t>A partir destes resultados</w:t>
      </w:r>
      <w:r w:rsidR="000217BE">
        <w:t>,</w:t>
      </w:r>
      <w:r w:rsidRPr="004209E2">
        <w:t xml:space="preserve"> podemos observar que </w:t>
      </w:r>
      <w:r w:rsidR="000217BE">
        <w:t xml:space="preserve">34% dos/as aprendizes passam cerca de 1 a 2 horas ou de 2 a 5 horas estudando, em oposição a 37%, 34% e 31% dos que utilizam 10 ou mais horas do seu tempo, além da sala da aula, para utilizarem a internet, celular e redes sociais, respectivamente. </w:t>
      </w:r>
    </w:p>
    <w:p w:rsidR="00380E7A" w:rsidRDefault="000217BE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tab/>
        <w:t>No entanto, o dado mais expressivo nestes resultados é que 29% dos/as pesquisados/as afirmaram que nunca estudam em seu tempo livre</w:t>
      </w:r>
      <w:r w:rsidR="001C2D41">
        <w:t>, ou seja, ainda existe um grande desinteresse desse público em realizar tal atividade, entretanto, não compete ao escopo desta pesquisa elencar as razões que levam a esta prática</w:t>
      </w:r>
      <w:r w:rsidR="00A34D49">
        <w:t>.</w:t>
      </w:r>
    </w:p>
    <w:p w:rsidR="00A34D49" w:rsidRDefault="00A34D49" w:rsidP="00380E7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 Podemos refletir</w:t>
      </w:r>
      <w:r w:rsidR="001C2D41">
        <w:t xml:space="preserve"> também,</w:t>
      </w:r>
      <w:r>
        <w:t xml:space="preserve"> que estes/as discentes passam mais tempo utilizando as redes sociais </w:t>
      </w:r>
      <w:r w:rsidR="001C2D41">
        <w:t>do que</w:t>
      </w:r>
      <w:r>
        <w:t xml:space="preserve"> estudando, isso pode ser associado à atratividade dessas mídias em dissonância </w:t>
      </w:r>
      <w:r w:rsidR="001C2D41">
        <w:t xml:space="preserve">das atividades, conteúdos ou abordagens realizadas no ambiente escolar. </w:t>
      </w:r>
    </w:p>
    <w:p w:rsidR="00EF4634" w:rsidRDefault="00C10767" w:rsidP="001D1EF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0"/>
        </w:rPr>
        <w:t>Para tanto, não buscamos a criação de dicotomias, mídias digitais e sala de aula, mas a</w:t>
      </w:r>
      <w:r w:rsidRPr="008556F7">
        <w:rPr>
          <w:rFonts w:ascii="Times New Roman" w:hAnsi="Times New Roman"/>
          <w:sz w:val="24"/>
          <w:szCs w:val="20"/>
        </w:rPr>
        <w:t xml:space="preserve"> compree</w:t>
      </w:r>
      <w:r>
        <w:rPr>
          <w:rFonts w:ascii="Times New Roman" w:hAnsi="Times New Roman"/>
          <w:sz w:val="24"/>
          <w:szCs w:val="20"/>
        </w:rPr>
        <w:t>nsão</w:t>
      </w:r>
      <w:r w:rsidRPr="008556F7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>d</w:t>
      </w:r>
      <w:r w:rsidRPr="008556F7">
        <w:rPr>
          <w:rFonts w:ascii="Times New Roman" w:hAnsi="Times New Roman"/>
          <w:sz w:val="24"/>
          <w:szCs w:val="20"/>
        </w:rPr>
        <w:t xml:space="preserve">a escola como espaço sociocultural, onde os sujeitos do processo de ensino e </w:t>
      </w:r>
      <w:r w:rsidRPr="008556F7">
        <w:rPr>
          <w:rFonts w:ascii="Times New Roman" w:hAnsi="Times New Roman"/>
          <w:sz w:val="24"/>
          <w:szCs w:val="20"/>
        </w:rPr>
        <w:lastRenderedPageBreak/>
        <w:t xml:space="preserve">aprendizagem, como enfatiza </w:t>
      </w:r>
      <w:proofErr w:type="spellStart"/>
      <w:r w:rsidRPr="008556F7">
        <w:rPr>
          <w:rFonts w:ascii="Times New Roman" w:hAnsi="Times New Roman"/>
          <w:sz w:val="24"/>
          <w:szCs w:val="20"/>
        </w:rPr>
        <w:t>Dayrell</w:t>
      </w:r>
      <w:proofErr w:type="spellEnd"/>
      <w:r w:rsidRPr="008556F7">
        <w:rPr>
          <w:rFonts w:ascii="Times New Roman" w:hAnsi="Times New Roman"/>
          <w:sz w:val="24"/>
          <w:szCs w:val="20"/>
        </w:rPr>
        <w:t xml:space="preserve"> (1996, p. 137), “não são apenas agentes passivos diante da estrutura. Ao contrário, trata-se de uma relação em contínua construção, de conflitos e negociações em função de circunstâncias determinadas</w:t>
      </w:r>
      <w:r>
        <w:rPr>
          <w:rFonts w:ascii="Times New Roman" w:hAnsi="Times New Roman"/>
          <w:sz w:val="24"/>
          <w:szCs w:val="20"/>
        </w:rPr>
        <w:t xml:space="preserve">.” </w:t>
      </w:r>
      <w:r>
        <w:rPr>
          <w:rFonts w:ascii="Times New Roman" w:hAnsi="Times New Roman"/>
          <w:sz w:val="24"/>
          <w:szCs w:val="24"/>
        </w:rPr>
        <w:t>Neste sentido, ao entender-se o ambiente onde ocorrem as práticas educativas</w:t>
      </w:r>
      <w:r w:rsidR="001D1EF9">
        <w:rPr>
          <w:rFonts w:ascii="Times New Roman" w:hAnsi="Times New Roman"/>
          <w:sz w:val="24"/>
          <w:szCs w:val="24"/>
        </w:rPr>
        <w:t xml:space="preserve"> pode-se</w:t>
      </w:r>
      <w:r>
        <w:rPr>
          <w:rFonts w:ascii="Times New Roman" w:hAnsi="Times New Roman"/>
          <w:sz w:val="24"/>
          <w:szCs w:val="24"/>
        </w:rPr>
        <w:t xml:space="preserve"> traçar estratégias para o trabalho docente em meio ao cenário observado, ou seja, </w:t>
      </w:r>
      <w:r w:rsidR="001D1EF9">
        <w:rPr>
          <w:rFonts w:ascii="Times New Roman" w:hAnsi="Times New Roman"/>
          <w:sz w:val="24"/>
          <w:szCs w:val="24"/>
        </w:rPr>
        <w:t>a associação das TICs em metodologias próprias de ensino e problematização.</w:t>
      </w:r>
    </w:p>
    <w:p w:rsidR="004574CB" w:rsidRPr="004574CB" w:rsidRDefault="004574CB" w:rsidP="001D1EF9">
      <w:pPr>
        <w:spacing w:after="0" w:line="360" w:lineRule="auto"/>
        <w:ind w:firstLine="708"/>
        <w:jc w:val="both"/>
        <w:rPr>
          <w:b/>
          <w:sz w:val="6"/>
        </w:rPr>
      </w:pPr>
    </w:p>
    <w:p w:rsidR="00791A7E" w:rsidRDefault="00791A7E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 xml:space="preserve">Conclusões </w:t>
      </w:r>
    </w:p>
    <w:p w:rsidR="004574CB" w:rsidRPr="004574CB" w:rsidRDefault="004574CB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4"/>
        </w:rPr>
      </w:pPr>
    </w:p>
    <w:p w:rsidR="00191884" w:rsidRDefault="00191884" w:rsidP="00191884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Este trabalho nos levou a refletir sobre a utilização das TICs no contexto vivencial dos</w:t>
      </w:r>
      <w:r>
        <w:rPr>
          <w:b/>
        </w:rPr>
        <w:t>/</w:t>
      </w:r>
      <w:r w:rsidRPr="00191884">
        <w:t>as estudantes do Ensino Fundamental</w:t>
      </w:r>
      <w:r>
        <w:t xml:space="preserve">. Percebemos, que o acesso às mídias digitais para este grupo de indivíduos é propício, o que facilita a </w:t>
      </w:r>
      <w:proofErr w:type="gramStart"/>
      <w:r>
        <w:t>implementação</w:t>
      </w:r>
      <w:proofErr w:type="gramEnd"/>
      <w:r>
        <w:t xml:space="preserve"> de metodologias que englobem estas tecnologias em favor da promoção de aprendizagens significativas. </w:t>
      </w:r>
    </w:p>
    <w:p w:rsidR="00191884" w:rsidRDefault="00191884" w:rsidP="00191884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Para tanto, é necessário que os/as docentes da Educação Básica esteja</w:t>
      </w:r>
      <w:r w:rsidR="003A4004">
        <w:t>m</w:t>
      </w:r>
      <w:r>
        <w:t xml:space="preserve"> </w:t>
      </w:r>
      <w:r w:rsidR="003A4004">
        <w:t>capacitados/as</w:t>
      </w:r>
      <w:r>
        <w:t xml:space="preserve"> para a execução efetiva de técnicas e </w:t>
      </w:r>
      <w:r w:rsidR="003A4004">
        <w:t>o uso de ferramentas</w:t>
      </w:r>
      <w:r w:rsidR="004574CB">
        <w:t>, atendendo desta forma,</w:t>
      </w:r>
      <w:r w:rsidR="003A4004">
        <w:t xml:space="preserve"> as necessidades impostas pelos conteúdos programáticos do currículo ora abordadas. </w:t>
      </w:r>
    </w:p>
    <w:p w:rsidR="003A4004" w:rsidRDefault="003A4004" w:rsidP="00191884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Vale destacar que existem inúmeras ferramentas computacionais e aplicativos para celular que possibilitam a abordagens de uma gama de informações contidas nos programas disciplinares. No entanto, existem impedimentos legais, como é o caso aqui mencionado, que dificultam a associação destas ferramentas em atividades de ensino formais.</w:t>
      </w:r>
    </w:p>
    <w:p w:rsidR="005F6233" w:rsidRDefault="003A4004" w:rsidP="004574CB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Por outro lado, existe a facilidade do acesso </w:t>
      </w:r>
      <w:r w:rsidR="004574CB">
        <w:t>às</w:t>
      </w:r>
      <w:r>
        <w:t xml:space="preserve"> mídias digitais pelos/as alunos/as </w:t>
      </w:r>
      <w:r w:rsidR="004574CB">
        <w:t>fora do espaço</w:t>
      </w:r>
      <w:r>
        <w:t xml:space="preserve"> escolar, o que pode propiciar a construção de ambientes digitais de aprendizagens, como por exemplo, blogs, grupos de redes sociais, </w:t>
      </w:r>
      <w:r w:rsidR="004574CB">
        <w:t xml:space="preserve">sites gratuitos dentre outras. Deste modo, pode-se vislumbrar a aplicação das TICs em atividades de estudo para além da sala de aula, favorecendo o espírito investigativo e promovendo ambientes de problematização e construção do conhecimento. </w:t>
      </w:r>
    </w:p>
    <w:p w:rsidR="004574CB" w:rsidRPr="004574CB" w:rsidRDefault="004574CB" w:rsidP="004574CB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8"/>
        </w:rPr>
      </w:pPr>
    </w:p>
    <w:p w:rsidR="00791A7E" w:rsidRDefault="00791A7E" w:rsidP="00791A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>Refer</w:t>
      </w:r>
      <w:r w:rsidR="00C57580">
        <w:rPr>
          <w:b/>
        </w:rPr>
        <w:t>ê</w:t>
      </w:r>
      <w:r>
        <w:rPr>
          <w:b/>
        </w:rPr>
        <w:t xml:space="preserve">ncias </w:t>
      </w:r>
    </w:p>
    <w:p w:rsidR="00F05DDC" w:rsidRDefault="00F05DDC" w:rsidP="00F05DDC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DDC">
        <w:rPr>
          <w:rFonts w:ascii="Times New Roman" w:eastAsia="Times New Roman" w:hAnsi="Times New Roman" w:cs="Times New Roman"/>
          <w:sz w:val="24"/>
          <w:szCs w:val="24"/>
          <w:lang w:eastAsia="pt-BR"/>
        </w:rPr>
        <w:t>BRASIL. Ministério da Educação (MEC</w:t>
      </w:r>
      <w:proofErr w:type="gramStart"/>
      <w:r w:rsidRPr="00F05DD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proofErr w:type="gramEnd"/>
      <w:r w:rsidRPr="00F05D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 Portal do MEC/ Secretaria de Educação Fundamental. </w:t>
      </w:r>
      <w:r w:rsidRPr="00F05DD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Parâmetros curriculares nacionais</w:t>
      </w:r>
      <w:r w:rsidRPr="00F05D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Ciências Naturais. Brasília-DF: MEC/ SEF, 1998. </w:t>
      </w:r>
      <w:proofErr w:type="gramStart"/>
      <w:r w:rsidRPr="00F05DDC">
        <w:rPr>
          <w:rFonts w:ascii="Times New Roman" w:eastAsia="Times New Roman" w:hAnsi="Times New Roman" w:cs="Times New Roman"/>
          <w:sz w:val="24"/>
          <w:szCs w:val="24"/>
          <w:lang w:eastAsia="pt-BR"/>
        </w:rPr>
        <w:t>p.</w:t>
      </w:r>
      <w:proofErr w:type="gramEnd"/>
      <w:r w:rsidRPr="00F05D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138. Disponível em: &lt;</w:t>
      </w:r>
      <w:hyperlink r:id="rId11" w:history="1">
        <w:r w:rsidRPr="00F05DDC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http://portal.mec.gov.br/seb/arquivos/pdf/ciencias.pdf</w:t>
        </w:r>
      </w:hyperlink>
      <w:r w:rsidRPr="00F05DDC">
        <w:rPr>
          <w:rFonts w:ascii="Times New Roman" w:eastAsia="Times New Roman" w:hAnsi="Times New Roman" w:cs="Times New Roman"/>
          <w:sz w:val="24"/>
          <w:szCs w:val="24"/>
          <w:lang w:eastAsia="pt-BR"/>
        </w:rPr>
        <w:t>&gt; Acesso em 20 de jan. 2017.</w:t>
      </w:r>
    </w:p>
    <w:p w:rsidR="00AD4D5A" w:rsidRPr="00F4171A" w:rsidRDefault="00AD4D5A" w:rsidP="00AD4D5A">
      <w:pPr>
        <w:jc w:val="both"/>
        <w:rPr>
          <w:rFonts w:ascii="Times New Roman" w:eastAsia="Times New Roman" w:hAnsi="Times New Roman"/>
          <w:b/>
          <w:sz w:val="24"/>
          <w:szCs w:val="30"/>
          <w:lang w:eastAsia="pt-BR"/>
        </w:rPr>
      </w:pPr>
      <w:r>
        <w:rPr>
          <w:rFonts w:ascii="Times New Roman" w:eastAsia="Times New Roman" w:hAnsi="Times New Roman"/>
          <w:sz w:val="24"/>
          <w:szCs w:val="30"/>
          <w:lang w:eastAsia="pt-BR"/>
        </w:rPr>
        <w:t xml:space="preserve">DAYRELL, J. </w:t>
      </w:r>
      <w:r>
        <w:rPr>
          <w:rFonts w:ascii="Times New Roman" w:eastAsia="Times New Roman" w:hAnsi="Times New Roman"/>
          <w:b/>
          <w:sz w:val="24"/>
          <w:szCs w:val="30"/>
          <w:lang w:eastAsia="pt-BR"/>
        </w:rPr>
        <w:t>Múltiplos olhares sobre Educação e Cultura</w:t>
      </w:r>
      <w:r>
        <w:rPr>
          <w:rFonts w:ascii="Times New Roman" w:eastAsia="Times New Roman" w:hAnsi="Times New Roman"/>
          <w:sz w:val="24"/>
          <w:szCs w:val="30"/>
          <w:lang w:eastAsia="pt-BR"/>
        </w:rPr>
        <w:t>. – Belo Horizonte: ed. UFMG, 1996. 194 p.</w:t>
      </w:r>
      <w:r>
        <w:rPr>
          <w:rFonts w:ascii="Times New Roman" w:eastAsia="Times New Roman" w:hAnsi="Times New Roman"/>
          <w:b/>
          <w:sz w:val="24"/>
          <w:szCs w:val="30"/>
          <w:lang w:eastAsia="pt-BR"/>
        </w:rPr>
        <w:t xml:space="preserve"> </w:t>
      </w:r>
    </w:p>
    <w:p w:rsidR="00C57580" w:rsidRPr="00F05DDC" w:rsidRDefault="00C57580" w:rsidP="00F05D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DDC">
        <w:rPr>
          <w:rFonts w:ascii="Times New Roman" w:hAnsi="Times New Roman" w:cs="Times New Roman"/>
          <w:caps/>
          <w:sz w:val="24"/>
          <w:szCs w:val="24"/>
        </w:rPr>
        <w:t xml:space="preserve">DELORS, J. </w:t>
      </w:r>
      <w:r w:rsidRPr="00F05DDC">
        <w:rPr>
          <w:rFonts w:ascii="Times New Roman" w:hAnsi="Times New Roman" w:cs="Times New Roman"/>
          <w:b/>
          <w:caps/>
          <w:sz w:val="24"/>
          <w:szCs w:val="24"/>
        </w:rPr>
        <w:t>E</w:t>
      </w:r>
      <w:r w:rsidRPr="00F05DDC">
        <w:rPr>
          <w:rFonts w:ascii="Times New Roman" w:hAnsi="Times New Roman" w:cs="Times New Roman"/>
          <w:b/>
          <w:sz w:val="24"/>
          <w:szCs w:val="24"/>
        </w:rPr>
        <w:t>ducação</w:t>
      </w:r>
      <w:r w:rsidRPr="00F05DDC">
        <w:rPr>
          <w:rFonts w:ascii="Times New Roman" w:hAnsi="Times New Roman" w:cs="Times New Roman"/>
          <w:b/>
          <w:caps/>
          <w:sz w:val="24"/>
          <w:szCs w:val="24"/>
        </w:rPr>
        <w:t xml:space="preserve">: </w:t>
      </w:r>
      <w:r w:rsidRPr="00F05DDC">
        <w:rPr>
          <w:rFonts w:ascii="Times New Roman" w:hAnsi="Times New Roman" w:cs="Times New Roman"/>
          <w:sz w:val="24"/>
          <w:szCs w:val="24"/>
        </w:rPr>
        <w:t>um tesouro a descobrir</w:t>
      </w:r>
      <w:r w:rsidRPr="00F05DDC">
        <w:rPr>
          <w:rFonts w:ascii="Times New Roman" w:hAnsi="Times New Roman" w:cs="Times New Roman"/>
          <w:caps/>
          <w:sz w:val="24"/>
          <w:szCs w:val="24"/>
        </w:rPr>
        <w:t xml:space="preserve">. – 2. </w:t>
      </w:r>
      <w:proofErr w:type="gramStart"/>
      <w:r w:rsidRPr="00F05DDC">
        <w:rPr>
          <w:rFonts w:ascii="Times New Roman" w:hAnsi="Times New Roman" w:cs="Times New Roman"/>
          <w:sz w:val="24"/>
          <w:szCs w:val="24"/>
        </w:rPr>
        <w:t>ed</w:t>
      </w:r>
      <w:r w:rsidRPr="00F05DDC">
        <w:rPr>
          <w:rFonts w:ascii="Times New Roman" w:hAnsi="Times New Roman" w:cs="Times New Roman"/>
          <w:caps/>
          <w:sz w:val="24"/>
          <w:szCs w:val="24"/>
        </w:rPr>
        <w:t>.</w:t>
      </w:r>
      <w:proofErr w:type="gramEnd"/>
      <w:r w:rsidRPr="00F05DDC">
        <w:rPr>
          <w:rFonts w:ascii="Times New Roman" w:hAnsi="Times New Roman" w:cs="Times New Roman"/>
          <w:caps/>
          <w:sz w:val="24"/>
          <w:szCs w:val="24"/>
        </w:rPr>
        <w:t xml:space="preserve"> S</w:t>
      </w:r>
      <w:r w:rsidRPr="00F05DDC">
        <w:rPr>
          <w:rFonts w:ascii="Times New Roman" w:hAnsi="Times New Roman" w:cs="Times New Roman"/>
          <w:sz w:val="24"/>
          <w:szCs w:val="24"/>
        </w:rPr>
        <w:t>ão</w:t>
      </w:r>
      <w:r w:rsidRPr="00F05DDC">
        <w:rPr>
          <w:rFonts w:ascii="Times New Roman" w:hAnsi="Times New Roman" w:cs="Times New Roman"/>
          <w:caps/>
          <w:sz w:val="24"/>
          <w:szCs w:val="24"/>
        </w:rPr>
        <w:t xml:space="preserve"> P</w:t>
      </w:r>
      <w:r w:rsidRPr="00F05DDC">
        <w:rPr>
          <w:rFonts w:ascii="Times New Roman" w:hAnsi="Times New Roman" w:cs="Times New Roman"/>
          <w:sz w:val="24"/>
          <w:szCs w:val="24"/>
        </w:rPr>
        <w:t>aulo</w:t>
      </w:r>
      <w:r w:rsidRPr="00F05DDC">
        <w:rPr>
          <w:rFonts w:ascii="Times New Roman" w:hAnsi="Times New Roman" w:cs="Times New Roman"/>
          <w:caps/>
          <w:sz w:val="24"/>
          <w:szCs w:val="24"/>
        </w:rPr>
        <w:t>: C</w:t>
      </w:r>
      <w:r w:rsidRPr="00F05DDC">
        <w:rPr>
          <w:rFonts w:ascii="Times New Roman" w:hAnsi="Times New Roman" w:cs="Times New Roman"/>
          <w:sz w:val="24"/>
          <w:szCs w:val="24"/>
        </w:rPr>
        <w:t>ortez</w:t>
      </w:r>
      <w:r w:rsidRPr="00F05DDC">
        <w:rPr>
          <w:rFonts w:ascii="Times New Roman" w:hAnsi="Times New Roman" w:cs="Times New Roman"/>
          <w:caps/>
          <w:sz w:val="24"/>
          <w:szCs w:val="24"/>
        </w:rPr>
        <w:t>. B</w:t>
      </w:r>
      <w:r w:rsidRPr="00F05DDC">
        <w:rPr>
          <w:rFonts w:ascii="Times New Roman" w:hAnsi="Times New Roman" w:cs="Times New Roman"/>
          <w:sz w:val="24"/>
          <w:szCs w:val="24"/>
        </w:rPr>
        <w:t>rasília</w:t>
      </w:r>
      <w:r w:rsidRPr="00F05DDC">
        <w:rPr>
          <w:rFonts w:ascii="Times New Roman" w:hAnsi="Times New Roman" w:cs="Times New Roman"/>
          <w:caps/>
          <w:sz w:val="24"/>
          <w:szCs w:val="24"/>
        </w:rPr>
        <w:t xml:space="preserve">, DF: MEC/UNESCO, 2003. </w:t>
      </w:r>
      <w:r w:rsidRPr="00F05DDC">
        <w:rPr>
          <w:rFonts w:ascii="Times New Roman" w:hAnsi="Times New Roman" w:cs="Times New Roman"/>
          <w:sz w:val="24"/>
          <w:szCs w:val="24"/>
        </w:rPr>
        <w:t xml:space="preserve">Disponível em: </w:t>
      </w:r>
      <w:r w:rsidRPr="00F05DDC">
        <w:rPr>
          <w:rFonts w:ascii="Times New Roman" w:hAnsi="Times New Roman" w:cs="Times New Roman"/>
          <w:caps/>
          <w:sz w:val="24"/>
          <w:szCs w:val="24"/>
        </w:rPr>
        <w:lastRenderedPageBreak/>
        <w:t>&lt;</w:t>
      </w:r>
      <w:hyperlink r:id="rId12" w:history="1">
        <w:r w:rsidRPr="00F05DDC">
          <w:rPr>
            <w:rStyle w:val="Hyperlink"/>
            <w:rFonts w:ascii="Times New Roman" w:hAnsi="Times New Roman" w:cs="Times New Roman"/>
            <w:sz w:val="24"/>
            <w:szCs w:val="24"/>
          </w:rPr>
          <w:t>http://www.ia.ufrrj.br/ppgea/conteudo/t1sf/sandra/os-quatro-pilares-da-educacao.pdf</w:t>
        </w:r>
      </w:hyperlink>
      <w:r w:rsidRPr="00F05DDC">
        <w:rPr>
          <w:rFonts w:ascii="Times New Roman" w:hAnsi="Times New Roman" w:cs="Times New Roman"/>
          <w:sz w:val="24"/>
          <w:szCs w:val="24"/>
        </w:rPr>
        <w:t>&gt; Acesso em: 12 de mar. 2017.</w:t>
      </w:r>
    </w:p>
    <w:p w:rsidR="00F05DDC" w:rsidRDefault="00F05DDC" w:rsidP="00F05DDC">
      <w:pPr>
        <w:pStyle w:val="NormalWeb"/>
        <w:shd w:val="clear" w:color="auto" w:fill="FFFFFF"/>
        <w:spacing w:before="0" w:beforeAutospacing="0" w:after="120" w:afterAutospacing="0" w:line="276" w:lineRule="auto"/>
        <w:jc w:val="both"/>
      </w:pPr>
      <w:r w:rsidRPr="00F05DDC">
        <w:t xml:space="preserve">OLIVEIRA, C.; MOURA, S. P.; SOUSA, E. R. TIC’S na Educação: a utilização das tecnologias da informação e comunicação na aprendizagem do aluno. </w:t>
      </w:r>
      <w:r w:rsidRPr="00F05DDC">
        <w:rPr>
          <w:b/>
        </w:rPr>
        <w:t>Pedagogia em Ação</w:t>
      </w:r>
      <w:r w:rsidRPr="00F05DDC">
        <w:t xml:space="preserve">, v.7, n.1, 2015. </w:t>
      </w:r>
    </w:p>
    <w:p w:rsidR="00F05DDC" w:rsidRPr="00F05DDC" w:rsidRDefault="00F05DDC" w:rsidP="00F05DDC">
      <w:pPr>
        <w:pStyle w:val="NormalWeb"/>
        <w:shd w:val="clear" w:color="auto" w:fill="FFFFFF"/>
        <w:spacing w:before="0" w:beforeAutospacing="0" w:after="120" w:afterAutospacing="0" w:line="276" w:lineRule="auto"/>
        <w:jc w:val="both"/>
      </w:pPr>
      <w:r>
        <w:t xml:space="preserve">PARAÍBA. </w:t>
      </w:r>
      <w:r w:rsidRPr="00F05DDC">
        <w:t>Lei</w:t>
      </w:r>
      <w:r>
        <w:t xml:space="preserve"> Nº </w:t>
      </w:r>
      <w:r w:rsidRPr="00F05DDC">
        <w:t>8.949, De 03 De Novembro De 2009.</w:t>
      </w:r>
      <w:r>
        <w:t xml:space="preserve"> </w:t>
      </w:r>
      <w:r w:rsidRPr="00F05DDC">
        <w:rPr>
          <w:b/>
        </w:rPr>
        <w:t>Diário Oficial</w:t>
      </w:r>
      <w:r>
        <w:t>. Estado da Paraíba.</w:t>
      </w:r>
    </w:p>
    <w:p w:rsidR="00C57580" w:rsidRPr="00F05DDC" w:rsidRDefault="00C57580" w:rsidP="00F05DDC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DDC">
        <w:rPr>
          <w:rFonts w:ascii="Times New Roman" w:hAnsi="Times New Roman" w:cs="Times New Roman"/>
          <w:sz w:val="24"/>
          <w:szCs w:val="24"/>
        </w:rPr>
        <w:t xml:space="preserve">PRODANOV, C. C.; FREITAS, E. C. </w:t>
      </w:r>
      <w:r w:rsidRPr="00F05DDC">
        <w:rPr>
          <w:rFonts w:ascii="Times New Roman" w:hAnsi="Times New Roman" w:cs="Times New Roman"/>
          <w:b/>
          <w:sz w:val="24"/>
          <w:szCs w:val="24"/>
        </w:rPr>
        <w:t>Metodologia do trabalho científico:</w:t>
      </w:r>
      <w:r w:rsidRPr="00F05DDC">
        <w:rPr>
          <w:rFonts w:ascii="Times New Roman" w:hAnsi="Times New Roman" w:cs="Times New Roman"/>
          <w:sz w:val="24"/>
          <w:szCs w:val="24"/>
        </w:rPr>
        <w:t xml:space="preserve"> métodos e técnicas da pesquisa e do trabalho acadêmico. – 2. </w:t>
      </w:r>
      <w:proofErr w:type="gramStart"/>
      <w:r w:rsidRPr="00F05DDC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F05DDC">
        <w:rPr>
          <w:rFonts w:ascii="Times New Roman" w:hAnsi="Times New Roman" w:cs="Times New Roman"/>
          <w:sz w:val="24"/>
          <w:szCs w:val="24"/>
        </w:rPr>
        <w:t xml:space="preserve"> – Novo Hamburgo: </w:t>
      </w:r>
      <w:proofErr w:type="spellStart"/>
      <w:r w:rsidRPr="00F05DDC">
        <w:rPr>
          <w:rFonts w:ascii="Times New Roman" w:hAnsi="Times New Roman" w:cs="Times New Roman"/>
          <w:sz w:val="24"/>
          <w:szCs w:val="24"/>
        </w:rPr>
        <w:t>Feevale</w:t>
      </w:r>
      <w:proofErr w:type="spellEnd"/>
      <w:r w:rsidRPr="00F05DDC">
        <w:rPr>
          <w:rFonts w:ascii="Times New Roman" w:hAnsi="Times New Roman" w:cs="Times New Roman"/>
          <w:sz w:val="24"/>
          <w:szCs w:val="24"/>
        </w:rPr>
        <w:t>, 2013.</w:t>
      </w:r>
    </w:p>
    <w:p w:rsidR="00F05DDC" w:rsidRPr="00F05DDC" w:rsidRDefault="00F05DDC" w:rsidP="00F05DDC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DDC">
        <w:rPr>
          <w:rFonts w:ascii="Times New Roman" w:hAnsi="Times New Roman" w:cs="Times New Roman"/>
          <w:sz w:val="24"/>
          <w:szCs w:val="24"/>
        </w:rPr>
        <w:t xml:space="preserve">SILVA, L. H. (org.). </w:t>
      </w:r>
      <w:r w:rsidRPr="00F05DDC">
        <w:rPr>
          <w:rFonts w:ascii="Times New Roman" w:hAnsi="Times New Roman" w:cs="Times New Roman"/>
          <w:b/>
          <w:sz w:val="24"/>
          <w:szCs w:val="24"/>
        </w:rPr>
        <w:t>A Escola Cidadã no Contexto da Globalização</w:t>
      </w:r>
      <w:r w:rsidRPr="00F05DDC">
        <w:rPr>
          <w:rFonts w:ascii="Times New Roman" w:hAnsi="Times New Roman" w:cs="Times New Roman"/>
          <w:sz w:val="24"/>
          <w:szCs w:val="24"/>
        </w:rPr>
        <w:t xml:space="preserve">. – 3. </w:t>
      </w:r>
      <w:proofErr w:type="gramStart"/>
      <w:r w:rsidRPr="00F05DDC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F05DDC">
        <w:rPr>
          <w:rFonts w:ascii="Times New Roman" w:hAnsi="Times New Roman" w:cs="Times New Roman"/>
          <w:sz w:val="24"/>
          <w:szCs w:val="24"/>
        </w:rPr>
        <w:t xml:space="preserve"> – Petrópolis- RJ: Editora Vozes, 1999.</w:t>
      </w:r>
    </w:p>
    <w:p w:rsidR="00F05DDC" w:rsidRPr="00F05DDC" w:rsidRDefault="00F05DDC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sectPr w:rsidR="00F05DDC" w:rsidRPr="00F05DDC" w:rsidSect="00791A7E">
      <w:headerReference w:type="default" r:id="rId13"/>
      <w:footerReference w:type="default" r:id="rId14"/>
      <w:pgSz w:w="11906" w:h="16838"/>
      <w:pgMar w:top="1701" w:right="1134" w:bottom="1134" w:left="1701" w:header="0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3E3" w:rsidRDefault="009453E3" w:rsidP="007F6763">
      <w:pPr>
        <w:spacing w:after="0" w:line="240" w:lineRule="auto"/>
      </w:pPr>
      <w:r>
        <w:separator/>
      </w:r>
    </w:p>
  </w:endnote>
  <w:endnote w:type="continuationSeparator" w:id="0">
    <w:p w:rsidR="009453E3" w:rsidRDefault="009453E3" w:rsidP="007F6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etr415 Blk BT">
    <w:altName w:val="Segoe UI Semibold"/>
    <w:charset w:val="00"/>
    <w:family w:val="swiss"/>
    <w:pitch w:val="variable"/>
    <w:sig w:usb0="00000001" w:usb1="1000204A" w:usb2="00000000" w:usb3="00000000" w:csb0="00000011" w:csb1="00000000"/>
  </w:font>
  <w:font w:name="Clarendon Blk BT">
    <w:altName w:val="Sitka Small"/>
    <w:charset w:val="00"/>
    <w:family w:val="roman"/>
    <w:pitch w:val="variable"/>
    <w:sig w:usb0="00000001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019" w:rsidRDefault="00CD533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A0A7273" wp14:editId="5DD58D40">
          <wp:simplePos x="0" y="0"/>
          <wp:positionH relativeFrom="column">
            <wp:posOffset>-1061085</wp:posOffset>
          </wp:positionH>
          <wp:positionV relativeFrom="paragraph">
            <wp:posOffset>-956310</wp:posOffset>
          </wp:positionV>
          <wp:extent cx="7557135" cy="1487805"/>
          <wp:effectExtent l="0" t="0" r="5715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pa a4 epembordainferi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487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2019" w:rsidRDefault="009453E3" w:rsidP="00272019">
    <w:pPr>
      <w:pStyle w:val="Rodap"/>
      <w:ind w:left="-709" w:right="-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3E3" w:rsidRDefault="009453E3" w:rsidP="007F6763">
      <w:pPr>
        <w:spacing w:after="0" w:line="240" w:lineRule="auto"/>
      </w:pPr>
      <w:r>
        <w:separator/>
      </w:r>
    </w:p>
  </w:footnote>
  <w:footnote w:type="continuationSeparator" w:id="0">
    <w:p w:rsidR="009453E3" w:rsidRDefault="009453E3" w:rsidP="007F6763">
      <w:pPr>
        <w:spacing w:after="0" w:line="240" w:lineRule="auto"/>
      </w:pPr>
      <w:r>
        <w:continuationSeparator/>
      </w:r>
    </w:p>
  </w:footnote>
  <w:footnote w:id="1">
    <w:p w:rsidR="005B415B" w:rsidRDefault="005B415B" w:rsidP="0018513D">
      <w:pPr>
        <w:pStyle w:val="Textodenotaderodap"/>
        <w:spacing w:line="276" w:lineRule="auto"/>
        <w:jc w:val="both"/>
        <w:rPr>
          <w:rFonts w:ascii="Times New Roman" w:hAnsi="Times New Roman" w:cs="Times New Roman"/>
        </w:rPr>
      </w:pPr>
      <w:r w:rsidRPr="0018513D">
        <w:rPr>
          <w:rStyle w:val="Refdenotaderodap"/>
          <w:rFonts w:ascii="Times New Roman" w:hAnsi="Times New Roman" w:cs="Times New Roman"/>
        </w:rPr>
        <w:footnoteRef/>
      </w:r>
      <w:r w:rsidRPr="0018513D">
        <w:rPr>
          <w:rFonts w:ascii="Times New Roman" w:hAnsi="Times New Roman" w:cs="Times New Roman"/>
        </w:rPr>
        <w:t xml:space="preserve"> </w:t>
      </w:r>
      <w:r w:rsidRPr="0018513D">
        <w:rPr>
          <w:rFonts w:ascii="Times New Roman" w:hAnsi="Times New Roman" w:cs="Times New Roman"/>
          <w:i/>
        </w:rPr>
        <w:t>Universidade Federal de Campina Grande, Centro de Formação de Professores, Campus Cajazeiras-PB</w:t>
      </w:r>
      <w:r w:rsidRPr="0018513D">
        <w:rPr>
          <w:rFonts w:ascii="Times New Roman" w:hAnsi="Times New Roman" w:cs="Times New Roman"/>
        </w:rPr>
        <w:t xml:space="preserve">, </w:t>
      </w:r>
      <w:hyperlink r:id="rId1" w:history="1">
        <w:r w:rsidRPr="0018513D">
          <w:rPr>
            <w:rStyle w:val="Hyperlink"/>
            <w:rFonts w:ascii="Times New Roman" w:hAnsi="Times New Roman" w:cs="Times New Roman"/>
          </w:rPr>
          <w:t>guilhermesa1996@hotmail.com</w:t>
        </w:r>
      </w:hyperlink>
      <w:r w:rsidRPr="0018513D">
        <w:rPr>
          <w:rFonts w:ascii="Times New Roman" w:hAnsi="Times New Roman" w:cs="Times New Roman"/>
        </w:rPr>
        <w:t xml:space="preserve">. </w:t>
      </w:r>
    </w:p>
    <w:p w:rsidR="0018513D" w:rsidRPr="0018513D" w:rsidRDefault="0018513D" w:rsidP="0018513D">
      <w:pPr>
        <w:pStyle w:val="Textodenotaderodap"/>
        <w:spacing w:line="276" w:lineRule="auto"/>
        <w:jc w:val="both"/>
        <w:rPr>
          <w:rFonts w:ascii="Times New Roman" w:hAnsi="Times New Roman" w:cs="Times New Roman"/>
          <w:sz w:val="10"/>
        </w:rPr>
      </w:pPr>
    </w:p>
  </w:footnote>
  <w:footnote w:id="2">
    <w:p w:rsidR="005B415B" w:rsidRDefault="005B415B" w:rsidP="0018513D">
      <w:pPr>
        <w:pStyle w:val="Textodenotaderodap"/>
        <w:spacing w:line="276" w:lineRule="auto"/>
        <w:jc w:val="both"/>
      </w:pPr>
      <w:r w:rsidRPr="0018513D">
        <w:rPr>
          <w:rStyle w:val="Refdenotaderodap"/>
          <w:rFonts w:ascii="Times New Roman" w:hAnsi="Times New Roman" w:cs="Times New Roman"/>
        </w:rPr>
        <w:footnoteRef/>
      </w:r>
      <w:r w:rsidRPr="0018513D">
        <w:rPr>
          <w:rFonts w:ascii="Times New Roman" w:hAnsi="Times New Roman" w:cs="Times New Roman"/>
        </w:rPr>
        <w:t xml:space="preserve"> </w:t>
      </w:r>
      <w:r w:rsidRPr="0018513D">
        <w:rPr>
          <w:rFonts w:ascii="Times New Roman" w:hAnsi="Times New Roman" w:cs="Times New Roman"/>
          <w:i/>
        </w:rPr>
        <w:t>Universidade Federal de Campina Grande, Centro de Formação de Professores, Campus Cajazeiras-PB</w:t>
      </w:r>
      <w:r w:rsidRPr="0018513D">
        <w:rPr>
          <w:rFonts w:ascii="Times New Roman" w:hAnsi="Times New Roman" w:cs="Times New Roman"/>
        </w:rPr>
        <w:t>,</w:t>
      </w:r>
      <w:r w:rsidR="0018513D" w:rsidRPr="0018513D">
        <w:rPr>
          <w:rFonts w:ascii="Times New Roman" w:hAnsi="Times New Roman" w:cs="Times New Roman"/>
        </w:rPr>
        <w:t xml:space="preserve"> </w:t>
      </w:r>
      <w:hyperlink r:id="rId2" w:history="1">
        <w:r w:rsidR="0018513D" w:rsidRPr="0018513D">
          <w:rPr>
            <w:rStyle w:val="Hyperlink"/>
            <w:rFonts w:ascii="Times New Roman" w:hAnsi="Times New Roman" w:cs="Times New Roman"/>
          </w:rPr>
          <w:t>georgedias86@gmail.com</w:t>
        </w:r>
      </w:hyperlink>
      <w:r w:rsidR="0018513D" w:rsidRPr="0018513D">
        <w:rPr>
          <w:rFonts w:ascii="Times New Roman" w:hAnsi="Times New Roman" w:cs="Times New Roman"/>
        </w:rPr>
        <w:t>.</w:t>
      </w:r>
      <w:r w:rsidR="0018513D">
        <w:rPr>
          <w:rFonts w:ascii="Times New Roman" w:hAnsi="Times New Roman" w:cs="Times New Roman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50C" w:rsidRDefault="004B2E4E" w:rsidP="00DA2AE9">
    <w:pPr>
      <w:pStyle w:val="Cabealho"/>
      <w:ind w:left="-709" w:right="-591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D2C75E" wp14:editId="07373BBE">
          <wp:simplePos x="0" y="0"/>
          <wp:positionH relativeFrom="column">
            <wp:posOffset>-1065530</wp:posOffset>
          </wp:positionH>
          <wp:positionV relativeFrom="paragraph">
            <wp:posOffset>996</wp:posOffset>
          </wp:positionV>
          <wp:extent cx="7560000" cy="1646208"/>
          <wp:effectExtent l="0" t="0" r="317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cabecalhobordasuperiora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462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B050C" w:rsidRDefault="009453E3">
    <w:pPr>
      <w:pStyle w:val="Cabealho"/>
    </w:pPr>
  </w:p>
  <w:p w:rsidR="007B050C" w:rsidRPr="00E429EA" w:rsidRDefault="004B2E4E">
    <w:pPr>
      <w:pStyle w:val="Cabealho"/>
      <w:rPr>
        <w:rFonts w:ascii="Geometr415 Blk BT" w:hAnsi="Geometr415 Blk BT"/>
        <w:color w:val="31849B" w:themeColor="accent5" w:themeShade="BF"/>
        <w:sz w:val="28"/>
      </w:rPr>
    </w:pPr>
    <w:r w:rsidRPr="00E429EA">
      <w:rPr>
        <w:rFonts w:ascii="Geometr415 Blk BT" w:hAnsi="Geometr415 Blk BT"/>
        <w:color w:val="31849B" w:themeColor="accent5" w:themeShade="BF"/>
        <w:sz w:val="28"/>
      </w:rPr>
      <w:t>I Encontro de Práticas Educativas em Matemática</w:t>
    </w:r>
  </w:p>
  <w:p w:rsidR="00DA2AE9" w:rsidRPr="00E429EA" w:rsidRDefault="004B2E4E">
    <w:pPr>
      <w:pStyle w:val="Cabealho"/>
      <w:rPr>
        <w:rFonts w:ascii="Geometr415 Blk BT" w:hAnsi="Geometr415 Blk BT"/>
        <w:color w:val="31849B" w:themeColor="accent5" w:themeShade="BF"/>
        <w:sz w:val="28"/>
      </w:rPr>
    </w:pPr>
    <w:r w:rsidRPr="00E429EA">
      <w:rPr>
        <w:rFonts w:ascii="Geometr415 Blk BT" w:hAnsi="Geometr415 Blk BT"/>
        <w:i/>
        <w:color w:val="31849B" w:themeColor="accent5" w:themeShade="BF"/>
        <w:sz w:val="28"/>
      </w:rPr>
      <w:t xml:space="preserve">                       </w:t>
    </w:r>
    <w:r w:rsidRPr="00E429EA">
      <w:rPr>
        <w:rFonts w:ascii="Geometr415 Blk BT" w:hAnsi="Geometr415 Blk BT"/>
        <w:color w:val="31849B" w:themeColor="accent5" w:themeShade="BF"/>
        <w:sz w:val="28"/>
      </w:rPr>
      <w:t>I Café Inclusivo</w:t>
    </w:r>
  </w:p>
  <w:p w:rsidR="00E429EA" w:rsidRPr="00E429EA" w:rsidRDefault="009453E3">
    <w:pPr>
      <w:pStyle w:val="Cabealho"/>
      <w:rPr>
        <w:rFonts w:ascii="Clarendon Blk BT" w:hAnsi="Clarendon Blk BT"/>
        <w:i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89C"/>
    <w:rsid w:val="000217BE"/>
    <w:rsid w:val="00026FC4"/>
    <w:rsid w:val="00135BDC"/>
    <w:rsid w:val="0018513D"/>
    <w:rsid w:val="00191884"/>
    <w:rsid w:val="001C2D41"/>
    <w:rsid w:val="001D1EF9"/>
    <w:rsid w:val="001D6368"/>
    <w:rsid w:val="00203CA7"/>
    <w:rsid w:val="00217139"/>
    <w:rsid w:val="00246606"/>
    <w:rsid w:val="00257C1B"/>
    <w:rsid w:val="00301BA1"/>
    <w:rsid w:val="003226A9"/>
    <w:rsid w:val="00380E7A"/>
    <w:rsid w:val="0039284D"/>
    <w:rsid w:val="003A08B1"/>
    <w:rsid w:val="003A4004"/>
    <w:rsid w:val="003A5522"/>
    <w:rsid w:val="004209E2"/>
    <w:rsid w:val="004574CB"/>
    <w:rsid w:val="004B2E4E"/>
    <w:rsid w:val="00517CEA"/>
    <w:rsid w:val="005B415B"/>
    <w:rsid w:val="005D3199"/>
    <w:rsid w:val="005E0080"/>
    <w:rsid w:val="005F6233"/>
    <w:rsid w:val="006132AF"/>
    <w:rsid w:val="006832FA"/>
    <w:rsid w:val="00710B47"/>
    <w:rsid w:val="007256AF"/>
    <w:rsid w:val="00726413"/>
    <w:rsid w:val="00736DA0"/>
    <w:rsid w:val="00791A7E"/>
    <w:rsid w:val="007F6763"/>
    <w:rsid w:val="00857ACB"/>
    <w:rsid w:val="00891A0A"/>
    <w:rsid w:val="009375C8"/>
    <w:rsid w:val="009453E3"/>
    <w:rsid w:val="00A34D49"/>
    <w:rsid w:val="00A952C0"/>
    <w:rsid w:val="00AD4D5A"/>
    <w:rsid w:val="00B431FD"/>
    <w:rsid w:val="00C10767"/>
    <w:rsid w:val="00C40CCF"/>
    <w:rsid w:val="00C57580"/>
    <w:rsid w:val="00C6689C"/>
    <w:rsid w:val="00CD533D"/>
    <w:rsid w:val="00D34F1D"/>
    <w:rsid w:val="00D6176F"/>
    <w:rsid w:val="00DD4962"/>
    <w:rsid w:val="00E41020"/>
    <w:rsid w:val="00E7082F"/>
    <w:rsid w:val="00EC4DFC"/>
    <w:rsid w:val="00EE3D91"/>
    <w:rsid w:val="00EF4634"/>
    <w:rsid w:val="00F05DDC"/>
    <w:rsid w:val="00F33AA1"/>
    <w:rsid w:val="00F351F0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89C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6689C"/>
    <w:pPr>
      <w:tabs>
        <w:tab w:val="center" w:pos="4252"/>
        <w:tab w:val="right" w:pos="8504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C6689C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C6689C"/>
    <w:pPr>
      <w:tabs>
        <w:tab w:val="center" w:pos="4252"/>
        <w:tab w:val="right" w:pos="8504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RodapChar">
    <w:name w:val="Rodapé Char"/>
    <w:basedOn w:val="Fontepargpadro"/>
    <w:link w:val="Rodap"/>
    <w:uiPriority w:val="99"/>
    <w:rsid w:val="00C6689C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C66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DA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F67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F67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F6763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B41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89C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6689C"/>
    <w:pPr>
      <w:tabs>
        <w:tab w:val="center" w:pos="4252"/>
        <w:tab w:val="right" w:pos="8504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C6689C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C6689C"/>
    <w:pPr>
      <w:tabs>
        <w:tab w:val="center" w:pos="4252"/>
        <w:tab w:val="right" w:pos="8504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RodapChar">
    <w:name w:val="Rodapé Char"/>
    <w:basedOn w:val="Fontepargpadro"/>
    <w:link w:val="Rodap"/>
    <w:uiPriority w:val="99"/>
    <w:rsid w:val="00C6689C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C66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DA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F67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F67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F6763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B41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0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a.ufrrj.br/ppgea/conteudo/t1sf/sandra/os-quatro-pilares-da-educacao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mec.gov.br/seb/arquivos/pdf/ciencias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georgedias86@gmail.com" TargetMode="External"/><Relationship Id="rId1" Type="http://schemas.openxmlformats.org/officeDocument/2006/relationships/hyperlink" Target="mailto:guilhermesa1996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2AB6B-6BC9-42C0-8AEA-609612D70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6</Pages>
  <Words>1800</Words>
  <Characters>9724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Angelo</dc:creator>
  <cp:lastModifiedBy>Guilherme Angelo</cp:lastModifiedBy>
  <cp:revision>10</cp:revision>
  <dcterms:created xsi:type="dcterms:W3CDTF">2017-10-31T11:57:00Z</dcterms:created>
  <dcterms:modified xsi:type="dcterms:W3CDTF">2017-11-03T21:07:00Z</dcterms:modified>
</cp:coreProperties>
</file>