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EE60" w14:textId="77777777" w:rsidR="00B355C6" w:rsidRDefault="00677A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Alterações neuropsiquiátricas em idoso pós-covid: relato de caso</w:t>
      </w:r>
    </w:p>
    <w:p w14:paraId="1D50EE61" w14:textId="77777777" w:rsidR="00B355C6" w:rsidRDefault="00677A2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síndrome pós-covid representa um desafio para prática clínica, devido ao conhecimento ainda recente, com várias lacunas e sua repercussão a longo prazo. Idosos constituem grupo de risco devido à </w:t>
      </w:r>
      <w:proofErr w:type="spellStart"/>
      <w:r>
        <w:rPr>
          <w:sz w:val="24"/>
          <w:szCs w:val="24"/>
        </w:rPr>
        <w:t>imunosenescência</w:t>
      </w:r>
      <w:proofErr w:type="spellEnd"/>
      <w:r>
        <w:rPr>
          <w:sz w:val="24"/>
          <w:szCs w:val="24"/>
        </w:rPr>
        <w:t xml:space="preserve"> e a maior prevalência de fragilidade e </w:t>
      </w:r>
      <w:proofErr w:type="spellStart"/>
      <w:r>
        <w:rPr>
          <w:sz w:val="24"/>
          <w:szCs w:val="24"/>
        </w:rPr>
        <w:t>polipatologias</w:t>
      </w:r>
      <w:proofErr w:type="spellEnd"/>
      <w:r>
        <w:rPr>
          <w:sz w:val="24"/>
          <w:szCs w:val="24"/>
        </w:rPr>
        <w:t xml:space="preserve">. Entre os sintomas mais prevalentes, destaca-se a fadiga e os distúrbios neuropsiquiátricos. Objetiva-se descrever alterações cognitivo-funcionais e comportamentais em pessoa idosa monitorada por um ano após a hospitalização por Covid-19. </w:t>
      </w:r>
    </w:p>
    <w:p w14:paraId="1D50EE62" w14:textId="36721344" w:rsidR="00B355C6" w:rsidRDefault="00677A2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do relato de caso de P.C.L, sexo masculino, 64 anos, casado, desempregado, 5 anos de escolaridade, hipertenso, diabético e histórico de neoplasia de próstata em remissão, tabagismo e infarto miocárdio. Foi hospitalizado em maio de 2021 por 40 dias. Apenas havia sido submetido à primeira dose da vacina contra a Covid-19. Ocorreram avaliações após 3 meses e 12 meses de hospitalização. Foram utilizados os seguintes instrumentos: </w:t>
      </w:r>
      <w:proofErr w:type="spellStart"/>
      <w:r>
        <w:rPr>
          <w:sz w:val="24"/>
          <w:szCs w:val="24"/>
        </w:rPr>
        <w:t>Dementia</w:t>
      </w:r>
      <w:proofErr w:type="spellEnd"/>
      <w:r>
        <w:rPr>
          <w:sz w:val="24"/>
          <w:szCs w:val="24"/>
        </w:rPr>
        <w:t xml:space="preserve"> Rating </w:t>
      </w:r>
      <w:proofErr w:type="spellStart"/>
      <w:r>
        <w:rPr>
          <w:sz w:val="24"/>
          <w:szCs w:val="24"/>
        </w:rPr>
        <w:t>Scale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Mattis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Alzheimer’s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 (ADCS-AVD), Medida Canadense de Desempenho Ocupacional (COPM), Medida de independência funcional (MIF), Post-</w:t>
      </w:r>
      <w:proofErr w:type="spellStart"/>
      <w:r>
        <w:rPr>
          <w:sz w:val="24"/>
          <w:szCs w:val="24"/>
        </w:rPr>
        <w:t>tramautic</w:t>
      </w:r>
      <w:proofErr w:type="spellEnd"/>
      <w:r>
        <w:rPr>
          <w:sz w:val="24"/>
          <w:szCs w:val="24"/>
        </w:rPr>
        <w:t xml:space="preserve"> stress </w:t>
      </w:r>
      <w:proofErr w:type="spellStart"/>
      <w:r>
        <w:rPr>
          <w:sz w:val="24"/>
          <w:szCs w:val="24"/>
        </w:rPr>
        <w:t>disorder</w:t>
      </w:r>
      <w:proofErr w:type="spellEnd"/>
      <w:r>
        <w:rPr>
          <w:sz w:val="24"/>
          <w:szCs w:val="24"/>
        </w:rPr>
        <w:t xml:space="preserve"> checklist-</w:t>
      </w:r>
      <w:proofErr w:type="spellStart"/>
      <w:r>
        <w:rPr>
          <w:sz w:val="24"/>
          <w:szCs w:val="24"/>
        </w:rPr>
        <w:t>civilian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</w:t>
      </w:r>
      <w:proofErr w:type="spellEnd"/>
      <w:r>
        <w:rPr>
          <w:sz w:val="24"/>
          <w:szCs w:val="24"/>
        </w:rPr>
        <w:t xml:space="preserve"> (PCL-c) e Escala de depressão geriátrica (GDS). P.C.L apresentou: fadiga (FSS:53), sintomatologia depressiva (GDS:7), estresse pós-traumático (PCL-c:45), declínio funcional e comprometimento cognitivo leve amnésico múltiplos domínios - </w:t>
      </w:r>
      <w:proofErr w:type="gramStart"/>
      <w:r>
        <w:rPr>
          <w:sz w:val="24"/>
          <w:szCs w:val="24"/>
        </w:rPr>
        <w:t>CCLAMD  (</w:t>
      </w:r>
      <w:proofErr w:type="spellStart"/>
      <w:proofErr w:type="gramEnd"/>
      <w:r>
        <w:rPr>
          <w:sz w:val="24"/>
          <w:szCs w:val="24"/>
        </w:rPr>
        <w:t>Mattis</w:t>
      </w:r>
      <w:proofErr w:type="spellEnd"/>
      <w:r>
        <w:rPr>
          <w:sz w:val="24"/>
          <w:szCs w:val="24"/>
        </w:rPr>
        <w:t xml:space="preserve">: 120/144 e ADCS: 58/79; MIF:107/126 ). Após um ano de seguimento, o paciente apresentou remissão do quadro de CCL, embora mantenha queixa subjetiva de memória (Mattis:126/144) e melhora do sintoma de transtorno de estresse pós-traumático (PCL:40). Observou-se manutenção do quadro de fadiga (FSS:53) e sintomatologia depressiva (GDS:6). Quanto à funcionalidade, a COPM apontou melhora nos desempenhos de atividades avançadas e instrumentais, todavia a um nível inferior à hospitalização (ADCS:62/79; MIF:114/126). </w:t>
      </w:r>
    </w:p>
    <w:p w14:paraId="1D50EE63" w14:textId="77777777" w:rsidR="00B355C6" w:rsidRDefault="00677A2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Conclui-se que a fadiga e a sintomatologia depressiva foram persistentes após um ano de seguimento, ao passo que o transtorno de estresse pós-traumático e o declínio cognitivo apresentaram remissão. Não ocorreu recuperação completa da funcionalidade no período. A perda funcional representa um risco para a saúde, qualidade de vida e manutenção/recuperação do papel social. A identificação precoce e desenvolvimento de protocolos de reabilitação se fazem necessários.</w:t>
      </w:r>
    </w:p>
    <w:sectPr w:rsidR="00B355C6">
      <w:pgSz w:w="11909" w:h="16834"/>
      <w:pgMar w:top="1700" w:right="1133" w:bottom="170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C6"/>
    <w:rsid w:val="00583483"/>
    <w:rsid w:val="00677A23"/>
    <w:rsid w:val="00B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E60"/>
  <w15:docId w15:val="{26CC44B8-9CAD-44E5-B049-4BB085AB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Cunha Cintra</dc:creator>
  <cp:lastModifiedBy>Fabiana Cunha Cintra</cp:lastModifiedBy>
  <cp:revision>3</cp:revision>
  <dcterms:created xsi:type="dcterms:W3CDTF">2023-08-21T22:53:00Z</dcterms:created>
  <dcterms:modified xsi:type="dcterms:W3CDTF">2023-08-21T22:56:00Z</dcterms:modified>
</cp:coreProperties>
</file>