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50" w:line="240" w:lineRule="auto"/>
        <w:ind w:left="-284" w:right="-285"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ESTASE GASTROINTESTINAL EM COELHO DOMÉSTICO (</w:t>
      </w:r>
      <w:r w:rsidDel="00000000" w:rsidR="00000000" w:rsidRPr="00000000">
        <w:rPr>
          <w:rFonts w:ascii="Times New Roman" w:cs="Times New Roman" w:eastAsia="Times New Roman" w:hAnsi="Times New Roman"/>
          <w:b w:val="1"/>
          <w:i w:val="1"/>
          <w:sz w:val="24"/>
          <w:szCs w:val="24"/>
          <w:rtl w:val="0"/>
        </w:rPr>
        <w:t xml:space="preserve">Oryctolagus cuniculus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002">
      <w:pPr>
        <w:shd w:fill="ffffff" w:val="clear"/>
        <w:spacing w:after="150" w:line="240" w:lineRule="auto"/>
        <w:ind w:left="-284" w:right="-285"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hd w:fill="ffffff" w:val="clear"/>
        <w:spacing w:after="150" w:line="240" w:lineRule="auto"/>
        <w:ind w:left="-284" w:right="-28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u w:val="single"/>
          <w:rtl w:val="0"/>
        </w:rPr>
        <w:t xml:space="preserve">AMORIM, N.C.R.M.</w:t>
      </w:r>
      <w:r w:rsidDel="00000000" w:rsidR="00000000" w:rsidRPr="00000000">
        <w:rPr>
          <w:rFonts w:ascii="Times New Roman" w:cs="Times New Roman" w:eastAsia="Times New Roman" w:hAnsi="Times New Roman"/>
          <w:color w:val="000000"/>
          <w:sz w:val="24"/>
          <w:szCs w:val="24"/>
          <w:rtl w:val="0"/>
        </w:rPr>
        <w:t xml:space="preserve">¹;</w:t>
      </w:r>
      <w:r w:rsidDel="00000000" w:rsidR="00000000" w:rsidRPr="00000000">
        <w:rPr>
          <w:rFonts w:ascii="Times New Roman" w:cs="Times New Roman" w:eastAsia="Times New Roman" w:hAnsi="Times New Roman"/>
          <w:sz w:val="24"/>
          <w:szCs w:val="24"/>
          <w:rtl w:val="0"/>
        </w:rPr>
        <w:t xml:space="preserve"> ANDRADE, F.J.C </w:t>
      </w:r>
      <w:r w:rsidDel="00000000" w:rsidR="00000000" w:rsidRPr="00000000">
        <w:rPr>
          <w:rFonts w:ascii="Times New Roman" w:cs="Times New Roman" w:eastAsia="Times New Roman" w:hAnsi="Times New Roman"/>
          <w:color w:val="000000"/>
          <w:sz w:val="24"/>
          <w:szCs w:val="24"/>
          <w:rtl w:val="0"/>
        </w:rPr>
        <w:t xml:space="preserve">²</w:t>
      </w:r>
      <w:r w:rsidDel="00000000" w:rsidR="00000000" w:rsidRPr="00000000">
        <w:rPr>
          <w:rFonts w:ascii="Times New Roman" w:cs="Times New Roman" w:eastAsia="Times New Roman" w:hAnsi="Times New Roman"/>
          <w:sz w:val="24"/>
          <w:szCs w:val="24"/>
          <w:rtl w:val="0"/>
        </w:rPr>
        <w:t xml:space="preserve">; VASCONCELOS H.V.S¹; SOUZA, L.V.M²; BARBOSA, B²;  FILHO, A.C.N.S¹; CASTRO, I.F.R²; SOUSA, A.I.J²; PENSADOR, C.C²; LOPES, C.T.A³, </w:t>
      </w:r>
      <w:r w:rsidDel="00000000" w:rsidR="00000000" w:rsidRPr="00000000">
        <w:rPr>
          <w:rtl w:val="0"/>
        </w:rPr>
      </w:r>
    </w:p>
    <w:p w:rsidR="00000000" w:rsidDel="00000000" w:rsidP="00000000" w:rsidRDefault="00000000" w:rsidRPr="00000000" w14:paraId="00000004">
      <w:pPr>
        <w:shd w:fill="ffffff" w:val="clear"/>
        <w:spacing w:after="150" w:line="240" w:lineRule="auto"/>
        <w:ind w:left="-284" w:right="-285" w:firstLine="0"/>
        <w:jc w:val="both"/>
        <w:rPr>
          <w:rFonts w:ascii="Times New Roman" w:cs="Times New Roman" w:eastAsia="Times New Roman" w:hAnsi="Times New Roman"/>
          <w:color w:val="777777"/>
          <w:sz w:val="24"/>
          <w:szCs w:val="24"/>
        </w:rPr>
      </w:pPr>
      <w:r w:rsidDel="00000000" w:rsidR="00000000" w:rsidRPr="00000000">
        <w:rPr>
          <w:rFonts w:ascii="Times New Roman" w:cs="Times New Roman" w:eastAsia="Times New Roman" w:hAnsi="Times New Roman"/>
          <w:color w:val="000000"/>
          <w:sz w:val="24"/>
          <w:szCs w:val="24"/>
          <w:rtl w:val="0"/>
        </w:rPr>
        <w:t xml:space="preserve">1. Graduand</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color w:val="000000"/>
          <w:sz w:val="24"/>
          <w:szCs w:val="24"/>
          <w:rtl w:val="0"/>
        </w:rPr>
        <w:t xml:space="preserve"> em Medicina Veterinária, Universidade Federal do P</w:t>
      </w:r>
      <w:r w:rsidDel="00000000" w:rsidR="00000000" w:rsidRPr="00000000">
        <w:rPr>
          <w:rFonts w:ascii="Times New Roman" w:cs="Times New Roman" w:eastAsia="Times New Roman" w:hAnsi="Times New Roman"/>
          <w:sz w:val="24"/>
          <w:szCs w:val="24"/>
          <w:rtl w:val="0"/>
        </w:rPr>
        <w:t xml:space="preserve">ará</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Castanhal, Pará</w:t>
      </w:r>
      <w:r w:rsidDel="00000000" w:rsidR="00000000" w:rsidRPr="00000000">
        <w:rPr>
          <w:rFonts w:ascii="Times New Roman" w:cs="Times New Roman" w:eastAsia="Times New Roman" w:hAnsi="Times New Roman"/>
          <w:color w:val="000000"/>
          <w:sz w:val="24"/>
          <w:szCs w:val="24"/>
          <w:rtl w:val="0"/>
        </w:rPr>
        <w:t xml:space="preserve">, Brasil </w:t>
      </w:r>
      <w:r w:rsidDel="00000000" w:rsidR="00000000" w:rsidRPr="00000000">
        <w:rPr>
          <w:rFonts w:ascii="Times New Roman" w:cs="Times New Roman" w:eastAsia="Times New Roman" w:hAnsi="Times New Roman"/>
          <w:sz w:val="24"/>
          <w:szCs w:val="24"/>
          <w:rtl w:val="0"/>
        </w:rPr>
        <w:t xml:space="preserve">(naelle.maciel@castanhal.ufpa.br)</w:t>
      </w: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Fonts w:ascii="Times New Roman" w:cs="Times New Roman" w:eastAsia="Times New Roman" w:hAnsi="Times New Roman"/>
          <w:sz w:val="24"/>
          <w:szCs w:val="24"/>
          <w:rtl w:val="0"/>
        </w:rPr>
        <w:t xml:space="preserve">Residente em Clínica Médica e Cirúrgica em Animais Silvestres, Universidade Federal do Pará, Castanhal, Pará, Brasil. 3. Médica Veterinária Técnica Administrativa em Educação, Universidade Federal do Pará, Castanhal, Pará, Brasil.</w:t>
      </w:r>
      <w:r w:rsidDel="00000000" w:rsidR="00000000" w:rsidRPr="00000000">
        <w:rPr>
          <w:rtl w:val="0"/>
        </w:rPr>
      </w:r>
    </w:p>
    <w:p w:rsidR="00000000" w:rsidDel="00000000" w:rsidP="00000000" w:rsidRDefault="00000000" w:rsidRPr="00000000" w14:paraId="00000005">
      <w:pPr>
        <w:shd w:fill="ffffff" w:val="clear"/>
        <w:spacing w:after="150" w:line="240" w:lineRule="auto"/>
        <w:ind w:left="-284" w:right="-28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estase gastrointestinal é uma condição que acomete lagomorfos, podendo ser desencadeada por diversos fatores, como estresse, dieta inadequada, dor, desidratação ou obstrução por corpos estranhos. Clinicamente, os animais acometidos apresentam anorexia, presença de fezes ressecadas ou ausentes, timpanismo, dor abdominal e, em casos graves, podem evoluir a óbito em até 24 horas. No dia 24 de junho de 2025, um coelho doméstico (</w:t>
      </w:r>
      <w:r w:rsidDel="00000000" w:rsidR="00000000" w:rsidRPr="00000000">
        <w:rPr>
          <w:rFonts w:ascii="Times New Roman" w:cs="Times New Roman" w:eastAsia="Times New Roman" w:hAnsi="Times New Roman"/>
          <w:i w:val="1"/>
          <w:sz w:val="24"/>
          <w:szCs w:val="24"/>
          <w:rtl w:val="0"/>
        </w:rPr>
        <w:t xml:space="preserve">Oryctolagus cuniculus</w:t>
      </w:r>
      <w:r w:rsidDel="00000000" w:rsidR="00000000" w:rsidRPr="00000000">
        <w:rPr>
          <w:rFonts w:ascii="Times New Roman" w:cs="Times New Roman" w:eastAsia="Times New Roman" w:hAnsi="Times New Roman"/>
          <w:sz w:val="24"/>
          <w:szCs w:val="24"/>
          <w:rtl w:val="0"/>
        </w:rPr>
        <w:t xml:space="preserve">) macho, pesando 1,528 kg, foi admitido no Hospital Veterinário da Universidade Federal do Pará com histórico de agitação, inapetência e distensão abdominal. Durante o exame clínico, o animal encontrava-se responsivo, e à palpação abdominal foi constatada a presença de distensão por gases. A radiografia evidenciou acúmulo gasoso no trato gastrointestinal e a presença de uma estrutura sugestiva de tricobezoar em terço médio do intestino delgado. Diante do quadro, foi instituída terapêutica de suporte visando a restauração da motilidade gastrointestinal e alívio dos sintomas. O protocolo incluiu metoclopramida (0,5 mg/kg, VO, TID) e domperidona (0,1 mg/kg, VO, BID) como procinéticos; fluidoterapia com Ringer com lactato (60 mL/kg/dia, SC) para manutenção e hidratação; mirtazapina (3 mg/kg, VO, SID) como estimulante de apetite; e probiótico Vetnil® (0,5 g, VO, BID) para reequilíbrio da microbiota intestinal. Além disso, foi administrada simeticona (80 mg/kg, VO, TID) para redução de timpanismo, flunixim meglumine (1 mg/kg, IM, SID) como anti-inflamatório, maropitant (2 mg/kg, SC, SID) pelo efeito anti-inflamatório e analgésico no trato gastrointestinal, e lactulose (3 mL/kg, VO, BID) para auxílio na eliminação do conteúdo intestinal, sendo esta também utilizada por via retal, na forma de enema com NaCl 0,9% aquecido em banho-maria, com a finalidade de promover o amolecimento das fezes e facilitar a evacuação. </w:t>
      </w:r>
      <w:r w:rsidDel="00000000" w:rsidR="00000000" w:rsidRPr="00000000">
        <w:rPr>
          <w:rFonts w:ascii="Times New Roman" w:cs="Times New Roman" w:eastAsia="Times New Roman" w:hAnsi="Times New Roman"/>
          <w:sz w:val="24"/>
          <w:szCs w:val="24"/>
          <w:rtl w:val="0"/>
        </w:rPr>
        <w:t xml:space="preserve">A intervenção terapêutica imediata foi essencial para a estabilização do quadro clínico, evidenciando a relevância do diagnóstico precoce e da adoção de uma abordagem multimodal no manejo da estase gastrointestinal em lagomorfos. Entre as estratégias utilizadas, destaca-se a administração de </w:t>
      </w:r>
      <w:r w:rsidDel="00000000" w:rsidR="00000000" w:rsidRPr="00000000">
        <w:rPr>
          <w:rFonts w:ascii="Times New Roman" w:cs="Times New Roman" w:eastAsia="Times New Roman" w:hAnsi="Times New Roman"/>
          <w:i w:val="1"/>
          <w:sz w:val="24"/>
          <w:szCs w:val="24"/>
          <w:rtl w:val="0"/>
        </w:rPr>
        <w:t xml:space="preserve">Critical Care</w:t>
      </w:r>
      <w:r w:rsidDel="00000000" w:rsidR="00000000" w:rsidRPr="00000000">
        <w:rPr>
          <w:rFonts w:ascii="Times New Roman" w:cs="Times New Roman" w:eastAsia="Times New Roman" w:hAnsi="Times New Roman"/>
          <w:sz w:val="24"/>
          <w:szCs w:val="24"/>
          <w:rtl w:val="0"/>
        </w:rPr>
        <w:t xml:space="preserve"> para herbívoros, que proporcionou suporte nutricional adequado durante o período de hiporexia, favorecendo a retomada da motilidade gastrointestinal e contribuindo significativamente para a recuperação do animal. Após 15 dias de tratamento, foi realizado um novo exame radiográfico que confirmou a eliminação do corpo estranho sugestivo de tricobezoar, evidenciando o sucesso da abordagem terapêutica adotada e a plena recuperação do animal.</w:t>
      </w:r>
    </w:p>
    <w:p w:rsidR="00000000" w:rsidDel="00000000" w:rsidP="00000000" w:rsidRDefault="00000000" w:rsidRPr="00000000" w14:paraId="00000006">
      <w:pPr>
        <w:shd w:fill="ffffff" w:val="clear"/>
        <w:spacing w:after="0" w:line="240" w:lineRule="auto"/>
        <w:ind w:left="-284" w:right="-28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hd w:fill="ffffff" w:val="clear"/>
        <w:spacing w:after="0" w:line="240" w:lineRule="auto"/>
        <w:ind w:left="-284" w:right="-28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Palavras-chave: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Lagomorfos; Procinéticos; Suporte nutricional; Terapia multimodal; Critical Care; Tricobezoar; Hiporexia; Medicina de animais exóticos.</w:t>
      </w:r>
    </w:p>
    <w:p w:rsidR="00000000" w:rsidDel="00000000" w:rsidP="00000000" w:rsidRDefault="00000000" w:rsidRPr="00000000" w14:paraId="00000008">
      <w:pPr>
        <w:shd w:fill="ffffff" w:val="clear"/>
        <w:spacing w:after="0" w:line="240" w:lineRule="auto"/>
        <w:ind w:left="-284" w:right="-28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hd w:fill="ffffff" w:val="clear"/>
        <w:spacing w:after="0" w:line="240" w:lineRule="auto"/>
        <w:ind w:left="-284" w:right="-28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hd w:fill="ffffff" w:val="clear"/>
        <w:spacing w:after="0" w:line="240" w:lineRule="auto"/>
        <w:ind w:left="-284" w:right="-285"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REFERÊNCIAS: </w:t>
      </w:r>
    </w:p>
    <w:p w:rsidR="00000000" w:rsidDel="00000000" w:rsidP="00000000" w:rsidRDefault="00000000" w:rsidRPr="00000000" w14:paraId="0000000B">
      <w:pPr>
        <w:shd w:fill="ffffff" w:val="clear"/>
        <w:spacing w:after="0" w:line="240" w:lineRule="auto"/>
        <w:ind w:left="-284" w:right="-285"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hd w:fill="ffffff" w:val="clear"/>
        <w:spacing w:after="0" w:line="240" w:lineRule="auto"/>
        <w:ind w:left="-284" w:right="-28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PREBBLE, J. Gastrointestinal stasis and obstructive Ileus in the rabbit. The Veterinary Nurse, 3(6):366-372; 2012. </w:t>
      </w:r>
    </w:p>
    <w:p w:rsidR="00000000" w:rsidDel="00000000" w:rsidP="00000000" w:rsidRDefault="00000000" w:rsidRPr="00000000" w14:paraId="0000000D">
      <w:pPr>
        <w:shd w:fill="ffffff" w:val="clear"/>
        <w:spacing w:after="0" w:line="240" w:lineRule="auto"/>
        <w:ind w:left="-284" w:right="-285"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E">
      <w:pPr>
        <w:shd w:fill="ffffff" w:val="clear"/>
        <w:spacing w:after="0" w:line="240" w:lineRule="auto"/>
        <w:ind w:left="-284" w:right="-28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QUESENBERRY, Katherine E.; CARPENTER, James W. (Ed.). </w:t>
      </w:r>
      <w:r w:rsidDel="00000000" w:rsidR="00000000" w:rsidRPr="00000000">
        <w:rPr>
          <w:rFonts w:ascii="Times New Roman" w:cs="Times New Roman" w:eastAsia="Times New Roman" w:hAnsi="Times New Roman"/>
          <w:i w:val="1"/>
          <w:sz w:val="24"/>
          <w:szCs w:val="24"/>
          <w:rtl w:val="0"/>
        </w:rPr>
        <w:t xml:space="preserve">Ferrets, Rabbits, and Rodents: Clinical Medicine and Surgery</w:t>
      </w:r>
      <w:r w:rsidDel="00000000" w:rsidR="00000000" w:rsidRPr="00000000">
        <w:rPr>
          <w:rFonts w:ascii="Times New Roman" w:cs="Times New Roman" w:eastAsia="Times New Roman" w:hAnsi="Times New Roman"/>
          <w:sz w:val="24"/>
          <w:szCs w:val="24"/>
          <w:rtl w:val="0"/>
        </w:rPr>
        <w:t xml:space="preserve">. 3. ed. St. Louis: Elsevier, 2012.</w:t>
      </w:r>
    </w:p>
    <w:p w:rsidR="00000000" w:rsidDel="00000000" w:rsidP="00000000" w:rsidRDefault="00000000" w:rsidRPr="00000000" w14:paraId="0000000F">
      <w:pPr>
        <w:shd w:fill="ffffff" w:val="clear"/>
        <w:spacing w:after="0" w:line="240" w:lineRule="auto"/>
        <w:ind w:left="-284" w:right="-28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hd w:fill="ffffff" w:val="clear"/>
        <w:spacing w:after="0" w:line="240" w:lineRule="auto"/>
        <w:ind w:left="-284" w:right="-28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OGLESBEE, Bonnie L. </w:t>
      </w:r>
      <w:r w:rsidDel="00000000" w:rsidR="00000000" w:rsidRPr="00000000">
        <w:rPr>
          <w:rFonts w:ascii="Times New Roman" w:cs="Times New Roman" w:eastAsia="Times New Roman" w:hAnsi="Times New Roman"/>
          <w:i w:val="1"/>
          <w:sz w:val="24"/>
          <w:szCs w:val="24"/>
          <w:rtl w:val="0"/>
        </w:rPr>
        <w:t xml:space="preserve">Blackwell's Five-Minute Veterinary Consult: Small Mammal</w:t>
      </w:r>
      <w:r w:rsidDel="00000000" w:rsidR="00000000" w:rsidRPr="00000000">
        <w:rPr>
          <w:rFonts w:ascii="Times New Roman" w:cs="Times New Roman" w:eastAsia="Times New Roman" w:hAnsi="Times New Roman"/>
          <w:sz w:val="24"/>
          <w:szCs w:val="24"/>
          <w:rtl w:val="0"/>
        </w:rPr>
        <w:t xml:space="preserve">. Ames: Wiley-Blackwell, 2011.</w:t>
      </w:r>
    </w:p>
    <w:p w:rsidR="00000000" w:rsidDel="00000000" w:rsidP="00000000" w:rsidRDefault="00000000" w:rsidRPr="00000000" w14:paraId="00000011">
      <w:pPr>
        <w:spacing w:after="0" w:line="276" w:lineRule="auto"/>
        <w:ind w:left="0" w:firstLine="0"/>
        <w:rPr>
          <w:rFonts w:ascii="Times New Roman" w:cs="Times New Roman" w:eastAsia="Times New Roman" w:hAnsi="Times New Roman"/>
          <w:b w:val="1"/>
          <w:sz w:val="24"/>
          <w:szCs w:val="24"/>
        </w:rPr>
      </w:pPr>
      <w:r w:rsidDel="00000000" w:rsidR="00000000" w:rsidRPr="00000000">
        <w:rPr>
          <w:rtl w:val="0"/>
        </w:rPr>
      </w:r>
    </w:p>
    <w:sectPr>
      <w:headerReference r:id="rId7" w:type="default"/>
      <w:footerReference r:id="rId8" w:type="default"/>
      <w:pgSz w:h="16838" w:w="11906" w:orient="portrait"/>
      <w:pgMar w:bottom="1417" w:top="1417" w:left="992.1259842519685" w:right="1701" w:header="708"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color w:val="000000"/>
      </w:rPr>
      <w:drawing>
        <wp:inline distB="0" distT="0" distL="0" distR="0">
          <wp:extent cx="2705100" cy="1352550"/>
          <wp:effectExtent b="0" l="0" r="0" t="0"/>
          <wp:docPr id="82744337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05100" cy="135255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ormalWeb">
    <w:name w:val="Normal (Web)"/>
    <w:basedOn w:val="Normal"/>
    <w:uiPriority w:val="99"/>
    <w:semiHidden w:val="1"/>
    <w:unhideWhenUsed w:val="1"/>
    <w:rsid w:val="00A00622"/>
    <w:pPr>
      <w:spacing w:after="100" w:afterAutospacing="1" w:before="100" w:beforeAutospacing="1" w:line="240" w:lineRule="auto"/>
    </w:pPr>
    <w:rPr>
      <w:rFonts w:ascii="Times New Roman" w:cs="Times New Roman" w:eastAsia="Times New Roman" w:hAnsi="Times New Roman"/>
      <w:sz w:val="24"/>
      <w:szCs w:val="24"/>
    </w:rPr>
  </w:style>
  <w:style w:type="character" w:styleId="Forte">
    <w:name w:val="Strong"/>
    <w:basedOn w:val="Fontepargpadro"/>
    <w:uiPriority w:val="22"/>
    <w:qFormat w:val="1"/>
    <w:rsid w:val="00A00622"/>
    <w:rPr>
      <w:b w:val="1"/>
      <w:bCs w:val="1"/>
    </w:rPr>
  </w:style>
  <w:style w:type="paragraph" w:styleId="Cabealho">
    <w:name w:val="header"/>
    <w:basedOn w:val="Normal"/>
    <w:link w:val="CabealhoChar"/>
    <w:uiPriority w:val="99"/>
    <w:unhideWhenUsed w:val="1"/>
    <w:rsid w:val="005B71A5"/>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5B71A5"/>
  </w:style>
  <w:style w:type="paragraph" w:styleId="Rodap">
    <w:name w:val="footer"/>
    <w:basedOn w:val="Normal"/>
    <w:link w:val="RodapChar"/>
    <w:uiPriority w:val="99"/>
    <w:unhideWhenUsed w:val="1"/>
    <w:rsid w:val="005B71A5"/>
    <w:pPr>
      <w:tabs>
        <w:tab w:val="center" w:pos="4252"/>
        <w:tab w:val="right" w:pos="8504"/>
      </w:tabs>
      <w:spacing w:after="0" w:line="240" w:lineRule="auto"/>
    </w:pPr>
  </w:style>
  <w:style w:type="character" w:styleId="RodapChar" w:customStyle="1">
    <w:name w:val="Rodapé Char"/>
    <w:basedOn w:val="Fontepargpadro"/>
    <w:link w:val="Rodap"/>
    <w:uiPriority w:val="99"/>
    <w:rsid w:val="005B71A5"/>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giNOoYj9ibtUxSDBnY9XY1WSnQ==">CgMxLjA4AHIhMXVSbU5pV3ZDT1JkTkFScEplZFVhM2lVNGVESnJNLWhl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2025-01-30T17:39:00Z</dcterms:created>
</cp:coreProperties>
</file>