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465BEC51">
            <wp:simplePos x="0" y="0"/>
            <wp:positionH relativeFrom="page">
              <wp:posOffset>-3854</wp:posOffset>
            </wp:positionH>
            <wp:positionV relativeFrom="paragraph">
              <wp:posOffset>-1002139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629C72" w14:textId="77777777" w:rsidR="001E5A6B" w:rsidRPr="003A5CED" w:rsidRDefault="001E5A6B" w:rsidP="001E5A6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5CED">
        <w:rPr>
          <w:rFonts w:ascii="Times New Roman" w:hAnsi="Times New Roman" w:cs="Times New Roman"/>
          <w:b/>
          <w:bCs/>
          <w:sz w:val="28"/>
          <w:szCs w:val="28"/>
        </w:rPr>
        <w:t>MECANISMO FISIOPATOLÓGICO BIDIRECIONAL DA ASMA 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DOENÇA DO </w:t>
      </w:r>
      <w:r w:rsidRPr="003A5CED">
        <w:rPr>
          <w:rFonts w:ascii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EFLUXO </w:t>
      </w:r>
      <w:r w:rsidRPr="003A5CED">
        <w:rPr>
          <w:rFonts w:ascii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</w:rPr>
        <w:t>ASTROESOFÁGICO</w:t>
      </w:r>
    </w:p>
    <w:p w14:paraId="4CFB10B5" w14:textId="6431BE3C" w:rsidR="00C45D74" w:rsidRDefault="004B2BD6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1E5A6B">
        <w:rPr>
          <w:rFonts w:ascii="Times New Roman" w:hAnsi="Times New Roman" w:cs="Times New Roman"/>
          <w:sz w:val="24"/>
          <w:szCs w:val="24"/>
        </w:rPr>
        <w:t xml:space="preserve">A doença do refluxo gastroesofágico (DRGE) é definida pelo fluxo retrógrado do conteúdo gástrico para o esôfago, principalmente devido ao relaxamento inapropriado ou hipotensão do esfíncter inferior esofágico. Os achados clínicos podem ser esofágicos, como pirose e regurgitação ácida, ou extra-esofágicos, como a asma, que é uma doença caracterizada pela inflamação crônica das vias aéreas inferiores, levando a uma </w:t>
      </w:r>
      <w:proofErr w:type="spellStart"/>
      <w:r w:rsidR="001E5A6B">
        <w:rPr>
          <w:rFonts w:ascii="Times New Roman" w:hAnsi="Times New Roman" w:cs="Times New Roman"/>
          <w:sz w:val="24"/>
          <w:szCs w:val="24"/>
        </w:rPr>
        <w:t>hiperrresponsividade</w:t>
      </w:r>
      <w:proofErr w:type="spellEnd"/>
      <w:r w:rsidR="001E5A6B">
        <w:rPr>
          <w:rFonts w:ascii="Times New Roman" w:hAnsi="Times New Roman" w:cs="Times New Roman"/>
          <w:sz w:val="24"/>
          <w:szCs w:val="24"/>
        </w:rPr>
        <w:t xml:space="preserve"> dos brônquios e limitação do fluxo aéreo.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1E5A6B">
        <w:rPr>
          <w:rFonts w:ascii="Times New Roman" w:hAnsi="Times New Roman" w:cs="Times New Roman"/>
          <w:sz w:val="24"/>
          <w:szCs w:val="24"/>
        </w:rPr>
        <w:t xml:space="preserve">Compreender a relação do mecanismo fisiopatológico da DRGE e asma.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E5A6B">
        <w:rPr>
          <w:rFonts w:ascii="Times New Roman" w:hAnsi="Times New Roman" w:cs="Times New Roman"/>
          <w:sz w:val="24"/>
          <w:szCs w:val="24"/>
        </w:rPr>
        <w:t xml:space="preserve"> Para a construção dessa revisão integrativa foi feita uma busca no banco de dados </w:t>
      </w:r>
      <w:proofErr w:type="spellStart"/>
      <w:r w:rsidR="001E5A6B">
        <w:rPr>
          <w:rFonts w:ascii="Times New Roman" w:hAnsi="Times New Roman" w:cs="Times New Roman"/>
          <w:sz w:val="24"/>
          <w:szCs w:val="24"/>
        </w:rPr>
        <w:t>PubMed</w:t>
      </w:r>
      <w:proofErr w:type="spellEnd"/>
      <w:r w:rsidR="001E5A6B">
        <w:rPr>
          <w:rFonts w:ascii="Times New Roman" w:hAnsi="Times New Roman" w:cs="Times New Roman"/>
          <w:sz w:val="24"/>
          <w:szCs w:val="24"/>
        </w:rPr>
        <w:t>, em que 10 artigos publicados entre os anos de 2020 e 2022, na língua inglesa, foram selecionados. Os Descritores em Ciência da Saúde (</w:t>
      </w:r>
      <w:proofErr w:type="spellStart"/>
      <w:r w:rsidR="001E5A6B">
        <w:rPr>
          <w:rFonts w:ascii="Times New Roman" w:hAnsi="Times New Roman" w:cs="Times New Roman"/>
          <w:sz w:val="24"/>
          <w:szCs w:val="24"/>
        </w:rPr>
        <w:t>DeCS</w:t>
      </w:r>
      <w:proofErr w:type="spellEnd"/>
      <w:r w:rsidR="001E5A6B">
        <w:rPr>
          <w:rFonts w:ascii="Times New Roman" w:hAnsi="Times New Roman" w:cs="Times New Roman"/>
          <w:sz w:val="24"/>
          <w:szCs w:val="24"/>
        </w:rPr>
        <w:t>) usados foram “Asma”, “Conteúdo Gastrointestinal” e “Refluxo Gastroesofágico”. Foram  excluídos os artigos que não estavam disponíveis na íntegra e que desviavam do tema proposto.</w:t>
      </w:r>
      <w:r w:rsidR="00C45D74">
        <w:rPr>
          <w:rFonts w:ascii="Times New Roman" w:hAnsi="Times New Roman" w:cs="Times New Roman"/>
          <w:sz w:val="24"/>
          <w:szCs w:val="24"/>
        </w:rPr>
        <w:t xml:space="preserve"> 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E5A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E5A6B" w:rsidRPr="001E5A6B">
        <w:rPr>
          <w:rFonts w:ascii="Times New Roman" w:hAnsi="Times New Roman" w:cs="Times New Roman"/>
          <w:sz w:val="24"/>
          <w:szCs w:val="24"/>
        </w:rPr>
        <w:t>Dad</w:t>
      </w:r>
      <w:r w:rsidR="001E5A6B">
        <w:rPr>
          <w:rFonts w:ascii="Times New Roman" w:hAnsi="Times New Roman" w:cs="Times New Roman"/>
          <w:sz w:val="24"/>
          <w:szCs w:val="24"/>
        </w:rPr>
        <w:t>os epidemiológicos sugerem que um terço dos pacientes com DRGE pode apresentar sintomas extra-esofágicos, incluindo a asma</w:t>
      </w:r>
      <w:r w:rsidR="000D3FDA">
        <w:rPr>
          <w:rFonts w:ascii="Times New Roman" w:hAnsi="Times New Roman" w:cs="Times New Roman"/>
          <w:sz w:val="24"/>
          <w:szCs w:val="24"/>
        </w:rPr>
        <w:t>,</w:t>
      </w:r>
      <w:r w:rsidR="001E5A6B">
        <w:rPr>
          <w:rFonts w:ascii="Times New Roman" w:hAnsi="Times New Roman" w:cs="Times New Roman"/>
          <w:sz w:val="24"/>
          <w:szCs w:val="24"/>
        </w:rPr>
        <w:t xml:space="preserve"> e que a DRGE ocorre em 30-80% dos asmáticos. </w:t>
      </w:r>
      <w:r w:rsidR="001E5A6B">
        <w:rPr>
          <w:rFonts w:ascii="Times New Roman" w:hAnsi="Times New Roman" w:cs="Times New Roman"/>
          <w:caps/>
          <w:sz w:val="24"/>
          <w:szCs w:val="24"/>
        </w:rPr>
        <w:t>A</w:t>
      </w:r>
      <w:r w:rsidR="001E5A6B">
        <w:rPr>
          <w:rFonts w:ascii="Times New Roman" w:hAnsi="Times New Roman" w:cs="Times New Roman"/>
          <w:sz w:val="24"/>
          <w:szCs w:val="24"/>
        </w:rPr>
        <w:t xml:space="preserve"> coexistência dessas patologias pode ser explicada pela “teoria do refluxo” na qual um paciente com DRGE microaspira o conteúdo ácido gastroduodenal, ocasionando uma inflamação crônica do tecido pulmonar com obstrução das vias aéreas, má troca gasosa, lesão pulmonar aguda e síndrome do desconforto respiratório agudo grave. Também existe a “teoria do reflexo”, que leva em consideração o fato de que o esôfago e a árvore traqueobrônquica compartilham uma inervação semelhante, com a mesma origem embriológica. Desta forma, estímulos no esôfago poderiam levar a sintomas extra-esofágicos via reflexos do nervo vago. Alguns autores também propõem que a asma pode levar à piora da DRGE</w:t>
      </w:r>
      <w:r w:rsidR="000D3FDA">
        <w:rPr>
          <w:rFonts w:ascii="Times New Roman" w:hAnsi="Times New Roman" w:cs="Times New Roman"/>
          <w:sz w:val="24"/>
          <w:szCs w:val="24"/>
        </w:rPr>
        <w:t xml:space="preserve"> pois acredita-se que drogas antiasmáticas, como beta agonistas, corticosteroides ou teofilina, causem o relaxamento dos músculos lisos, incluindo o esfíncter esofágico inferior. Além disso, o padrão obstrutivo da asma causa aumento da pressão pleural intratorácica negativa e aumento da pressão diafragmática gerando um gradiente de pressão que facilita o refluxo do conteúdo gastroduodenal. Pacientes com asma também tem uma pressão do esfíncter esofágico inferior mais alta em repouso, em contraste com indivíduos saudáveis. Considerando a relação das duas doenças, estudos demonstram que em cerca de 70% dos pacientes em tratamento de DGRE sintomático, os inibidores de bomba de próton (</w:t>
      </w:r>
      <w:proofErr w:type="spellStart"/>
      <w:r w:rsidR="000D3FDA">
        <w:rPr>
          <w:rFonts w:ascii="Times New Roman" w:hAnsi="Times New Roman" w:cs="Times New Roman"/>
          <w:sz w:val="24"/>
          <w:szCs w:val="24"/>
        </w:rPr>
        <w:t>IBPs</w:t>
      </w:r>
      <w:proofErr w:type="spellEnd"/>
      <w:r w:rsidR="000D3FDA">
        <w:rPr>
          <w:rFonts w:ascii="Times New Roman" w:hAnsi="Times New Roman" w:cs="Times New Roman"/>
          <w:sz w:val="24"/>
          <w:szCs w:val="24"/>
        </w:rPr>
        <w:t>) e antagonistas do receptor H2 da histamina, melhoram os sintomas relacionados à asma.</w:t>
      </w:r>
      <w:r w:rsidR="001E5A6B" w:rsidRPr="001E5A6B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0D3FDA">
        <w:rPr>
          <w:rFonts w:ascii="Times New Roman" w:hAnsi="Times New Roman" w:cs="Times New Roman"/>
          <w:sz w:val="24"/>
          <w:szCs w:val="24"/>
        </w:rPr>
        <w:t>A literatura evidencia uma forte relação entre DRGE e asma, que pode  ser explicada por um mecanismo fisiopatológico bidirecional, no qual uma patologia pode desenvolver ou exacerbar a outra.</w:t>
      </w: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06DD9" w14:textId="04B29F8E" w:rsidR="00C45D74" w:rsidRPr="00C45D74" w:rsidRDefault="00C45D74" w:rsidP="000D3F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D3FDA" w:rsidRPr="005A3B5C">
        <w:rPr>
          <w:rFonts w:ascii="Times New Roman" w:hAnsi="Times New Roman" w:cs="Times New Roman"/>
          <w:sz w:val="24"/>
          <w:szCs w:val="24"/>
        </w:rPr>
        <w:t>Asma;  Conteúdo Gastrointestinal; Refluxo Gastroesofágico.</w:t>
      </w: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4A639" w14:textId="77777777" w:rsidR="00432228" w:rsidRDefault="00432228" w:rsidP="007218E2">
      <w:pPr>
        <w:spacing w:after="0" w:line="240" w:lineRule="auto"/>
      </w:pPr>
      <w:r>
        <w:separator/>
      </w:r>
    </w:p>
  </w:endnote>
  <w:endnote w:type="continuationSeparator" w:id="0">
    <w:p w14:paraId="094D8B49" w14:textId="77777777" w:rsidR="00432228" w:rsidRDefault="00432228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C3B70" w14:textId="77777777" w:rsidR="00432228" w:rsidRDefault="00432228" w:rsidP="007218E2">
      <w:pPr>
        <w:spacing w:after="0" w:line="240" w:lineRule="auto"/>
      </w:pPr>
      <w:r>
        <w:separator/>
      </w:r>
    </w:p>
  </w:footnote>
  <w:footnote w:type="continuationSeparator" w:id="0">
    <w:p w14:paraId="7475CFE6" w14:textId="77777777" w:rsidR="00432228" w:rsidRDefault="00432228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0D3FDA"/>
    <w:rsid w:val="001E5A6B"/>
    <w:rsid w:val="003A4751"/>
    <w:rsid w:val="00432228"/>
    <w:rsid w:val="004B2BD6"/>
    <w:rsid w:val="005966D2"/>
    <w:rsid w:val="0063107C"/>
    <w:rsid w:val="006D41FF"/>
    <w:rsid w:val="007218E2"/>
    <w:rsid w:val="009D62B9"/>
    <w:rsid w:val="00B27934"/>
    <w:rsid w:val="00BD6D9B"/>
    <w:rsid w:val="00C45D74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470</Words>
  <Characters>2544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Sérgio Machado</cp:lastModifiedBy>
  <cp:revision>2</cp:revision>
  <dcterms:created xsi:type="dcterms:W3CDTF">2023-05-11T19:02:00Z</dcterms:created>
  <dcterms:modified xsi:type="dcterms:W3CDTF">2023-05-11T19:02:00Z</dcterms:modified>
</cp:coreProperties>
</file>