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rFonts w:ascii="Times" w:hAnsi="Times"/>
          <w:b/>
          <w:sz w:val="24"/>
          <w:szCs w:val="24"/>
          <w:lang w:val="en-US"/>
        </w:rPr>
        <w:t xml:space="preserve">LIVING IN A POLARIZED WORLD: PHYLOGENY AND EVOLUTIONARY HISTORY OF NEUROPOGONOID </w:t>
      </w:r>
      <w:r>
        <w:rPr>
          <w:rFonts w:ascii="Times" w:hAnsi="Times"/>
          <w:b/>
          <w:i/>
          <w:iCs/>
          <w:sz w:val="24"/>
          <w:szCs w:val="24"/>
          <w:lang w:val="en-US"/>
        </w:rPr>
        <w:t>Usneas</w:t>
      </w:r>
      <w:r>
        <w:rPr>
          <w:rFonts w:ascii="Times" w:hAnsi="Times"/>
          <w:b/>
          <w:sz w:val="24"/>
          <w:szCs w:val="24"/>
          <w:lang w:val="en-US"/>
        </w:rPr>
        <w:t xml:space="preserve"> (Parmeliaceae, Ascomycota)</w:t>
      </w:r>
    </w:p>
    <w:p>
      <w:pPr>
        <w:pStyle w:val="Normal"/>
        <w:rPr>
          <w:rFonts w:ascii="Times" w:hAnsi="Times"/>
          <w:sz w:val="24"/>
          <w:szCs w:val="24"/>
          <w:vertAlign w:val="superscript"/>
        </w:rPr>
      </w:pPr>
      <w:r>
        <w:rPr>
          <w:rFonts w:ascii="Times" w:hAnsi="Times"/>
          <w:sz w:val="24"/>
          <w:szCs w:val="24"/>
        </w:rPr>
        <w:t>Ana Otero</w:t>
      </w:r>
      <w:r>
        <w:rPr>
          <w:rFonts w:ascii="Times" w:hAnsi="Times"/>
          <w:sz w:val="24"/>
          <w:szCs w:val="24"/>
          <w:vertAlign w:val="superscript"/>
        </w:rPr>
        <w:t>1*</w:t>
      </w:r>
      <w:r>
        <w:rPr>
          <w:rFonts w:ascii="Times" w:hAnsi="Times"/>
          <w:sz w:val="24"/>
          <w:szCs w:val="24"/>
        </w:rPr>
        <w:t>, Thorsten Lumbsch</w:t>
      </w:r>
      <w:r>
        <w:rPr>
          <w:rFonts w:ascii="Times" w:hAnsi="Times"/>
          <w:sz w:val="24"/>
          <w:szCs w:val="24"/>
          <w:vertAlign w:val="superscript"/>
        </w:rPr>
        <w:t>1</w:t>
      </w:r>
      <w:r>
        <w:rPr>
          <w:rFonts w:ascii="Times" w:hAnsi="Times"/>
          <w:sz w:val="24"/>
          <w:szCs w:val="24"/>
        </w:rPr>
        <w:t>, Felix Grewe</w:t>
      </w:r>
      <w:r>
        <w:rPr>
          <w:rFonts w:ascii="Times" w:hAnsi="Times"/>
          <w:sz w:val="24"/>
          <w:szCs w:val="24"/>
          <w:vertAlign w:val="superscript"/>
        </w:rPr>
        <w:t>1</w:t>
      </w:r>
    </w:p>
    <w:p>
      <w:pPr>
        <w:pStyle w:val="Normal"/>
        <w:jc w:val="center"/>
        <w:rPr>
          <w:rFonts w:ascii="Times" w:hAnsi="Times"/>
          <w:color w:val="000000" w:themeColor="text1"/>
          <w:sz w:val="24"/>
          <w:szCs w:val="24"/>
        </w:rPr>
      </w:pPr>
      <w:r>
        <w:rPr>
          <w:rFonts w:ascii="Times" w:hAnsi="Times"/>
          <w:sz w:val="24"/>
          <w:szCs w:val="24"/>
          <w:vertAlign w:val="superscript"/>
        </w:rPr>
        <w:t xml:space="preserve">1 </w:t>
      </w:r>
      <w:r>
        <w:rPr>
          <w:rFonts w:ascii="Times" w:hAnsi="Times"/>
          <w:color w:val="000000"/>
          <w:sz w:val="24"/>
          <w:szCs w:val="24"/>
        </w:rPr>
        <w:t xml:space="preserve">Grainger Bioinformatics Center, Department of Science and Education, The Field Museum, 1400 South Lake Shore Drive, Chicago, Illinois 60605-2496; </w:t>
      </w:r>
      <w:r>
        <w:rPr>
          <w:rFonts w:ascii="Times" w:hAnsi="Times"/>
          <w:color w:val="000000" w:themeColor="text1"/>
          <w:sz w:val="24"/>
          <w:szCs w:val="24"/>
          <w:vertAlign w:val="superscript"/>
        </w:rPr>
        <w:t xml:space="preserve">* </w:t>
      </w:r>
      <w:r>
        <w:rPr>
          <w:rFonts w:ascii="Times" w:hAnsi="Times"/>
          <w:color w:val="000000"/>
          <w:sz w:val="24"/>
          <w:szCs w:val="24"/>
        </w:rPr>
        <w:t xml:space="preserve">E-mail: </w:t>
      </w:r>
      <w:r>
        <w:rPr>
          <w:rFonts w:eastAsia="Cambria" w:ascii="Times" w:hAnsi="Times"/>
          <w:color w:val="000000" w:themeColor="text1"/>
          <w:sz w:val="24"/>
          <w:szCs w:val="24"/>
        </w:rPr>
        <w:t>aotero</w:t>
      </w:r>
      <w:r>
        <w:rPr>
          <w:rFonts w:ascii="Times" w:hAnsi="Times"/>
          <w:color w:val="000000" w:themeColor="text1"/>
          <w:sz w:val="24"/>
          <w:szCs w:val="24"/>
        </w:rPr>
        <w:t>@fieldmuseum.org</w:t>
      </w:r>
    </w:p>
    <w:p>
      <w:pPr>
        <w:pStyle w:val="Normal"/>
        <w:spacing w:lineRule="auto" w:line="276" w:before="0" w:after="159"/>
        <w:contextualSpacing/>
        <w:jc w:val="both"/>
        <w:rPr/>
      </w:pPr>
      <w:r>
        <w:rPr>
          <w:rFonts w:eastAsia="Cambria" w:ascii="Times" w:hAnsi="Times"/>
          <w:i/>
          <w:iCs/>
          <w:color w:val="000000"/>
          <w:sz w:val="24"/>
          <w:szCs w:val="24"/>
          <w:lang w:val="en-US"/>
        </w:rPr>
        <w:t>Usnea</w:t>
      </w:r>
      <w:r>
        <w:rPr>
          <w:rFonts w:eastAsia="Cambria" w:ascii="Times" w:hAnsi="Times"/>
          <w:color w:val="000000"/>
          <w:sz w:val="24"/>
          <w:szCs w:val="24"/>
          <w:lang w:val="en-US"/>
        </w:rPr>
        <w:t xml:space="preserve"> ca. 600 spp. is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 one of the largest </w:t>
      </w:r>
      <w:r>
        <w:rPr>
          <w:rFonts w:eastAsia="Cambria" w:ascii="Times" w:hAnsi="Times"/>
          <w:color w:val="000000"/>
          <w:sz w:val="24"/>
          <w:szCs w:val="24"/>
          <w:lang w:val="en-US"/>
        </w:rPr>
        <w:t>genera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 of lichen-forming fungus within the family </w:t>
      </w:r>
      <w:r>
        <w:rPr>
          <w:rFonts w:eastAsia="Cambria" w:ascii="Times" w:hAnsi="Times"/>
          <w:color w:val="000000"/>
          <w:sz w:val="24"/>
          <w:szCs w:val="24"/>
          <w:lang w:val="en-US"/>
        </w:rPr>
        <w:t>of Parmeliaceae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. The exceptionally high plasticity in morphological characters of </w:t>
      </w:r>
      <w:r>
        <w:rPr>
          <w:rFonts w:ascii="Times" w:hAnsi="Times"/>
          <w:i/>
          <w:iCs/>
          <w:color w:val="000000"/>
          <w:sz w:val="24"/>
          <w:szCs w:val="24"/>
          <w:lang w:val="en-US"/>
        </w:rPr>
        <w:t>Usnea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 has traditionally been a challenge for systemati</w:t>
      </w:r>
      <w:r>
        <w:rPr>
          <w:rFonts w:eastAsia="Cambria" w:ascii="Times" w:hAnsi="Times"/>
          <w:color w:val="000000"/>
          <w:sz w:val="24"/>
          <w:szCs w:val="24"/>
          <w:lang w:val="en-US"/>
        </w:rPr>
        <w:t>sts and taxonomists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. For example, it has been discussed whether </w:t>
      </w:r>
      <w:r>
        <w:rPr>
          <w:rFonts w:eastAsia="Cambria" w:ascii="Times" w:hAnsi="Times"/>
          <w:color w:val="000000"/>
          <w:sz w:val="24"/>
          <w:szCs w:val="24"/>
          <w:lang w:val="en-US"/>
        </w:rPr>
        <w:t>n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europogonoid </w:t>
      </w:r>
      <w:r>
        <w:rPr>
          <w:rFonts w:ascii="Times" w:hAnsi="Times"/>
          <w:i/>
          <w:iCs/>
          <w:color w:val="000000"/>
          <w:sz w:val="24"/>
          <w:szCs w:val="24"/>
          <w:lang w:val="en-US"/>
        </w:rPr>
        <w:t xml:space="preserve">Usnea 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species represent an independent genus or a consolidated group within </w:t>
      </w:r>
      <w:r>
        <w:rPr>
          <w:rFonts w:ascii="Times" w:hAnsi="Times"/>
          <w:i/>
          <w:iCs/>
          <w:color w:val="000000"/>
          <w:sz w:val="24"/>
          <w:szCs w:val="24"/>
          <w:lang w:val="en-US"/>
        </w:rPr>
        <w:t>Usnea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 based on their characters of d</w:t>
      </w:r>
      <w:r>
        <w:rPr>
          <w:rFonts w:eastAsia="Cambria" w:ascii="Times" w:hAnsi="Times"/>
          <w:color w:val="000000"/>
          <w:sz w:val="24"/>
          <w:szCs w:val="24"/>
          <w:lang w:val="en-US"/>
        </w:rPr>
        <w:t>arkly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 pigmented upper parts and dark brown apothecial discs. </w:t>
      </w:r>
      <w:r>
        <w:rPr>
          <w:rFonts w:eastAsia="Cambria" w:ascii="Times" w:hAnsi="Times"/>
          <w:color w:val="000000"/>
          <w:sz w:val="24"/>
          <w:szCs w:val="24"/>
          <w:lang w:val="en-US"/>
        </w:rPr>
        <w:t>DNA sequencing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 in combination with detailed morphological studies </w:t>
      </w:r>
      <w:r>
        <w:rPr>
          <w:rFonts w:eastAsia="Cambria" w:ascii="Times" w:hAnsi="Times"/>
          <w:color w:val="000000"/>
          <w:sz w:val="24"/>
          <w:szCs w:val="24"/>
          <w:lang w:val="en-US"/>
        </w:rPr>
        <w:t xml:space="preserve">have 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suggested that these characters evolved independently in different lineages of </w:t>
      </w:r>
      <w:r>
        <w:rPr>
          <w:rFonts w:ascii="Times" w:hAnsi="Times"/>
          <w:i/>
          <w:iCs/>
          <w:color w:val="000000"/>
          <w:sz w:val="24"/>
          <w:szCs w:val="24"/>
          <w:lang w:val="en-US"/>
        </w:rPr>
        <w:t>Usnea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 as an adaptive response to harsh environmental conditions rather than representing key group-defining innovations. This inclusion of molecular phylogenetics undoubtedly has </w:t>
      </w:r>
      <w:r>
        <w:rPr>
          <w:rFonts w:eastAsia="Cambria" w:ascii="Times" w:hAnsi="Times"/>
          <w:color w:val="000000"/>
          <w:sz w:val="24"/>
          <w:szCs w:val="24"/>
          <w:lang w:val="en-US"/>
        </w:rPr>
        <w:t>boosted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 evolutionary insights such us the largely debated species-pair concepts also present in </w:t>
      </w:r>
      <w:r>
        <w:rPr>
          <w:rFonts w:eastAsia="Cambria" w:ascii="Times" w:hAnsi="Times"/>
          <w:color w:val="000000"/>
          <w:sz w:val="24"/>
          <w:szCs w:val="24"/>
          <w:lang w:val="en-US"/>
        </w:rPr>
        <w:t>n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europogonoid </w:t>
      </w:r>
      <w:r>
        <w:rPr>
          <w:rFonts w:ascii="Times" w:hAnsi="Times"/>
          <w:i/>
          <w:iCs/>
          <w:color w:val="000000"/>
          <w:sz w:val="24"/>
          <w:szCs w:val="24"/>
          <w:lang w:val="en-US"/>
        </w:rPr>
        <w:t>Usneas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 (e.g., </w:t>
      </w:r>
      <w:r>
        <w:rPr>
          <w:rFonts w:ascii="Times" w:hAnsi="Times"/>
          <w:i/>
          <w:iCs/>
          <w:color w:val="000000"/>
          <w:sz w:val="24"/>
          <w:szCs w:val="24"/>
          <w:lang w:val="en-US"/>
        </w:rPr>
        <w:t>U. antarctica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 and </w:t>
      </w:r>
      <w:r>
        <w:rPr>
          <w:rFonts w:ascii="Times" w:hAnsi="Times"/>
          <w:i/>
          <w:iCs/>
          <w:color w:val="000000"/>
          <w:sz w:val="24"/>
          <w:szCs w:val="24"/>
          <w:lang w:val="en-US"/>
        </w:rPr>
        <w:t>U. aurantiacoatra</w:t>
      </w:r>
      <w:r>
        <w:rPr>
          <w:rFonts w:ascii="Times" w:hAnsi="Times"/>
          <w:color w:val="000000"/>
          <w:sz w:val="24"/>
          <w:szCs w:val="24"/>
          <w:lang w:val="en-US"/>
        </w:rPr>
        <w:t>). However, the nature of symbiotic organisms make it</w:t>
      </w:r>
      <w:r>
        <w:rPr>
          <w:rFonts w:eastAsia="Cambria" w:ascii="Times" w:hAnsi="Times"/>
          <w:color w:val="000000"/>
          <w:sz w:val="24"/>
          <w:szCs w:val="24"/>
          <w:lang w:val="en-US"/>
        </w:rPr>
        <w:t xml:space="preserve"> necessary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 to adjust existing cutting-edge sequencing </w:t>
      </w:r>
      <w:r>
        <w:rPr>
          <w:rFonts w:eastAsia="Cambria" w:ascii="Times" w:hAnsi="Times"/>
          <w:color w:val="000000"/>
          <w:sz w:val="24"/>
          <w:szCs w:val="24"/>
          <w:lang w:val="en-US"/>
        </w:rPr>
        <w:t>techniques and analyses to metagenomic sequencing data. Nevertheless, recent studies have unveiled the power and robustness of reference-based RADseq using metagenomic DNA to resolve phylogenetic relationships among closely related symbionts. Following these previous studies, we have used reference-based RADseq to obtain representative genome fragments for over 600 specimens of n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europogonoid </w:t>
      </w:r>
      <w:r>
        <w:rPr>
          <w:rFonts w:ascii="Times" w:hAnsi="Times"/>
          <w:i/>
          <w:iCs/>
          <w:color w:val="000000"/>
          <w:sz w:val="24"/>
          <w:szCs w:val="24"/>
          <w:lang w:val="en-US"/>
        </w:rPr>
        <w:t>Usneas</w:t>
      </w:r>
      <w:r>
        <w:rPr>
          <w:rFonts w:eastAsia="Cambria" w:ascii="Times" w:hAnsi="Times"/>
          <w:color w:val="000000"/>
          <w:sz w:val="24"/>
          <w:szCs w:val="24"/>
          <w:lang w:val="en-US"/>
        </w:rPr>
        <w:t>. Our main aim is to reconstruct the evolutionary history of this group to address these specific questions: What is the species delimitation of n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europogonoid </w:t>
      </w:r>
      <w:r>
        <w:rPr>
          <w:rFonts w:ascii="Times" w:hAnsi="Times"/>
          <w:i/>
          <w:iCs/>
          <w:color w:val="000000"/>
          <w:sz w:val="24"/>
          <w:szCs w:val="24"/>
          <w:lang w:val="en-US"/>
        </w:rPr>
        <w:t>Usneas</w:t>
      </w:r>
      <w:r>
        <w:rPr>
          <w:rFonts w:eastAsia="Cambria" w:ascii="Times" w:hAnsi="Times"/>
          <w:color w:val="000000"/>
          <w:sz w:val="24"/>
          <w:szCs w:val="24"/>
          <w:lang w:val="en-US"/>
        </w:rPr>
        <w:t>? What is the spatio-temporal evolutionary scenario for n</w:t>
      </w:r>
      <w:r>
        <w:rPr>
          <w:rFonts w:ascii="Times" w:hAnsi="Times"/>
          <w:color w:val="000000"/>
          <w:sz w:val="24"/>
          <w:szCs w:val="24"/>
          <w:lang w:val="en-US"/>
        </w:rPr>
        <w:t xml:space="preserve">europogonoid </w:t>
      </w:r>
      <w:r>
        <w:rPr>
          <w:rFonts w:ascii="Times" w:hAnsi="Times"/>
          <w:i/>
          <w:iCs/>
          <w:color w:val="000000"/>
          <w:sz w:val="24"/>
          <w:szCs w:val="24"/>
          <w:lang w:val="en-US"/>
        </w:rPr>
        <w:t>Usneas</w:t>
      </w:r>
      <w:r>
        <w:rPr>
          <w:rFonts w:eastAsia="Cambria" w:ascii="Times" w:hAnsi="Times"/>
          <w:color w:val="000000"/>
          <w:sz w:val="24"/>
          <w:szCs w:val="24"/>
          <w:lang w:val="en-US"/>
        </w:rPr>
        <w:t xml:space="preserve">? What is the level of gene-flow between geographically separated populations? </w:t>
      </w:r>
    </w:p>
    <w:p>
      <w:pPr>
        <w:pStyle w:val="Normal"/>
        <w:spacing w:lineRule="auto" w:line="276" w:before="0" w:after="159"/>
        <w:contextualSpacing/>
        <w:jc w:val="both"/>
        <w:rPr/>
      </w:pPr>
      <w:r>
        <w:rPr>
          <w:rFonts w:eastAsia="Cambria" w:ascii="Times" w:hAnsi="Times"/>
          <w:color w:val="000000"/>
          <w:sz w:val="24"/>
          <w:szCs w:val="24"/>
          <w:lang w:val="en-US"/>
        </w:rPr>
        <w:t>Funding: Robert A. Pritzker Center for Meteoritics and Polar Studies and Tawani Foundation</w:t>
      </w:r>
    </w:p>
    <w:p>
      <w:pPr>
        <w:pStyle w:val="Normal"/>
        <w:spacing w:before="0" w:after="160"/>
        <w:rPr>
          <w:highlight w:val="yellow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revisionView w:insDel="0" w:formatting="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2a2a"/>
    <w:pPr>
      <w:widowControl/>
      <w:suppressAutoHyphens w:val="true"/>
      <w:bidi w:val="0"/>
      <w:spacing w:lineRule="auto" w:line="259" w:before="0" w:after="160"/>
      <w:jc w:val="left"/>
    </w:pPr>
    <w:rPr>
      <w:rFonts w:ascii="Cambria" w:hAnsi="Cambria" w:eastAsia="Cambria" w:cs="" w:eastAsia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 w:customStyle="1">
    <w:name w:val="Enlace de Internet"/>
    <w:rsid w:val="00d22a2a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bd2764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531d5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3531d5"/>
    <w:rPr>
      <w:rFonts w:ascii="Cambria" w:hAnsi="Cambria" w:eastAsia="Cambria" w:eastAsiaTheme="minorHAnsi"/>
      <w:szCs w:val="20"/>
      <w:lang w:val="pt-BR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3531d5"/>
    <w:rPr>
      <w:rFonts w:ascii="Cambria" w:hAnsi="Cambria" w:eastAsia="Cambria" w:eastAsiaTheme="minorHAnsi"/>
      <w:b/>
      <w:bCs/>
      <w:szCs w:val="20"/>
      <w:lang w:val="pt-BR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3531d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3531d5"/>
    <w:pPr/>
    <w:rPr>
      <w:b/>
      <w:bCs/>
    </w:rPr>
  </w:style>
  <w:style w:type="paragraph" w:styleId="Revision">
    <w:name w:val="Revision"/>
    <w:uiPriority w:val="99"/>
    <w:semiHidden/>
    <w:qFormat/>
    <w:rsid w:val="00643adb"/>
    <w:pPr>
      <w:widowControl/>
      <w:suppressAutoHyphens w:val="false"/>
      <w:bidi w:val="0"/>
      <w:spacing w:before="0" w:after="0"/>
      <w:jc w:val="left"/>
    </w:pPr>
    <w:rPr>
      <w:rFonts w:ascii="Cambria" w:hAnsi="Cambria" w:eastAsia="Cambria" w:cs="" w:eastAsia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LibreOffice/6.4.6.2$Linux_X86_64 LibreOffice_project/40$Build-2</Application>
  <Pages>1</Pages>
  <Words>297</Words>
  <Characters>1929</Characters>
  <CharactersWithSpaces>2222</CharactersWithSpaces>
  <Paragraphs>5</Paragraphs>
  <Company>NMNH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2021-04-14T19:04:00Z</dcterms:created>
  <dc:creator>Manuela Dal Forno</dc:creator>
  <dc:description/>
  <dc:language>es-US</dc:language>
  <cp:lastModifiedBy/>
  <dcterms:modified xsi:type="dcterms:W3CDTF">2021-04-14T20:51:42Z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NMNH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