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75645B" w14:textId="0E94419F" w:rsidR="00390C0D" w:rsidRPr="00390C0D" w:rsidRDefault="00390C0D" w:rsidP="00892CA9">
      <w:pPr>
        <w:tabs>
          <w:tab w:val="left" w:pos="5955"/>
        </w:tabs>
        <w:ind w:firstLine="0"/>
      </w:pPr>
    </w:p>
    <w:p w14:paraId="2591950B" w14:textId="68A629A1" w:rsidR="009B4393" w:rsidRPr="008F3891" w:rsidRDefault="008562B7" w:rsidP="008562B7">
      <w:pPr>
        <w:pStyle w:val="PargrafodaLista"/>
        <w:tabs>
          <w:tab w:val="left" w:pos="5871"/>
        </w:tabs>
        <w:jc w:val="lef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35143EC0" w14:textId="4180A3A4" w:rsidR="000B3107" w:rsidRDefault="000B3107" w:rsidP="00026BCD">
      <w:pPr>
        <w:jc w:val="center"/>
        <w:rPr>
          <w:rFonts w:ascii="Arial" w:hAnsi="Arial" w:cs="Arial"/>
          <w:sz w:val="24"/>
          <w:szCs w:val="24"/>
        </w:rPr>
      </w:pPr>
    </w:p>
    <w:p w14:paraId="0C338CB5" w14:textId="1EBDA864" w:rsidR="00CF427F" w:rsidRDefault="00026BCD" w:rsidP="00DC0714">
      <w:pPr>
        <w:pStyle w:val="Ttulo"/>
      </w:pPr>
      <w:r w:rsidRPr="0491D5EE">
        <w:t>RESUMO EXPANDIDO</w:t>
      </w:r>
    </w:p>
    <w:p w14:paraId="40182AD9" w14:textId="77777777" w:rsidR="0491D5EE" w:rsidRDefault="0491D5EE" w:rsidP="297915AF">
      <w:pPr>
        <w:pStyle w:val="Texto"/>
      </w:pPr>
    </w:p>
    <w:p w14:paraId="5EB4D84D" w14:textId="5E1A3CE1" w:rsidR="0491D5EE" w:rsidRPr="001F6136" w:rsidRDefault="2BF74FE8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Grupo de Trabalho (GT):</w:t>
      </w:r>
      <w:r w:rsidR="006D3142" w:rsidRPr="006D3142">
        <w:t xml:space="preserve"> </w:t>
      </w:r>
      <w:r w:rsidR="006D3142" w:rsidRPr="006D3142">
        <w:rPr>
          <w:rFonts w:ascii="Arial" w:hAnsi="Arial" w:cs="Arial"/>
          <w:sz w:val="24"/>
          <w:szCs w:val="24"/>
        </w:rPr>
        <w:t>GT 10 – Agricultura, Sociedade e Educação</w:t>
      </w:r>
    </w:p>
    <w:p w14:paraId="6990960F" w14:textId="510B201E" w:rsidR="0491D5EE" w:rsidRPr="001F6136" w:rsidRDefault="0491D5EE" w:rsidP="001F6136">
      <w:pPr>
        <w:rPr>
          <w:rFonts w:ascii="Arial" w:hAnsi="Arial" w:cs="Arial"/>
          <w:sz w:val="24"/>
          <w:szCs w:val="24"/>
        </w:rPr>
      </w:pPr>
    </w:p>
    <w:p w14:paraId="7E19E27C" w14:textId="11585DCF" w:rsidR="00251815" w:rsidRPr="001F6136" w:rsidRDefault="517E9F2A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Modalidade d</w:t>
      </w:r>
      <w:r w:rsidR="64F49340" w:rsidRPr="001F6136">
        <w:rPr>
          <w:rFonts w:ascii="Arial" w:hAnsi="Arial" w:cs="Arial"/>
          <w:sz w:val="24"/>
          <w:szCs w:val="24"/>
        </w:rPr>
        <w:t xml:space="preserve">o </w:t>
      </w:r>
      <w:r w:rsidR="52EB1B39" w:rsidRPr="001F6136">
        <w:rPr>
          <w:rFonts w:ascii="Arial" w:hAnsi="Arial" w:cs="Arial"/>
          <w:sz w:val="24"/>
          <w:szCs w:val="24"/>
        </w:rPr>
        <w:t>trabalho</w:t>
      </w:r>
      <w:r w:rsidR="5A2C2FA2" w:rsidRPr="001F6136">
        <w:rPr>
          <w:rFonts w:ascii="Arial" w:hAnsi="Arial" w:cs="Arial"/>
          <w:sz w:val="24"/>
          <w:szCs w:val="24"/>
        </w:rPr>
        <w:t>:</w:t>
      </w:r>
      <w:r w:rsidR="261990A4" w:rsidRPr="001F6136">
        <w:rPr>
          <w:rFonts w:ascii="Arial" w:hAnsi="Arial" w:cs="Arial"/>
          <w:sz w:val="24"/>
          <w:szCs w:val="24"/>
        </w:rPr>
        <w:t xml:space="preserve"> </w:t>
      </w:r>
      <w:r w:rsidR="052D4632" w:rsidRPr="001F6136">
        <w:rPr>
          <w:rFonts w:ascii="Arial" w:hAnsi="Arial" w:cs="Arial"/>
          <w:sz w:val="24"/>
          <w:szCs w:val="24"/>
        </w:rPr>
        <w:t>comunicação</w:t>
      </w:r>
      <w:r w:rsidR="1427526F" w:rsidRPr="001F6136">
        <w:rPr>
          <w:rFonts w:ascii="Arial" w:hAnsi="Arial" w:cs="Arial"/>
          <w:sz w:val="24"/>
          <w:szCs w:val="24"/>
        </w:rPr>
        <w:t xml:space="preserve"> oral</w:t>
      </w:r>
    </w:p>
    <w:p w14:paraId="76D235B2" w14:textId="580693E4" w:rsidR="77D603DC" w:rsidRPr="001F6136" w:rsidRDefault="77D603DC" w:rsidP="001F6136">
      <w:pPr>
        <w:rPr>
          <w:rFonts w:ascii="Arial" w:hAnsi="Arial" w:cs="Arial"/>
          <w:sz w:val="24"/>
          <w:szCs w:val="24"/>
        </w:rPr>
      </w:pPr>
    </w:p>
    <w:p w14:paraId="1572CD5D" w14:textId="6B98E06C" w:rsidR="110062EF" w:rsidRPr="001F6136" w:rsidRDefault="046AE1D2" w:rsidP="001F6136">
      <w:pPr>
        <w:ind w:firstLine="0"/>
        <w:rPr>
          <w:rFonts w:ascii="Arial" w:hAnsi="Arial" w:cs="Arial"/>
          <w:sz w:val="24"/>
          <w:szCs w:val="24"/>
        </w:rPr>
      </w:pPr>
      <w:r w:rsidRPr="001F6136">
        <w:rPr>
          <w:rFonts w:ascii="Arial" w:hAnsi="Arial" w:cs="Arial"/>
          <w:sz w:val="24"/>
          <w:szCs w:val="24"/>
        </w:rPr>
        <w:t>Formato de apresentação: presencial</w:t>
      </w:r>
    </w:p>
    <w:p w14:paraId="5191CADF" w14:textId="5F803C52" w:rsidR="0491D5EE" w:rsidRDefault="0491D5EE" w:rsidP="00E73320">
      <w:pPr>
        <w:pStyle w:val="Texto"/>
      </w:pPr>
    </w:p>
    <w:p w14:paraId="2C8BD57A" w14:textId="3384A814" w:rsidR="003B2FAA" w:rsidRDefault="000603DF" w:rsidP="003B2FAA">
      <w:pPr>
        <w:pStyle w:val="Ttulo"/>
      </w:pPr>
      <w:r>
        <w:t xml:space="preserve">EDUCAÇÃO QUE FLORESCE: </w:t>
      </w:r>
      <w:r w:rsidRPr="000603DF">
        <w:t>HORTAS INTERGERACIONAIS COMO ESPAÇO DE APRENDIZAGEM</w:t>
      </w:r>
    </w:p>
    <w:p w14:paraId="5A1B1E66" w14:textId="6C5C168C" w:rsidR="78AE189E" w:rsidRPr="00DA1797" w:rsidRDefault="78AE189E" w:rsidP="00E73320">
      <w:pPr>
        <w:pStyle w:val="Texto"/>
      </w:pPr>
    </w:p>
    <w:p w14:paraId="5DA54C82" w14:textId="3093CB4F" w:rsidR="009F755A" w:rsidRDefault="00D575D6" w:rsidP="009F755A">
      <w:pPr>
        <w:pStyle w:val="Autoria"/>
        <w:rPr>
          <w:sz w:val="24"/>
        </w:rPr>
      </w:pPr>
      <w:bookmarkStart w:id="0" w:name="_Hlk212920902"/>
      <w:r>
        <w:rPr>
          <w:rFonts w:eastAsia="Arial"/>
          <w:color w:val="000000"/>
        </w:rPr>
        <w:t xml:space="preserve">                                                                                       </w:t>
      </w:r>
      <w:r w:rsidR="009F755A" w:rsidRPr="007E362A">
        <w:rPr>
          <w:rFonts w:eastAsia="Arial"/>
          <w:color w:val="000000"/>
          <w:sz w:val="24"/>
        </w:rPr>
        <w:t xml:space="preserve">Laiane Gabrieli </w:t>
      </w:r>
      <w:proofErr w:type="spellStart"/>
      <w:r w:rsidR="009F755A" w:rsidRPr="007E362A">
        <w:rPr>
          <w:rFonts w:eastAsia="Arial"/>
          <w:color w:val="000000"/>
          <w:sz w:val="24"/>
        </w:rPr>
        <w:t>Petry</w:t>
      </w:r>
      <w:bookmarkEnd w:id="0"/>
      <w:proofErr w:type="spellEnd"/>
      <w:r w:rsidR="009F755A">
        <w:rPr>
          <w:rStyle w:val="Refdenotaderodap"/>
          <w:sz w:val="24"/>
        </w:rPr>
        <w:footnoteReference w:id="1"/>
      </w:r>
    </w:p>
    <w:p w14:paraId="2974FEB4" w14:textId="77777777" w:rsidR="009F755A" w:rsidRDefault="009F755A" w:rsidP="009F755A">
      <w:pPr>
        <w:pStyle w:val="Autoria"/>
        <w:rPr>
          <w:sz w:val="24"/>
        </w:rPr>
      </w:pPr>
      <w:r>
        <w:rPr>
          <w:sz w:val="24"/>
        </w:rPr>
        <w:t>Johanna Budag Carvalho</w:t>
      </w:r>
      <w:r>
        <w:rPr>
          <w:rStyle w:val="Refdenotaderodap"/>
          <w:sz w:val="24"/>
        </w:rPr>
        <w:footnoteReference w:id="2"/>
      </w:r>
    </w:p>
    <w:p w14:paraId="085C1350" w14:textId="419F094E" w:rsidR="009F755A" w:rsidRPr="007E362A" w:rsidRDefault="009F755A" w:rsidP="009F755A">
      <w:pPr>
        <w:pStyle w:val="Autoria"/>
        <w:rPr>
          <w:sz w:val="24"/>
        </w:rPr>
      </w:pPr>
      <w:bookmarkStart w:id="2" w:name="_Hlk212920892"/>
      <w:r>
        <w:rPr>
          <w:sz w:val="24"/>
        </w:rPr>
        <w:t>L</w:t>
      </w:r>
      <w:r w:rsidRPr="002772AD">
        <w:rPr>
          <w:sz w:val="24"/>
        </w:rPr>
        <w:t>uiza</w:t>
      </w:r>
      <w:r>
        <w:rPr>
          <w:sz w:val="24"/>
        </w:rPr>
        <w:t xml:space="preserve"> B</w:t>
      </w:r>
      <w:r w:rsidRPr="002772AD">
        <w:rPr>
          <w:sz w:val="24"/>
        </w:rPr>
        <w:t>ar</w:t>
      </w:r>
      <w:r>
        <w:rPr>
          <w:sz w:val="24"/>
        </w:rPr>
        <w:t>ão O</w:t>
      </w:r>
      <w:r w:rsidRPr="002772AD">
        <w:rPr>
          <w:sz w:val="24"/>
        </w:rPr>
        <w:t>tero</w:t>
      </w:r>
      <w:r>
        <w:rPr>
          <w:sz w:val="24"/>
        </w:rPr>
        <w:t xml:space="preserve"> </w:t>
      </w:r>
      <w:r w:rsidRPr="002772AD">
        <w:rPr>
          <w:sz w:val="24"/>
        </w:rPr>
        <w:t>de</w:t>
      </w:r>
      <w:r>
        <w:rPr>
          <w:sz w:val="24"/>
        </w:rPr>
        <w:t xml:space="preserve"> A</w:t>
      </w:r>
      <w:r w:rsidRPr="002772AD">
        <w:rPr>
          <w:sz w:val="24"/>
        </w:rPr>
        <w:t>breu</w:t>
      </w:r>
      <w:r w:rsidRPr="007E362A">
        <w:rPr>
          <w:rStyle w:val="Refdenotaderodap"/>
          <w:sz w:val="24"/>
        </w:rPr>
        <w:t xml:space="preserve"> </w:t>
      </w:r>
      <w:r w:rsidRPr="007E362A">
        <w:rPr>
          <w:rStyle w:val="Refdenotaderodap"/>
          <w:sz w:val="24"/>
        </w:rPr>
        <w:footnoteReference w:id="3"/>
      </w:r>
    </w:p>
    <w:p w14:paraId="4F5DA852" w14:textId="77777777" w:rsidR="009F755A" w:rsidRDefault="009F755A" w:rsidP="009F755A">
      <w:pPr>
        <w:pStyle w:val="Autoria"/>
        <w:rPr>
          <w:rFonts w:eastAsia="Arial"/>
          <w:color w:val="000000"/>
          <w:sz w:val="24"/>
        </w:rPr>
      </w:pPr>
      <w:r w:rsidRPr="007E362A">
        <w:rPr>
          <w:rFonts w:eastAsia="Arial"/>
          <w:color w:val="000000"/>
          <w:sz w:val="24"/>
        </w:rPr>
        <w:t xml:space="preserve">Eloysa </w:t>
      </w:r>
      <w:proofErr w:type="spellStart"/>
      <w:r w:rsidRPr="007E362A">
        <w:rPr>
          <w:rFonts w:eastAsia="Arial"/>
          <w:color w:val="000000"/>
          <w:sz w:val="24"/>
        </w:rPr>
        <w:t>Nezello</w:t>
      </w:r>
      <w:proofErr w:type="spellEnd"/>
      <w:r w:rsidRPr="007E362A">
        <w:rPr>
          <w:rStyle w:val="Refdenotaderodap"/>
          <w:sz w:val="24"/>
        </w:rPr>
        <w:footnoteReference w:id="4"/>
      </w:r>
    </w:p>
    <w:p w14:paraId="1C8B21EF" w14:textId="77777777" w:rsidR="00201B3C" w:rsidRPr="00DA1797" w:rsidRDefault="00201B3C" w:rsidP="009F755A">
      <w:pPr>
        <w:pStyle w:val="Autoria"/>
        <w:rPr>
          <w:sz w:val="24"/>
        </w:rPr>
      </w:pPr>
    </w:p>
    <w:bookmarkEnd w:id="2"/>
    <w:p w14:paraId="7783C2E5" w14:textId="570F3DD6" w:rsidR="00BB3206" w:rsidRPr="002913DC" w:rsidRDefault="00BD0F6C" w:rsidP="00826AAD">
      <w:pPr>
        <w:pStyle w:val="Texto"/>
        <w:tabs>
          <w:tab w:val="clear" w:pos="4819"/>
          <w:tab w:val="left" w:pos="5760"/>
        </w:tabs>
        <w:ind w:firstLine="0"/>
      </w:pPr>
      <w:r w:rsidRPr="001A1913">
        <w:rPr>
          <w:b/>
          <w:bCs/>
        </w:rPr>
        <w:t xml:space="preserve">PALAVRAS-CHAVE: </w:t>
      </w:r>
      <w:r w:rsidR="002913DC">
        <w:rPr>
          <w:b/>
          <w:bCs/>
        </w:rPr>
        <w:t>Horta Comunitária; Educação ambiental; Envelhecimento ativo; Educação ao longo da vida.</w:t>
      </w:r>
    </w:p>
    <w:p w14:paraId="7237142C" w14:textId="77777777" w:rsidR="00597F8A" w:rsidRDefault="00597F8A" w:rsidP="009A33DE">
      <w:pPr>
        <w:pStyle w:val="Texto"/>
      </w:pPr>
    </w:p>
    <w:p w14:paraId="3982CFE3" w14:textId="65C980E7" w:rsidR="00707214" w:rsidRDefault="0060173B" w:rsidP="004C446D">
      <w:pPr>
        <w:pStyle w:val="Ttulo1"/>
      </w:pPr>
      <w:r>
        <w:t xml:space="preserve">1 </w:t>
      </w:r>
      <w:r w:rsidR="00707214" w:rsidRPr="00707214">
        <w:t>INTRODUÇÃO</w:t>
      </w:r>
    </w:p>
    <w:p w14:paraId="35278DE0" w14:textId="77777777" w:rsidR="003E226D" w:rsidRDefault="003E226D" w:rsidP="003E22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</w:t>
      </w:r>
      <w:r w:rsidRPr="00BD3885">
        <w:rPr>
          <w:rFonts w:ascii="Arial" w:eastAsia="Arial" w:hAnsi="Arial" w:cs="Arial"/>
          <w:sz w:val="24"/>
          <w:szCs w:val="24"/>
        </w:rPr>
        <w:t xml:space="preserve"> projeto </w:t>
      </w:r>
      <w:r>
        <w:rPr>
          <w:rFonts w:ascii="Arial" w:eastAsia="Arial" w:hAnsi="Arial" w:cs="Arial"/>
          <w:sz w:val="24"/>
          <w:szCs w:val="24"/>
        </w:rPr>
        <w:t xml:space="preserve">universitário </w:t>
      </w:r>
      <w:r w:rsidRPr="00156FD3">
        <w:rPr>
          <w:rFonts w:ascii="Arial" w:eastAsia="Arial" w:hAnsi="Arial" w:cs="Arial"/>
          <w:sz w:val="24"/>
          <w:szCs w:val="24"/>
        </w:rPr>
        <w:t>UNIVIDA na Comunidade – Universidade da Vida</w:t>
      </w:r>
      <w:r w:rsidRPr="00BD3885">
        <w:rPr>
          <w:rFonts w:ascii="Arial" w:eastAsia="Arial" w:hAnsi="Arial" w:cs="Arial"/>
          <w:sz w:val="24"/>
          <w:szCs w:val="24"/>
        </w:rPr>
        <w:t xml:space="preserve"> voltado</w:t>
      </w:r>
      <w:r>
        <w:rPr>
          <w:rFonts w:ascii="Arial" w:eastAsia="Arial" w:hAnsi="Arial" w:cs="Arial"/>
          <w:sz w:val="24"/>
          <w:szCs w:val="24"/>
        </w:rPr>
        <w:t xml:space="preserve"> a</w:t>
      </w:r>
      <w:r w:rsidRPr="00BD3885">
        <w:rPr>
          <w:rFonts w:ascii="Arial" w:eastAsia="Arial" w:hAnsi="Arial" w:cs="Arial"/>
          <w:sz w:val="24"/>
          <w:szCs w:val="24"/>
        </w:rPr>
        <w:t xml:space="preserve"> ações educativas </w:t>
      </w:r>
      <w:r>
        <w:rPr>
          <w:rFonts w:ascii="Arial" w:eastAsia="Arial" w:hAnsi="Arial" w:cs="Arial"/>
          <w:sz w:val="24"/>
          <w:szCs w:val="24"/>
        </w:rPr>
        <w:t>com foco</w:t>
      </w:r>
      <w:r w:rsidRPr="00BD3885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n</w:t>
      </w:r>
      <w:r w:rsidRPr="00BD3885">
        <w:rPr>
          <w:rFonts w:ascii="Arial" w:eastAsia="Arial" w:hAnsi="Arial" w:cs="Arial"/>
          <w:sz w:val="24"/>
          <w:szCs w:val="24"/>
        </w:rPr>
        <w:t xml:space="preserve">a pessoa idosa, </w:t>
      </w:r>
      <w:r>
        <w:rPr>
          <w:rFonts w:ascii="Arial" w:eastAsia="Arial" w:hAnsi="Arial" w:cs="Arial"/>
          <w:sz w:val="24"/>
          <w:szCs w:val="24"/>
        </w:rPr>
        <w:t xml:space="preserve">proporciona a </w:t>
      </w:r>
      <w:r w:rsidRPr="00BD3885">
        <w:rPr>
          <w:rFonts w:ascii="Arial" w:eastAsia="Arial" w:hAnsi="Arial" w:cs="Arial"/>
          <w:sz w:val="24"/>
          <w:szCs w:val="24"/>
        </w:rPr>
        <w:t xml:space="preserve">oportunidade para </w:t>
      </w:r>
      <w:r>
        <w:rPr>
          <w:rFonts w:ascii="Arial" w:eastAsia="Arial" w:hAnsi="Arial" w:cs="Arial"/>
          <w:sz w:val="24"/>
          <w:szCs w:val="24"/>
        </w:rPr>
        <w:t xml:space="preserve">os acadêmicos e a comunidade a </w:t>
      </w:r>
      <w:r w:rsidRPr="00BD3885">
        <w:rPr>
          <w:rFonts w:ascii="Arial" w:eastAsia="Arial" w:hAnsi="Arial" w:cs="Arial"/>
          <w:sz w:val="24"/>
          <w:szCs w:val="24"/>
        </w:rPr>
        <w:t>transmissão de cultura e valores entre as gerações, aproveitando seu conhecimento</w:t>
      </w:r>
      <w:r>
        <w:rPr>
          <w:rFonts w:ascii="Arial" w:eastAsia="Arial" w:hAnsi="Arial" w:cs="Arial"/>
          <w:sz w:val="24"/>
          <w:szCs w:val="24"/>
        </w:rPr>
        <w:t xml:space="preserve"> e </w:t>
      </w:r>
      <w:r w:rsidRPr="00BD3885">
        <w:rPr>
          <w:rFonts w:ascii="Arial" w:eastAsia="Arial" w:hAnsi="Arial" w:cs="Arial"/>
          <w:sz w:val="24"/>
          <w:szCs w:val="24"/>
        </w:rPr>
        <w:t>a ressignific</w:t>
      </w:r>
      <w:r>
        <w:rPr>
          <w:rFonts w:ascii="Arial" w:eastAsia="Arial" w:hAnsi="Arial" w:cs="Arial"/>
          <w:sz w:val="24"/>
          <w:szCs w:val="24"/>
        </w:rPr>
        <w:t>ando</w:t>
      </w:r>
      <w:r w:rsidRPr="00BD3885">
        <w:rPr>
          <w:rFonts w:ascii="Arial" w:eastAsia="Arial" w:hAnsi="Arial" w:cs="Arial"/>
          <w:sz w:val="24"/>
          <w:szCs w:val="24"/>
        </w:rPr>
        <w:t xml:space="preserve"> seu papel na sociedade</w:t>
      </w:r>
      <w:r>
        <w:rPr>
          <w:rFonts w:ascii="Arial" w:eastAsia="Arial" w:hAnsi="Arial" w:cs="Arial"/>
          <w:sz w:val="24"/>
          <w:szCs w:val="24"/>
        </w:rPr>
        <w:t>. O projeto relaciona acadêmicos do ensino superior e indivíduos idosos, ex</w:t>
      </w:r>
      <w:r w:rsidRPr="00BD3885">
        <w:rPr>
          <w:rFonts w:ascii="Arial" w:eastAsia="Arial" w:hAnsi="Arial" w:cs="Arial"/>
          <w:sz w:val="24"/>
          <w:szCs w:val="24"/>
        </w:rPr>
        <w:t>erce</w:t>
      </w:r>
      <w:r>
        <w:rPr>
          <w:rFonts w:ascii="Arial" w:eastAsia="Arial" w:hAnsi="Arial" w:cs="Arial"/>
          <w:sz w:val="24"/>
          <w:szCs w:val="24"/>
        </w:rPr>
        <w:t>ndo</w:t>
      </w:r>
      <w:r w:rsidRPr="00BD3885">
        <w:rPr>
          <w:rFonts w:ascii="Arial" w:eastAsia="Arial" w:hAnsi="Arial" w:cs="Arial"/>
          <w:sz w:val="24"/>
          <w:szCs w:val="24"/>
        </w:rPr>
        <w:t xml:space="preserve"> importância</w:t>
      </w:r>
      <w:r>
        <w:rPr>
          <w:rFonts w:ascii="Arial" w:eastAsia="Arial" w:hAnsi="Arial" w:cs="Arial"/>
          <w:sz w:val="24"/>
          <w:szCs w:val="24"/>
        </w:rPr>
        <w:t xml:space="preserve"> significativa</w:t>
      </w:r>
      <w:r w:rsidRPr="00BD3885">
        <w:rPr>
          <w:rFonts w:ascii="Arial" w:eastAsia="Arial" w:hAnsi="Arial" w:cs="Arial"/>
          <w:sz w:val="24"/>
          <w:szCs w:val="24"/>
        </w:rPr>
        <w:t xml:space="preserve"> na formação dos </w:t>
      </w:r>
      <w:r>
        <w:rPr>
          <w:rFonts w:ascii="Arial" w:eastAsia="Arial" w:hAnsi="Arial" w:cs="Arial"/>
          <w:sz w:val="24"/>
          <w:szCs w:val="24"/>
        </w:rPr>
        <w:t>alunos. A</w:t>
      </w:r>
      <w:r w:rsidRPr="00BD3885">
        <w:rPr>
          <w:rFonts w:ascii="Arial" w:eastAsia="Arial" w:hAnsi="Arial" w:cs="Arial"/>
          <w:sz w:val="24"/>
          <w:szCs w:val="24"/>
        </w:rPr>
        <w:t xml:space="preserve">o participar dessa </w:t>
      </w:r>
      <w:r w:rsidRPr="00BD3885">
        <w:rPr>
          <w:rFonts w:ascii="Arial" w:eastAsia="Arial" w:hAnsi="Arial" w:cs="Arial"/>
          <w:sz w:val="24"/>
          <w:szCs w:val="24"/>
        </w:rPr>
        <w:lastRenderedPageBreak/>
        <w:t xml:space="preserve">iniciativa, os estudantes saem do ambiente teórico da sala de aula para vivenciar uma prática real de impacto social, desenvolvendo não só habilidades técnicas, mas também competências humanísticas e cidadãs como empatia, escuta ativa, trabalho intergeracional e responsabilidade social. </w:t>
      </w:r>
    </w:p>
    <w:p w14:paraId="497A8E69" w14:textId="77777777" w:rsidR="003E226D" w:rsidRDefault="003E226D" w:rsidP="003E22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rPr>
          <w:rFonts w:ascii="Arial" w:eastAsia="Arial" w:hAnsi="Arial" w:cs="Arial"/>
          <w:sz w:val="24"/>
          <w:szCs w:val="24"/>
        </w:rPr>
      </w:pPr>
      <w:r w:rsidRPr="004E7655">
        <w:rPr>
          <w:rFonts w:ascii="Arial" w:eastAsia="Arial" w:hAnsi="Arial" w:cs="Arial"/>
          <w:sz w:val="24"/>
          <w:szCs w:val="24"/>
        </w:rPr>
        <w:t>A agricultura urbana e as hortas comunitárias surgem como espaços de aprendizagem viva que promovem saúde, sustentabilidade e integração social. Elas permitem que diferentes gerações compartilhem saberes sobre produção de alimentos, nutrição e cuidado ambiental, fortalecendo a agricultura familiar e a segurança alimentar nas cidades. Além disso, essas iniciativas favorecem a vivência prática de temas ligados à alimentação saudável, à corresponsabilidade ambiental e à redução do desperdício, e ainda contribuem para a educação ambiental urbana e a mitigação das mudanças climáticas.</w:t>
      </w:r>
    </w:p>
    <w:p w14:paraId="7DB62948" w14:textId="77777777" w:rsidR="003E226D" w:rsidRDefault="003E226D" w:rsidP="003E226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rPr>
          <w:rFonts w:ascii="Arial" w:eastAsia="Arial" w:hAnsi="Arial" w:cs="Arial"/>
          <w:sz w:val="24"/>
          <w:szCs w:val="24"/>
        </w:rPr>
      </w:pPr>
      <w:r w:rsidRPr="00A75F9C">
        <w:rPr>
          <w:rFonts w:ascii="Arial" w:eastAsia="Arial" w:hAnsi="Arial" w:cs="Arial"/>
          <w:sz w:val="24"/>
          <w:szCs w:val="24"/>
        </w:rPr>
        <w:t xml:space="preserve">Entre o público idoso, essas atividades assumem importância ainda maior. Estudos indicam que a participação em hortas e jardins comunitários está associada à melhora do bem-estar físico e mental, à redução do isolamento social e ao aumento da autoestima. A revisão de Hume et al. (2022) demonstra que a jardinagem comunitária está relacionada ao aumento da ingestão de hortaliças e aos benefícios psicossociais, enquanto a </w:t>
      </w:r>
      <w:r w:rsidRPr="00A75F9C">
        <w:rPr>
          <w:rFonts w:ascii="Arial" w:eastAsia="Arial" w:hAnsi="Arial" w:cs="Arial"/>
          <w:i/>
          <w:sz w:val="24"/>
          <w:szCs w:val="24"/>
        </w:rPr>
        <w:t xml:space="preserve">World Health </w:t>
      </w:r>
      <w:proofErr w:type="spellStart"/>
      <w:r w:rsidRPr="00A75F9C">
        <w:rPr>
          <w:rFonts w:ascii="Arial" w:eastAsia="Arial" w:hAnsi="Arial" w:cs="Arial"/>
          <w:i/>
          <w:sz w:val="24"/>
          <w:szCs w:val="24"/>
        </w:rPr>
        <w:t>Organization</w:t>
      </w:r>
      <w:proofErr w:type="spellEnd"/>
      <w:r w:rsidRPr="00A75F9C">
        <w:rPr>
          <w:rFonts w:ascii="Arial" w:eastAsia="Arial" w:hAnsi="Arial" w:cs="Arial"/>
          <w:sz w:val="24"/>
          <w:szCs w:val="24"/>
        </w:rPr>
        <w:t xml:space="preserve"> (OMS, 2021) reconhece essas práticas como estratégias eficazes para a promoção do envelhecimento ativo.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011C7B7" w14:textId="66FE498E" w:rsidR="003E226D" w:rsidRPr="00D575D6" w:rsidRDefault="003E226D" w:rsidP="00D575D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rPr>
          <w:rFonts w:ascii="Arial" w:hAnsi="Arial" w:cs="Arial"/>
          <w:sz w:val="24"/>
          <w:szCs w:val="24"/>
        </w:rPr>
      </w:pPr>
      <w:r w:rsidRPr="00A75F9C">
        <w:rPr>
          <w:rFonts w:ascii="Arial" w:hAnsi="Arial" w:cs="Arial"/>
          <w:sz w:val="24"/>
          <w:szCs w:val="24"/>
        </w:rPr>
        <w:t>Além dos benefícios à saúde física e emocional, a horticultura comunitária é um espaço de educação ao longo da vida, pois estimula o aprendizado contínuo mesmo após os 60 anos. Estudos apontam que idosos envolvidos em hortas comunitárias relatam desejo de aprender novas técnicas e troca</w:t>
      </w:r>
      <w:r w:rsidRPr="00A75F9C">
        <w:rPr>
          <w:rFonts w:ascii="Arial" w:hAnsi="Arial" w:cs="Arial"/>
          <w:b/>
          <w:sz w:val="24"/>
          <w:szCs w:val="24"/>
        </w:rPr>
        <w:t xml:space="preserve"> </w:t>
      </w:r>
      <w:r w:rsidRPr="00A75F9C">
        <w:rPr>
          <w:rFonts w:ascii="Arial" w:hAnsi="Arial" w:cs="Arial"/>
          <w:bCs/>
          <w:sz w:val="24"/>
          <w:szCs w:val="24"/>
        </w:rPr>
        <w:t>de</w:t>
      </w:r>
      <w:r w:rsidRPr="00A75F9C">
        <w:rPr>
          <w:rFonts w:ascii="Arial" w:hAnsi="Arial" w:cs="Arial"/>
          <w:sz w:val="24"/>
          <w:szCs w:val="24"/>
        </w:rPr>
        <w:t xml:space="preserve"> saberes com gerações mais jovens (Scott et al., 2020). Essa iniciativa reforça a importância da educação intergeracional nos processos de extensão universitária.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41EEC0FF" w14:textId="3199E977" w:rsidR="00435A4C" w:rsidRDefault="00FC4166" w:rsidP="004C446D">
      <w:pPr>
        <w:pStyle w:val="Ttulo1"/>
      </w:pPr>
      <w:r>
        <w:lastRenderedPageBreak/>
        <w:t>2</w:t>
      </w:r>
      <w:r w:rsidR="00D97213">
        <w:t xml:space="preserve"> </w:t>
      </w:r>
      <w:r w:rsidR="00055BA2">
        <w:t>REFERENCIAL TEÓRICO</w:t>
      </w:r>
    </w:p>
    <w:p w14:paraId="611D35B7" w14:textId="77777777" w:rsidR="00D575D6" w:rsidRDefault="00D575D6" w:rsidP="00D575D6">
      <w:pPr>
        <w:pStyle w:val="Ttulo1"/>
        <w:ind w:firstLine="720"/>
        <w:rPr>
          <w:b w:val="0"/>
        </w:rPr>
      </w:pPr>
      <w:r>
        <w:rPr>
          <w:b w:val="0"/>
        </w:rPr>
        <w:t>As hortas comunitárias têm se consolidado como espaços de aprendizagem, convivência e promoção da saúde. Sua implementação está associada à educação ambiental e à educação alimentar e nutricional, ao incentivar o contato direto com os alimentos e o meio ambiente, promovendo a autonomia alimentar e a sustentabilidade local (São Paulo, 2020). Além de sua função produtiva, a horta é um ambiente educativo que permite a troca de saberes e práticas entre gerações, fortalecendo o vínculo comunitário e despertando o senso de responsabilidade coletiva em relação à preservação dos recursos naturais (FAO, 2024).</w:t>
      </w:r>
    </w:p>
    <w:p w14:paraId="29E60B29" w14:textId="30C72B75" w:rsidR="00D575D6" w:rsidRDefault="00D575D6" w:rsidP="00D575D6">
      <w:pPr>
        <w:spacing w:line="360" w:lineRule="auto"/>
        <w:rPr>
          <w:rFonts w:ascii="Arial" w:hAnsi="Arial" w:cs="Arial"/>
          <w:sz w:val="24"/>
          <w:szCs w:val="24"/>
        </w:rPr>
      </w:pPr>
      <w:r w:rsidRPr="00D575D6">
        <w:rPr>
          <w:rFonts w:ascii="Arial" w:hAnsi="Arial" w:cs="Arial"/>
          <w:sz w:val="24"/>
          <w:szCs w:val="24"/>
        </w:rPr>
        <w:t xml:space="preserve">No contexto da agricultura urbana e familiar, as hortas comunitárias assumem papel estratégico na segurança e soberania alimentar, pois favorecem o acesso a alimentos frescos e saudáveis, produzidos sem agrotóxicos, e fortalecem a economia solidária (CONSEA, 2024). Revisões sistemáticas recentes apontam que jardins comunitários contribuem para o aumento do consumo de frutas e hortaliças, ao bem-estar psicossocial e à coesão comunitária (Hume et al., 2022; </w:t>
      </w:r>
      <w:proofErr w:type="spellStart"/>
      <w:r w:rsidRPr="00D575D6">
        <w:rPr>
          <w:rFonts w:ascii="Arial" w:hAnsi="Arial" w:cs="Arial"/>
          <w:sz w:val="24"/>
          <w:szCs w:val="24"/>
        </w:rPr>
        <w:t>Lampert</w:t>
      </w:r>
      <w:proofErr w:type="spellEnd"/>
      <w:r w:rsidRPr="00D575D6">
        <w:rPr>
          <w:rFonts w:ascii="Arial" w:hAnsi="Arial" w:cs="Arial"/>
          <w:sz w:val="24"/>
          <w:szCs w:val="24"/>
        </w:rPr>
        <w:t xml:space="preserve"> et al., 2021). Dessa forma, além de seu valor ecológico, as hortas representam espaços de educação não formal, capazes de promover transformações sociais e culturais por meio do aprendizado coletivo (</w:t>
      </w:r>
      <w:proofErr w:type="spellStart"/>
      <w:r w:rsidRPr="00D575D6">
        <w:rPr>
          <w:rFonts w:ascii="Arial" w:hAnsi="Arial" w:cs="Arial"/>
          <w:sz w:val="24"/>
          <w:szCs w:val="24"/>
        </w:rPr>
        <w:t>Cereali</w:t>
      </w:r>
      <w:proofErr w:type="spellEnd"/>
      <w:r w:rsidRPr="00D575D6">
        <w:rPr>
          <w:rFonts w:ascii="Arial" w:hAnsi="Arial" w:cs="Arial"/>
          <w:sz w:val="24"/>
          <w:szCs w:val="24"/>
        </w:rPr>
        <w:t xml:space="preserve"> &amp; </w:t>
      </w:r>
      <w:proofErr w:type="spellStart"/>
      <w:r w:rsidRPr="00D575D6">
        <w:rPr>
          <w:rFonts w:ascii="Arial" w:hAnsi="Arial" w:cs="Arial"/>
          <w:sz w:val="24"/>
          <w:szCs w:val="24"/>
        </w:rPr>
        <w:t>Wiziack</w:t>
      </w:r>
      <w:proofErr w:type="spellEnd"/>
      <w:r w:rsidRPr="00D575D6">
        <w:rPr>
          <w:rFonts w:ascii="Arial" w:hAnsi="Arial" w:cs="Arial"/>
          <w:sz w:val="24"/>
          <w:szCs w:val="24"/>
        </w:rPr>
        <w:t>, 2021).</w:t>
      </w:r>
    </w:p>
    <w:p w14:paraId="0A14AA48" w14:textId="77777777" w:rsidR="00D575D6" w:rsidRDefault="00D575D6" w:rsidP="00D575D6">
      <w:pPr>
        <w:pStyle w:val="Ttulo1"/>
        <w:ind w:firstLine="720"/>
        <w:rPr>
          <w:b w:val="0"/>
        </w:rPr>
      </w:pPr>
      <w:r>
        <w:rPr>
          <w:b w:val="0"/>
        </w:rPr>
        <w:lastRenderedPageBreak/>
        <w:t xml:space="preserve">A inclusão de idosos em atividades agrícolas comunitárias tem demonstrado benefícios físicos, cognitivos e emocionais. A revisão de Wang &amp; </w:t>
      </w:r>
      <w:proofErr w:type="spellStart"/>
      <w:r>
        <w:rPr>
          <w:b w:val="0"/>
        </w:rPr>
        <w:t>MacMillan</w:t>
      </w:r>
      <w:proofErr w:type="spellEnd"/>
      <w:r>
        <w:rPr>
          <w:b w:val="0"/>
        </w:rPr>
        <w:t xml:space="preserve"> (2020) aponta que a jardinagem entre adultos mais velhos está associada à melhora do humor, aumento da vitalidade e fortalecimento das relações sociais. Essas práticas reduzem o isolamento e estimulam a sensação de pertencimento, fatores essenciais para o envelhecimento ativo, conceito definido pela OMS (2021) como o processo de otimizar oportunidades para saúde, participação e segurança, com o objetivo de melhorar a qualidade de vida à medida que as pessoas envelhecem.</w:t>
      </w:r>
    </w:p>
    <w:p w14:paraId="430AA2CF" w14:textId="1C0EBCEE" w:rsidR="00D575D6" w:rsidRDefault="00D575D6" w:rsidP="00D575D6">
      <w:pPr>
        <w:pStyle w:val="Ttulo1"/>
        <w:ind w:firstLine="720"/>
        <w:rPr>
          <w:b w:val="0"/>
        </w:rPr>
      </w:pPr>
      <w:bookmarkStart w:id="3" w:name="_gsvsukx640wy" w:colFirst="0" w:colLast="0"/>
      <w:bookmarkEnd w:id="3"/>
      <w:r>
        <w:rPr>
          <w:b w:val="0"/>
        </w:rPr>
        <w:t>Assim, as hortas comunitárias são espaços pedagógicos integradores, nos quais a agricultura familiar, a sustentabilidade e o envelhecimento ativo se entrelaçam. Para os acadêmicos envolvidos no projeto UNVIDA, a abordagem educativa sobre hortas permitiu a vivência de práticas da agricultura como instrumento de promoção da saúde, socialização e aprendizado. Ao valorizar a experiência dos idosos, o projeto contribui para reforçar a percepção de que o conhecimento não tem idade e que a busca pelo aprender pode permanecer ao longo de toda a vida.</w:t>
      </w:r>
    </w:p>
    <w:p w14:paraId="0DF1A047" w14:textId="77777777" w:rsidR="00D575D6" w:rsidRDefault="00D575D6" w:rsidP="00D575D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rPr>
          <w:rFonts w:ascii="Arial" w:hAnsi="Arial" w:cs="Arial"/>
          <w:sz w:val="24"/>
          <w:szCs w:val="24"/>
        </w:rPr>
      </w:pPr>
      <w:r w:rsidRPr="00A75F9C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esse</w:t>
      </w:r>
      <w:r w:rsidRPr="00A75F9C">
        <w:rPr>
          <w:rFonts w:ascii="Arial" w:hAnsi="Arial" w:cs="Arial"/>
          <w:sz w:val="24"/>
          <w:szCs w:val="24"/>
        </w:rPr>
        <w:t xml:space="preserve"> contexto</w:t>
      </w:r>
      <w:r>
        <w:rPr>
          <w:rFonts w:ascii="Arial" w:hAnsi="Arial" w:cs="Arial"/>
          <w:sz w:val="24"/>
          <w:szCs w:val="24"/>
        </w:rPr>
        <w:t>,</w:t>
      </w:r>
      <w:r w:rsidRPr="00A75F9C">
        <w:rPr>
          <w:rFonts w:ascii="Arial" w:hAnsi="Arial" w:cs="Arial"/>
          <w:sz w:val="24"/>
          <w:szCs w:val="24"/>
        </w:rPr>
        <w:t xml:space="preserve"> o projeto </w:t>
      </w:r>
      <w:r>
        <w:rPr>
          <w:rFonts w:ascii="Arial" w:hAnsi="Arial" w:cs="Arial"/>
          <w:sz w:val="24"/>
          <w:szCs w:val="24"/>
        </w:rPr>
        <w:t>UNIVIDA</w:t>
      </w:r>
      <w:r w:rsidRPr="00A75F9C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abordou </w:t>
      </w:r>
      <w:r w:rsidRPr="00A75F9C">
        <w:rPr>
          <w:rFonts w:ascii="Arial" w:hAnsi="Arial" w:cs="Arial"/>
          <w:sz w:val="24"/>
          <w:szCs w:val="24"/>
        </w:rPr>
        <w:t>a temática das hortas comunitárias</w:t>
      </w:r>
      <w:r>
        <w:rPr>
          <w:rFonts w:ascii="Arial" w:hAnsi="Arial" w:cs="Arial"/>
          <w:sz w:val="24"/>
          <w:szCs w:val="24"/>
        </w:rPr>
        <w:t xml:space="preserve"> promovendo</w:t>
      </w:r>
      <w:r w:rsidRPr="00A75F9C">
        <w:rPr>
          <w:rFonts w:ascii="Arial" w:hAnsi="Arial" w:cs="Arial"/>
          <w:sz w:val="24"/>
          <w:szCs w:val="24"/>
        </w:rPr>
        <w:t xml:space="preserve"> entre os participantes</w:t>
      </w:r>
      <w:r>
        <w:rPr>
          <w:rFonts w:ascii="Arial" w:hAnsi="Arial" w:cs="Arial"/>
          <w:sz w:val="24"/>
          <w:szCs w:val="24"/>
        </w:rPr>
        <w:t xml:space="preserve"> </w:t>
      </w:r>
      <w:r w:rsidRPr="00A75F9C">
        <w:rPr>
          <w:rFonts w:ascii="Arial" w:hAnsi="Arial" w:cs="Arial"/>
          <w:sz w:val="24"/>
          <w:szCs w:val="24"/>
        </w:rPr>
        <w:t>idosos</w:t>
      </w:r>
      <w:r>
        <w:rPr>
          <w:rFonts w:ascii="Arial" w:hAnsi="Arial" w:cs="Arial"/>
          <w:sz w:val="24"/>
          <w:szCs w:val="24"/>
        </w:rPr>
        <w:t>,</w:t>
      </w:r>
      <w:r w:rsidRPr="00A75F9C">
        <w:rPr>
          <w:rFonts w:ascii="Arial" w:hAnsi="Arial" w:cs="Arial"/>
          <w:sz w:val="24"/>
          <w:szCs w:val="24"/>
        </w:rPr>
        <w:t xml:space="preserve"> a compreensão sobre a relevância desses espaços para a alimentação saudável, a sustentabilidade e o bem-estar coletivo. Por meio de dinâmicas, trocas de experiências e exemplos práticos, buscou-se reforçar que o aprendizado é contínuo e atemporal, e que o envelhecimento pode ser acompanhado pela descoberta de novos conhecimentos e práticas sustentáveis.</w:t>
      </w:r>
      <w:bookmarkStart w:id="4" w:name="_a6fsxgglobwm" w:colFirst="0" w:colLast="0"/>
      <w:bookmarkEnd w:id="4"/>
    </w:p>
    <w:p w14:paraId="676F7165" w14:textId="4AEEA780" w:rsidR="003E226D" w:rsidRPr="00D575D6" w:rsidRDefault="00D575D6" w:rsidP="00D575D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20"/>
        <w:rPr>
          <w:rFonts w:ascii="Arial" w:eastAsia="Arial" w:hAnsi="Arial" w:cs="Arial"/>
          <w:sz w:val="24"/>
          <w:szCs w:val="24"/>
        </w:rPr>
      </w:pPr>
      <w:r w:rsidRPr="00A75F9C">
        <w:rPr>
          <w:rFonts w:ascii="Arial" w:hAnsi="Arial" w:cs="Arial"/>
          <w:sz w:val="24"/>
          <w:szCs w:val="24"/>
        </w:rPr>
        <w:t xml:space="preserve">Dessa forma, o projeto </w:t>
      </w:r>
      <w:r>
        <w:rPr>
          <w:rFonts w:ascii="Arial" w:hAnsi="Arial" w:cs="Arial"/>
          <w:sz w:val="24"/>
          <w:szCs w:val="24"/>
        </w:rPr>
        <w:t xml:space="preserve">possibilitou aos acadêmicos e a comunidade uma educação ampla, </w:t>
      </w:r>
      <w:r w:rsidRPr="00A75F9C">
        <w:rPr>
          <w:rFonts w:ascii="Arial" w:hAnsi="Arial" w:cs="Arial"/>
          <w:sz w:val="24"/>
          <w:szCs w:val="24"/>
        </w:rPr>
        <w:t>destacando que o cultivo da terra é também o cultivo do saber,</w:t>
      </w:r>
      <w:r>
        <w:rPr>
          <w:rFonts w:ascii="Arial" w:hAnsi="Arial" w:cs="Arial"/>
          <w:sz w:val="24"/>
          <w:szCs w:val="24"/>
        </w:rPr>
        <w:t xml:space="preserve"> </w:t>
      </w:r>
      <w:r w:rsidRPr="00A75F9C">
        <w:rPr>
          <w:rFonts w:ascii="Arial" w:hAnsi="Arial" w:cs="Arial"/>
          <w:sz w:val="24"/>
          <w:szCs w:val="24"/>
        </w:rPr>
        <w:t>um processo que floresce em qualquer idade e transforma tanto o indivíduo quanto o território onde está inserido</w:t>
      </w:r>
      <w:r>
        <w:rPr>
          <w:rFonts w:ascii="Arial" w:hAnsi="Arial" w:cs="Arial"/>
          <w:sz w:val="24"/>
          <w:szCs w:val="24"/>
        </w:rPr>
        <w:t>.</w:t>
      </w:r>
    </w:p>
    <w:p w14:paraId="6EF99736" w14:textId="618871C7" w:rsidR="0C591BAA" w:rsidRDefault="0C591BAA" w:rsidP="00DF040B">
      <w:pPr>
        <w:pStyle w:val="Texto"/>
      </w:pPr>
    </w:p>
    <w:p w14:paraId="1DD2BBB3" w14:textId="0B784F74" w:rsidR="00707214" w:rsidRDefault="00FC4166" w:rsidP="004C446D">
      <w:pPr>
        <w:pStyle w:val="Ttulo1"/>
      </w:pPr>
      <w:r>
        <w:t>3</w:t>
      </w:r>
      <w:r w:rsidR="0060173B">
        <w:t xml:space="preserve"> </w:t>
      </w:r>
      <w:r w:rsidR="00707214" w:rsidRPr="00707214">
        <w:t>METODOLOGIA</w:t>
      </w:r>
    </w:p>
    <w:p w14:paraId="5E59D86E" w14:textId="77777777" w:rsidR="00D575D6" w:rsidRPr="00D575D6" w:rsidRDefault="00D575D6" w:rsidP="00D575D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D575D6">
        <w:rPr>
          <w:rFonts w:ascii="Arial" w:hAnsi="Arial" w:cs="Arial"/>
          <w:sz w:val="24"/>
          <w:szCs w:val="24"/>
        </w:rPr>
        <w:t xml:space="preserve">O projeto foi desenvolvido como uma ação extensionista realizada em colaboração entre o os acadêmicos do ensino superior e o projeto UNIVIDA, ambos vinculados à Universidade do Vale do Itajaí (UNIVALI), no campus Balneário Camboriú. O público-alvo foi composto por 20 alunos participantes do UNIVIDA, com idade superior a 60 anos. As atividades ocorreram em ambiente de sala de aula e em </w:t>
      </w:r>
      <w:r w:rsidRPr="00D575D6">
        <w:rPr>
          <w:rFonts w:ascii="Arial" w:hAnsi="Arial" w:cs="Arial"/>
          <w:sz w:val="24"/>
          <w:szCs w:val="24"/>
        </w:rPr>
        <w:lastRenderedPageBreak/>
        <w:t>espaço aberto, com o tema “Horta Comunitária e sua importância para a saúde e a sustentabilidade”.</w:t>
      </w:r>
    </w:p>
    <w:p w14:paraId="37D0DCC9" w14:textId="77777777" w:rsidR="00D575D6" w:rsidRPr="00D575D6" w:rsidRDefault="00D575D6" w:rsidP="00D575D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D575D6">
        <w:rPr>
          <w:rFonts w:ascii="Arial" w:hAnsi="Arial" w:cs="Arial"/>
          <w:sz w:val="24"/>
          <w:szCs w:val="24"/>
        </w:rPr>
        <w:t>A metodologia adotada baseou-se em abordagens participativas e dialógicas, fundamentadas nos princípios da educação não formal, da extensão universitária e da aprendizagem significativa, com o objetivo de promover a compreensão sobre a importância das hortas comunitárias para a alimentação saudável, o bem-estar e a integração social. Inicialmente, foi realizada uma dinâmica de grupo para estimular a socialização e o resgate de memórias afetivas relacionadas ao cultivo e às experiências prévias com hortas. Esse momento inicial permitiu que os participantes compartilhassem lembranças, saberes e percepções sobre o contato com a terra e o plantio.</w:t>
      </w:r>
    </w:p>
    <w:p w14:paraId="62B2E947" w14:textId="77777777" w:rsidR="00D575D6" w:rsidRPr="00D575D6" w:rsidRDefault="00D575D6" w:rsidP="00D575D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D575D6">
        <w:rPr>
          <w:rFonts w:ascii="Arial" w:hAnsi="Arial" w:cs="Arial"/>
          <w:sz w:val="24"/>
          <w:szCs w:val="24"/>
        </w:rPr>
        <w:t>Em seguida, foi conduzida uma apresentação expositiva em slides, abordando os conceitos de soberania e segurança alimentar e nutricional, os tipos e tipologias de hortas comunitárias (urbanas, solidárias, agroecológicas e educativas) e os passos essenciais para a implantação e manutenção de uma horta coletiva. O conteúdo foi estruturado para conectar teoria e prática, utilizando exemplos reais e linguagem acessível ao público idoso.</w:t>
      </w:r>
    </w:p>
    <w:p w14:paraId="04AC35F8" w14:textId="77777777" w:rsidR="00D575D6" w:rsidRPr="00D575D6" w:rsidRDefault="00D575D6" w:rsidP="00D575D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D575D6">
        <w:rPr>
          <w:rFonts w:ascii="Arial" w:hAnsi="Arial" w:cs="Arial"/>
          <w:sz w:val="24"/>
          <w:szCs w:val="24"/>
        </w:rPr>
        <w:t>Como estratégia de integração entre ensino e prática comunitária, o encontro contou com a participação de dois convidados da comunidade local de Balneário Camboriú, que compartilharam suas experiências na criação e gestão de uma horta comunitária no bairro onde residem. Essa troca de vivências fortaleceu o vínculo entre o conhecimento acadêmico e o saber popular, valorizando a comunidade e o papel do idoso como agente de transformação social.</w:t>
      </w:r>
    </w:p>
    <w:p w14:paraId="4669AC60" w14:textId="3F2F8A1E" w:rsidR="0C591BAA" w:rsidRPr="00D575D6" w:rsidRDefault="00D575D6" w:rsidP="00D575D6">
      <w:pPr>
        <w:pStyle w:val="Ttulo1"/>
        <w:ind w:firstLine="720"/>
        <w:rPr>
          <w:rFonts w:eastAsia="Arial" w:cs="Arial"/>
          <w:b w:val="0"/>
          <w:bCs/>
          <w:szCs w:val="24"/>
        </w:rPr>
      </w:pPr>
      <w:r w:rsidRPr="00D575D6">
        <w:rPr>
          <w:rFonts w:eastAsia="Arial" w:cs="Arial"/>
          <w:b w:val="0"/>
          <w:bCs/>
          <w:szCs w:val="24"/>
        </w:rPr>
        <w:t>Durante toda a atividade, foi estimulada a participação ativa dos alunos, com momentos de discussão, perguntas e relatos pessoais. A metodologia buscou respeitar o ritmo, as vivências e os interesses dos participantes, de modo a favorecer a autonomia e o aprendizado contínuo. Ao final do encontro, os alunos foram convidados a refletir sobre como poderiam aplicar os conhecimentos adquiridos em seus próprios contextos, seja por meio do cultivo doméstico, da participação em hortas coletivas ou do incentivo à sustentabilidade no cotidiano.</w:t>
      </w:r>
    </w:p>
    <w:p w14:paraId="2EAA371C" w14:textId="77777777" w:rsidR="00D575D6" w:rsidRPr="00D575D6" w:rsidRDefault="00D575D6" w:rsidP="00D575D6"/>
    <w:p w14:paraId="48D133EA" w14:textId="4EC889F6" w:rsidR="00707214" w:rsidRDefault="00D575D6" w:rsidP="004C446D">
      <w:pPr>
        <w:pStyle w:val="Ttulo1"/>
      </w:pPr>
      <w:r>
        <w:t>4</w:t>
      </w:r>
      <w:r w:rsidR="0060173B">
        <w:t xml:space="preserve"> </w:t>
      </w:r>
      <w:r w:rsidR="00707214" w:rsidRPr="00707214">
        <w:t>CONSIDERAÇÕES FINAIS</w:t>
      </w:r>
    </w:p>
    <w:p w14:paraId="6EE781C8" w14:textId="0A2F18C1" w:rsidR="00D575D6" w:rsidRDefault="00D575D6" w:rsidP="00D575D6">
      <w:pPr>
        <w:spacing w:line="360" w:lineRule="auto"/>
        <w:rPr>
          <w:rFonts w:ascii="Arial" w:eastAsia="Arial" w:hAnsi="Arial" w:cs="Arial"/>
          <w:sz w:val="24"/>
          <w:szCs w:val="24"/>
        </w:rPr>
      </w:pPr>
      <w:r w:rsidRPr="00AC5303">
        <w:rPr>
          <w:rFonts w:ascii="Arial" w:eastAsia="Arial" w:hAnsi="Arial" w:cs="Arial"/>
          <w:sz w:val="24"/>
          <w:szCs w:val="24"/>
        </w:rPr>
        <w:t xml:space="preserve">O projeto desenvolvido em parceria entre o Projeto </w:t>
      </w:r>
      <w:r>
        <w:rPr>
          <w:rFonts w:ascii="Arial" w:eastAsia="Arial" w:hAnsi="Arial" w:cs="Arial"/>
          <w:sz w:val="24"/>
          <w:szCs w:val="24"/>
        </w:rPr>
        <w:t>UNIVIDA e as acadêmicas do ensino superior</w:t>
      </w:r>
      <w:r w:rsidRPr="00AC5303">
        <w:rPr>
          <w:rFonts w:ascii="Arial" w:eastAsia="Arial" w:hAnsi="Arial" w:cs="Arial"/>
          <w:sz w:val="24"/>
          <w:szCs w:val="24"/>
        </w:rPr>
        <w:t xml:space="preserve"> demonstrou de forma clara o potencial transformador das hortas </w:t>
      </w:r>
      <w:r w:rsidRPr="00AC5303">
        <w:rPr>
          <w:rFonts w:ascii="Arial" w:eastAsia="Arial" w:hAnsi="Arial" w:cs="Arial"/>
          <w:sz w:val="24"/>
          <w:szCs w:val="24"/>
        </w:rPr>
        <w:lastRenderedPageBreak/>
        <w:t xml:space="preserve">comunitárias como ferramenta de educação ambiental, alimentar e intergeracional. Ao promover o diálogo entre o saber acadêmico e o conhecimento dos participantes, a ação possibilitou a construção coletiva de aprendizagens significativas. Valores como sustentabilidade, segurança alimentar e cuidado com o ambiente foram vivenciados no cotidiano do </w:t>
      </w:r>
      <w:r>
        <w:rPr>
          <w:rFonts w:ascii="Arial" w:eastAsia="Arial" w:hAnsi="Arial" w:cs="Arial"/>
          <w:sz w:val="24"/>
          <w:szCs w:val="24"/>
        </w:rPr>
        <w:t>cultivo, tais</w:t>
      </w:r>
      <w:r w:rsidRPr="00AC5303">
        <w:rPr>
          <w:rFonts w:ascii="Arial" w:eastAsia="Arial" w:hAnsi="Arial" w:cs="Arial"/>
          <w:sz w:val="24"/>
          <w:szCs w:val="24"/>
        </w:rPr>
        <w:t xml:space="preserve"> espaços promovem educação ambiental, senso de responsabilidade social e participação cidadã</w:t>
      </w:r>
      <w:r>
        <w:rPr>
          <w:rFonts w:ascii="Arial" w:eastAsia="Arial" w:hAnsi="Arial" w:cs="Arial"/>
          <w:sz w:val="24"/>
          <w:szCs w:val="24"/>
        </w:rPr>
        <w:t>.</w:t>
      </w:r>
    </w:p>
    <w:p w14:paraId="2EABA2E7" w14:textId="3D334849" w:rsidR="00126DD2" w:rsidRDefault="00D575D6" w:rsidP="00D575D6">
      <w:pPr>
        <w:spacing w:line="360" w:lineRule="auto"/>
        <w:rPr>
          <w:rFonts w:ascii="Arial" w:eastAsia="Arial" w:hAnsi="Arial" w:cs="Arial"/>
          <w:sz w:val="24"/>
          <w:szCs w:val="24"/>
        </w:rPr>
      </w:pPr>
      <w:r w:rsidRPr="00AC5303">
        <w:rPr>
          <w:rFonts w:ascii="Arial" w:eastAsia="Arial" w:hAnsi="Arial" w:cs="Arial"/>
          <w:sz w:val="24"/>
          <w:szCs w:val="24"/>
        </w:rPr>
        <w:t xml:space="preserve">A participação das acadêmicas no projeto demonstrou-se </w:t>
      </w:r>
      <w:r>
        <w:rPr>
          <w:rFonts w:ascii="Arial" w:eastAsia="Arial" w:hAnsi="Arial" w:cs="Arial"/>
          <w:sz w:val="24"/>
          <w:szCs w:val="24"/>
        </w:rPr>
        <w:t>efetiva</w:t>
      </w:r>
      <w:r w:rsidRPr="00AC5303">
        <w:rPr>
          <w:rFonts w:ascii="Arial" w:eastAsia="Arial" w:hAnsi="Arial" w:cs="Arial"/>
          <w:sz w:val="24"/>
          <w:szCs w:val="24"/>
        </w:rPr>
        <w:t xml:space="preserve"> para sua formação</w:t>
      </w:r>
      <w:r>
        <w:rPr>
          <w:rFonts w:ascii="Arial" w:eastAsia="Arial" w:hAnsi="Arial" w:cs="Arial"/>
          <w:sz w:val="24"/>
          <w:szCs w:val="24"/>
        </w:rPr>
        <w:t xml:space="preserve">. </w:t>
      </w:r>
      <w:r w:rsidRPr="00AC5303">
        <w:rPr>
          <w:rFonts w:ascii="Arial" w:eastAsia="Arial" w:hAnsi="Arial" w:cs="Arial"/>
          <w:sz w:val="24"/>
          <w:szCs w:val="24"/>
        </w:rPr>
        <w:t xml:space="preserve">Essa vivência evidencia que a </w:t>
      </w:r>
      <w:r w:rsidRPr="009C7974">
        <w:rPr>
          <w:rFonts w:ascii="Arial" w:eastAsia="Arial" w:hAnsi="Arial" w:cs="Arial"/>
          <w:sz w:val="24"/>
          <w:szCs w:val="24"/>
        </w:rPr>
        <w:t>educação</w:t>
      </w:r>
      <w:r w:rsidRPr="00AC5303">
        <w:rPr>
          <w:rFonts w:ascii="Arial" w:eastAsia="Arial" w:hAnsi="Arial" w:cs="Arial"/>
          <w:sz w:val="24"/>
          <w:szCs w:val="24"/>
        </w:rPr>
        <w:t xml:space="preserve"> superior ganha profundidade quando se articula com a comunidade, promovendo não apenas a aprendizagem técnica, mas também consciência, empatia e cidadania, formando profissionais mais completos e aptos a atuar de forma transformadora na sociedade.</w:t>
      </w:r>
    </w:p>
    <w:p w14:paraId="1C7E65B0" w14:textId="77777777" w:rsidR="00D575D6" w:rsidRPr="00D575D6" w:rsidRDefault="00D575D6" w:rsidP="00D575D6">
      <w:pPr>
        <w:spacing w:line="360" w:lineRule="auto"/>
        <w:rPr>
          <w:rFonts w:ascii="Arial" w:eastAsia="Arial" w:hAnsi="Arial" w:cs="Arial"/>
          <w:sz w:val="24"/>
          <w:szCs w:val="24"/>
        </w:rPr>
      </w:pPr>
    </w:p>
    <w:p w14:paraId="7F32F155" w14:textId="540A6AAF" w:rsidR="006306D9" w:rsidRDefault="00707214" w:rsidP="004C446D">
      <w:pPr>
        <w:pStyle w:val="TtulosNoNumerados"/>
      </w:pPr>
      <w:r w:rsidRPr="00707214">
        <w:t>REFERÊNCIAS</w:t>
      </w:r>
      <w:r w:rsidR="00F97C22">
        <w:t xml:space="preserve"> </w:t>
      </w:r>
    </w:p>
    <w:p w14:paraId="78BE7D60" w14:textId="77777777" w:rsidR="00D575D6" w:rsidRDefault="00D575D6" w:rsidP="00D575D6">
      <w:pPr>
        <w:spacing w:before="240" w:after="240" w:line="36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CEREALI, M.; WIZIACK, S. R. de C. Hortas em espaços urbanos como ferramenta de educação ambiental, segurança alimentar e qualidade de vida. </w:t>
      </w:r>
      <w:r w:rsidRPr="00800BC4">
        <w:rPr>
          <w:rFonts w:ascii="Arial" w:eastAsia="Arial" w:hAnsi="Arial" w:cs="Arial"/>
          <w:b/>
          <w:bCs/>
          <w:iCs/>
          <w:sz w:val="24"/>
          <w:szCs w:val="24"/>
        </w:rPr>
        <w:t>Revista Brasileira de Educação Ambiental</w:t>
      </w:r>
      <w:r>
        <w:rPr>
          <w:rFonts w:ascii="Arial" w:eastAsia="Arial" w:hAnsi="Arial" w:cs="Arial"/>
          <w:sz w:val="24"/>
          <w:szCs w:val="24"/>
        </w:rPr>
        <w:t xml:space="preserve">, v. 16, n. 3, p. 473-488, 2021. </w:t>
      </w:r>
    </w:p>
    <w:p w14:paraId="3EDCBE97" w14:textId="77777777" w:rsidR="00D575D6" w:rsidRDefault="00D575D6" w:rsidP="00D575D6">
      <w:pPr>
        <w:spacing w:before="240" w:after="240" w:line="36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CONSEA. </w:t>
      </w:r>
      <w:r w:rsidRPr="00800BC4">
        <w:rPr>
          <w:rFonts w:ascii="Arial" w:eastAsia="Arial" w:hAnsi="Arial" w:cs="Arial"/>
          <w:iCs/>
          <w:sz w:val="24"/>
          <w:szCs w:val="24"/>
        </w:rPr>
        <w:t xml:space="preserve">Caderno de Recomendações CONSEA 2024. </w:t>
      </w:r>
      <w:r w:rsidRPr="00800BC4">
        <w:rPr>
          <w:rFonts w:ascii="Arial" w:eastAsia="Arial" w:hAnsi="Arial" w:cs="Arial"/>
          <w:b/>
          <w:bCs/>
          <w:iCs/>
          <w:sz w:val="24"/>
          <w:szCs w:val="24"/>
        </w:rPr>
        <w:t>Brasília</w:t>
      </w:r>
      <w:r w:rsidRPr="00800BC4">
        <w:rPr>
          <w:rFonts w:ascii="Arial" w:eastAsia="Arial" w:hAnsi="Arial" w:cs="Arial"/>
          <w:iCs/>
          <w:sz w:val="24"/>
          <w:szCs w:val="24"/>
        </w:rPr>
        <w:t xml:space="preserve">: Conselho Nacional de Segurança Alimentar e Nutricional, 2024. </w:t>
      </w: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3588844B" w14:textId="7FE09750" w:rsidR="00D575D6" w:rsidRDefault="00D575D6" w:rsidP="00D575D6">
      <w:pPr>
        <w:spacing w:before="240" w:after="240" w:line="36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FAO. </w:t>
      </w:r>
      <w:r w:rsidRPr="00800BC4">
        <w:rPr>
          <w:rFonts w:ascii="Arial" w:eastAsia="Arial" w:hAnsi="Arial" w:cs="Arial"/>
          <w:iCs/>
          <w:sz w:val="24"/>
          <w:szCs w:val="24"/>
        </w:rPr>
        <w:t xml:space="preserve">The </w:t>
      </w:r>
      <w:proofErr w:type="spellStart"/>
      <w:r w:rsidRPr="00800BC4">
        <w:rPr>
          <w:rFonts w:ascii="Arial" w:eastAsia="Arial" w:hAnsi="Arial" w:cs="Arial"/>
          <w:iCs/>
          <w:sz w:val="24"/>
          <w:szCs w:val="24"/>
        </w:rPr>
        <w:t>State</w:t>
      </w:r>
      <w:proofErr w:type="spellEnd"/>
      <w:r w:rsidRPr="00800BC4">
        <w:rPr>
          <w:rFonts w:ascii="Arial" w:eastAsia="Arial" w:hAnsi="Arial" w:cs="Arial"/>
          <w:iCs/>
          <w:sz w:val="24"/>
          <w:szCs w:val="24"/>
        </w:rPr>
        <w:t xml:space="preserve"> </w:t>
      </w:r>
      <w:proofErr w:type="spellStart"/>
      <w:r w:rsidRPr="00800BC4">
        <w:rPr>
          <w:rFonts w:ascii="Arial" w:eastAsia="Arial" w:hAnsi="Arial" w:cs="Arial"/>
          <w:iCs/>
          <w:sz w:val="24"/>
          <w:szCs w:val="24"/>
        </w:rPr>
        <w:t>of</w:t>
      </w:r>
      <w:proofErr w:type="spellEnd"/>
      <w:r w:rsidRPr="00800BC4">
        <w:rPr>
          <w:rFonts w:ascii="Arial" w:eastAsia="Arial" w:hAnsi="Arial" w:cs="Arial"/>
          <w:iCs/>
          <w:sz w:val="24"/>
          <w:szCs w:val="24"/>
        </w:rPr>
        <w:t xml:space="preserve"> Food </w:t>
      </w:r>
      <w:proofErr w:type="spellStart"/>
      <w:r w:rsidRPr="00800BC4">
        <w:rPr>
          <w:rFonts w:ascii="Arial" w:eastAsia="Arial" w:hAnsi="Arial" w:cs="Arial"/>
          <w:iCs/>
          <w:sz w:val="24"/>
          <w:szCs w:val="24"/>
        </w:rPr>
        <w:t>and</w:t>
      </w:r>
      <w:proofErr w:type="spellEnd"/>
      <w:r w:rsidRPr="00800BC4">
        <w:rPr>
          <w:rFonts w:ascii="Arial" w:eastAsia="Arial" w:hAnsi="Arial" w:cs="Arial"/>
          <w:iCs/>
          <w:sz w:val="24"/>
          <w:szCs w:val="24"/>
        </w:rPr>
        <w:t xml:space="preserve"> </w:t>
      </w:r>
      <w:proofErr w:type="spellStart"/>
      <w:r w:rsidRPr="00800BC4">
        <w:rPr>
          <w:rFonts w:ascii="Arial" w:eastAsia="Arial" w:hAnsi="Arial" w:cs="Arial"/>
          <w:iCs/>
          <w:sz w:val="24"/>
          <w:szCs w:val="24"/>
        </w:rPr>
        <w:t>Agriculture</w:t>
      </w:r>
      <w:proofErr w:type="spellEnd"/>
      <w:r w:rsidR="006D3142">
        <w:rPr>
          <w:rFonts w:ascii="Arial" w:eastAsia="Arial" w:hAnsi="Arial" w:cs="Arial"/>
          <w:iCs/>
          <w:sz w:val="24"/>
          <w:szCs w:val="24"/>
        </w:rPr>
        <w:t xml:space="preserve">: </w:t>
      </w:r>
      <w:proofErr w:type="spellStart"/>
      <w:r w:rsidRPr="00800BC4">
        <w:rPr>
          <w:rFonts w:ascii="Arial" w:eastAsia="Arial" w:hAnsi="Arial" w:cs="Arial"/>
          <w:iCs/>
          <w:sz w:val="24"/>
          <w:szCs w:val="24"/>
        </w:rPr>
        <w:t>Value-driven</w:t>
      </w:r>
      <w:proofErr w:type="spellEnd"/>
      <w:r w:rsidRPr="00800BC4">
        <w:rPr>
          <w:rFonts w:ascii="Arial" w:eastAsia="Arial" w:hAnsi="Arial" w:cs="Arial"/>
          <w:iCs/>
          <w:sz w:val="24"/>
          <w:szCs w:val="24"/>
        </w:rPr>
        <w:t xml:space="preserve"> </w:t>
      </w:r>
      <w:proofErr w:type="spellStart"/>
      <w:r w:rsidRPr="00800BC4">
        <w:rPr>
          <w:rFonts w:ascii="Arial" w:eastAsia="Arial" w:hAnsi="Arial" w:cs="Arial"/>
          <w:iCs/>
          <w:sz w:val="24"/>
          <w:szCs w:val="24"/>
        </w:rPr>
        <w:t>transformation</w:t>
      </w:r>
      <w:proofErr w:type="spellEnd"/>
      <w:r w:rsidRPr="00800BC4">
        <w:rPr>
          <w:rFonts w:ascii="Arial" w:eastAsia="Arial" w:hAnsi="Arial" w:cs="Arial"/>
          <w:iCs/>
          <w:sz w:val="24"/>
          <w:szCs w:val="24"/>
        </w:rPr>
        <w:t xml:space="preserve"> </w:t>
      </w:r>
      <w:proofErr w:type="spellStart"/>
      <w:r w:rsidRPr="00800BC4">
        <w:rPr>
          <w:rFonts w:ascii="Arial" w:eastAsia="Arial" w:hAnsi="Arial" w:cs="Arial"/>
          <w:iCs/>
          <w:sz w:val="24"/>
          <w:szCs w:val="24"/>
        </w:rPr>
        <w:t>of</w:t>
      </w:r>
      <w:proofErr w:type="spellEnd"/>
      <w:r w:rsidRPr="00800BC4">
        <w:rPr>
          <w:rFonts w:ascii="Arial" w:eastAsia="Arial" w:hAnsi="Arial" w:cs="Arial"/>
          <w:iCs/>
          <w:sz w:val="24"/>
          <w:szCs w:val="24"/>
        </w:rPr>
        <w:t xml:space="preserve"> </w:t>
      </w:r>
      <w:proofErr w:type="spellStart"/>
      <w:r w:rsidRPr="00800BC4">
        <w:rPr>
          <w:rFonts w:ascii="Arial" w:eastAsia="Arial" w:hAnsi="Arial" w:cs="Arial"/>
          <w:iCs/>
          <w:sz w:val="24"/>
          <w:szCs w:val="24"/>
        </w:rPr>
        <w:t>agrifood</w:t>
      </w:r>
      <w:proofErr w:type="spellEnd"/>
      <w:r w:rsidRPr="00800BC4">
        <w:rPr>
          <w:rFonts w:ascii="Arial" w:eastAsia="Arial" w:hAnsi="Arial" w:cs="Arial"/>
          <w:iCs/>
          <w:sz w:val="24"/>
          <w:szCs w:val="24"/>
        </w:rPr>
        <w:t xml:space="preserve"> systems. </w:t>
      </w:r>
      <w:proofErr w:type="spellStart"/>
      <w:r w:rsidRPr="006D3142">
        <w:rPr>
          <w:rFonts w:ascii="Arial" w:eastAsia="Arial" w:hAnsi="Arial" w:cs="Arial"/>
          <w:b/>
          <w:bCs/>
          <w:iCs/>
          <w:sz w:val="24"/>
          <w:szCs w:val="24"/>
        </w:rPr>
        <w:t>Rome</w:t>
      </w:r>
      <w:proofErr w:type="spellEnd"/>
      <w:r w:rsidRPr="006D3142">
        <w:rPr>
          <w:rFonts w:ascii="Arial" w:eastAsia="Arial" w:hAnsi="Arial" w:cs="Arial"/>
          <w:b/>
          <w:bCs/>
          <w:iCs/>
          <w:sz w:val="24"/>
          <w:szCs w:val="24"/>
        </w:rPr>
        <w:t>:</w:t>
      </w:r>
      <w:r w:rsidRPr="00800BC4">
        <w:rPr>
          <w:rFonts w:ascii="Arial" w:eastAsia="Arial" w:hAnsi="Arial" w:cs="Arial"/>
          <w:iCs/>
          <w:sz w:val="24"/>
          <w:szCs w:val="24"/>
        </w:rPr>
        <w:t xml:space="preserve"> Food </w:t>
      </w:r>
      <w:proofErr w:type="spellStart"/>
      <w:r w:rsidRPr="00800BC4">
        <w:rPr>
          <w:rFonts w:ascii="Arial" w:eastAsia="Arial" w:hAnsi="Arial" w:cs="Arial"/>
          <w:iCs/>
          <w:sz w:val="24"/>
          <w:szCs w:val="24"/>
        </w:rPr>
        <w:t>and</w:t>
      </w:r>
      <w:proofErr w:type="spellEnd"/>
      <w:r w:rsidRPr="00800BC4">
        <w:rPr>
          <w:rFonts w:ascii="Arial" w:eastAsia="Arial" w:hAnsi="Arial" w:cs="Arial"/>
          <w:iCs/>
          <w:sz w:val="24"/>
          <w:szCs w:val="24"/>
        </w:rPr>
        <w:t xml:space="preserve"> </w:t>
      </w:r>
      <w:proofErr w:type="spellStart"/>
      <w:r w:rsidRPr="00800BC4">
        <w:rPr>
          <w:rFonts w:ascii="Arial" w:eastAsia="Arial" w:hAnsi="Arial" w:cs="Arial"/>
          <w:iCs/>
          <w:sz w:val="24"/>
          <w:szCs w:val="24"/>
        </w:rPr>
        <w:t>Agriculture</w:t>
      </w:r>
      <w:proofErr w:type="spellEnd"/>
      <w:r w:rsidRPr="00800BC4">
        <w:rPr>
          <w:rFonts w:ascii="Arial" w:eastAsia="Arial" w:hAnsi="Arial" w:cs="Arial"/>
          <w:iCs/>
          <w:sz w:val="24"/>
          <w:szCs w:val="24"/>
        </w:rPr>
        <w:t xml:space="preserve"> </w:t>
      </w:r>
      <w:proofErr w:type="spellStart"/>
      <w:r w:rsidRPr="00800BC4">
        <w:rPr>
          <w:rFonts w:ascii="Arial" w:eastAsia="Arial" w:hAnsi="Arial" w:cs="Arial"/>
          <w:iCs/>
          <w:sz w:val="24"/>
          <w:szCs w:val="24"/>
        </w:rPr>
        <w:t>Organization</w:t>
      </w:r>
      <w:proofErr w:type="spellEnd"/>
      <w:r w:rsidRPr="00800BC4">
        <w:rPr>
          <w:rFonts w:ascii="Arial" w:eastAsia="Arial" w:hAnsi="Arial" w:cs="Arial"/>
          <w:iCs/>
          <w:sz w:val="24"/>
          <w:szCs w:val="24"/>
        </w:rPr>
        <w:t xml:space="preserve"> </w:t>
      </w:r>
      <w:proofErr w:type="spellStart"/>
      <w:r w:rsidRPr="00800BC4">
        <w:rPr>
          <w:rFonts w:ascii="Arial" w:eastAsia="Arial" w:hAnsi="Arial" w:cs="Arial"/>
          <w:iCs/>
          <w:sz w:val="24"/>
          <w:szCs w:val="24"/>
        </w:rPr>
        <w:t>of</w:t>
      </w:r>
      <w:proofErr w:type="spellEnd"/>
      <w:r w:rsidRPr="00800BC4">
        <w:rPr>
          <w:rFonts w:ascii="Arial" w:eastAsia="Arial" w:hAnsi="Arial" w:cs="Arial"/>
          <w:iCs/>
          <w:sz w:val="24"/>
          <w:szCs w:val="24"/>
        </w:rPr>
        <w:t xml:space="preserve"> </w:t>
      </w:r>
      <w:proofErr w:type="spellStart"/>
      <w:r w:rsidRPr="00800BC4">
        <w:rPr>
          <w:rFonts w:ascii="Arial" w:eastAsia="Arial" w:hAnsi="Arial" w:cs="Arial"/>
          <w:iCs/>
          <w:sz w:val="24"/>
          <w:szCs w:val="24"/>
        </w:rPr>
        <w:t>the</w:t>
      </w:r>
      <w:proofErr w:type="spellEnd"/>
      <w:r w:rsidRPr="00800BC4">
        <w:rPr>
          <w:rFonts w:ascii="Arial" w:eastAsia="Arial" w:hAnsi="Arial" w:cs="Arial"/>
          <w:iCs/>
          <w:sz w:val="24"/>
          <w:szCs w:val="24"/>
        </w:rPr>
        <w:t xml:space="preserve"> United </w:t>
      </w:r>
      <w:proofErr w:type="spellStart"/>
      <w:r w:rsidRPr="00800BC4">
        <w:rPr>
          <w:rFonts w:ascii="Arial" w:eastAsia="Arial" w:hAnsi="Arial" w:cs="Arial"/>
          <w:iCs/>
          <w:sz w:val="24"/>
          <w:szCs w:val="24"/>
        </w:rPr>
        <w:t>Nations</w:t>
      </w:r>
      <w:proofErr w:type="spellEnd"/>
      <w:r w:rsidRPr="00800BC4">
        <w:rPr>
          <w:rFonts w:ascii="Arial" w:eastAsia="Arial" w:hAnsi="Arial" w:cs="Arial"/>
          <w:iCs/>
          <w:sz w:val="24"/>
          <w:szCs w:val="24"/>
        </w:rPr>
        <w:t>, 2024</w:t>
      </w:r>
      <w:r>
        <w:rPr>
          <w:rFonts w:ascii="Arial" w:eastAsia="Arial" w:hAnsi="Arial" w:cs="Arial"/>
          <w:sz w:val="24"/>
          <w:szCs w:val="24"/>
        </w:rPr>
        <w:t>.</w:t>
      </w:r>
    </w:p>
    <w:p w14:paraId="2ED17125" w14:textId="77777777" w:rsidR="006D3142" w:rsidRDefault="00D575D6" w:rsidP="00D575D6">
      <w:pPr>
        <w:spacing w:before="240" w:after="240" w:line="36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HUME, C. et al. Community </w:t>
      </w:r>
      <w:proofErr w:type="spellStart"/>
      <w:r>
        <w:rPr>
          <w:rFonts w:ascii="Arial" w:eastAsia="Arial" w:hAnsi="Arial" w:cs="Arial"/>
          <w:sz w:val="24"/>
          <w:szCs w:val="24"/>
        </w:rPr>
        <w:t>gardens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and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their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effects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diet, </w:t>
      </w:r>
      <w:proofErr w:type="spellStart"/>
      <w:r>
        <w:rPr>
          <w:rFonts w:ascii="Arial" w:eastAsia="Arial" w:hAnsi="Arial" w:cs="Arial"/>
          <w:sz w:val="24"/>
          <w:szCs w:val="24"/>
        </w:rPr>
        <w:t>health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psychosocial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and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community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outcomes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: a </w:t>
      </w:r>
      <w:proofErr w:type="spellStart"/>
      <w:r>
        <w:rPr>
          <w:rFonts w:ascii="Arial" w:eastAsia="Arial" w:hAnsi="Arial" w:cs="Arial"/>
          <w:sz w:val="24"/>
          <w:szCs w:val="24"/>
        </w:rPr>
        <w:t>systematic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review. </w:t>
      </w:r>
      <w:r w:rsidRPr="00800BC4">
        <w:rPr>
          <w:rFonts w:ascii="Arial" w:eastAsia="Arial" w:hAnsi="Arial" w:cs="Arial"/>
          <w:b/>
          <w:bCs/>
          <w:iCs/>
          <w:sz w:val="24"/>
          <w:szCs w:val="24"/>
        </w:rPr>
        <w:t xml:space="preserve">BMC </w:t>
      </w:r>
      <w:proofErr w:type="spellStart"/>
      <w:r w:rsidRPr="00800BC4">
        <w:rPr>
          <w:rFonts w:ascii="Arial" w:eastAsia="Arial" w:hAnsi="Arial" w:cs="Arial"/>
          <w:b/>
          <w:bCs/>
          <w:iCs/>
          <w:sz w:val="24"/>
          <w:szCs w:val="24"/>
        </w:rPr>
        <w:t>Public</w:t>
      </w:r>
      <w:proofErr w:type="spellEnd"/>
      <w:r w:rsidRPr="00800BC4">
        <w:rPr>
          <w:rFonts w:ascii="Arial" w:eastAsia="Arial" w:hAnsi="Arial" w:cs="Arial"/>
          <w:b/>
          <w:bCs/>
          <w:iCs/>
          <w:sz w:val="24"/>
          <w:szCs w:val="24"/>
        </w:rPr>
        <w:t xml:space="preserve"> Health</w:t>
      </w:r>
      <w:r>
        <w:rPr>
          <w:rFonts w:ascii="Arial" w:eastAsia="Arial" w:hAnsi="Arial" w:cs="Arial"/>
          <w:sz w:val="24"/>
          <w:szCs w:val="24"/>
        </w:rPr>
        <w:t xml:space="preserve">, </w:t>
      </w:r>
      <w:r w:rsidR="006D3142" w:rsidRPr="006D3142">
        <w:rPr>
          <w:rFonts w:ascii="Arial" w:eastAsia="Arial" w:hAnsi="Arial" w:cs="Arial"/>
          <w:sz w:val="24"/>
          <w:szCs w:val="24"/>
        </w:rPr>
        <w:t>v. 22, n. 1, p. 1247, 2022.</w:t>
      </w:r>
      <w:r w:rsidR="006D3142" w:rsidRPr="006D3142">
        <w:rPr>
          <w:rFonts w:ascii="Arial" w:eastAsia="Arial" w:hAnsi="Arial" w:cs="Arial"/>
          <w:sz w:val="24"/>
          <w:szCs w:val="24"/>
        </w:rPr>
        <w:t xml:space="preserve"> </w:t>
      </w:r>
    </w:p>
    <w:p w14:paraId="17655806" w14:textId="1AFA9BC4" w:rsidR="006D3142" w:rsidRDefault="00D575D6" w:rsidP="00D575D6">
      <w:pPr>
        <w:spacing w:before="240" w:after="240" w:line="36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LAMPERT, T. et al. </w:t>
      </w:r>
      <w:proofErr w:type="spellStart"/>
      <w:r>
        <w:rPr>
          <w:rFonts w:ascii="Arial" w:eastAsia="Arial" w:hAnsi="Arial" w:cs="Arial"/>
          <w:sz w:val="24"/>
          <w:szCs w:val="24"/>
        </w:rPr>
        <w:t>Evidence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the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contribution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of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community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gardens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promote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physical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and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mental </w:t>
      </w:r>
      <w:proofErr w:type="spellStart"/>
      <w:r>
        <w:rPr>
          <w:rFonts w:ascii="Arial" w:eastAsia="Arial" w:hAnsi="Arial" w:cs="Arial"/>
          <w:sz w:val="24"/>
          <w:szCs w:val="24"/>
        </w:rPr>
        <w:t>health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and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well-being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of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non-</w:t>
      </w:r>
      <w:proofErr w:type="spellStart"/>
      <w:r>
        <w:rPr>
          <w:rFonts w:ascii="Arial" w:eastAsia="Arial" w:hAnsi="Arial" w:cs="Arial"/>
          <w:sz w:val="24"/>
          <w:szCs w:val="24"/>
        </w:rPr>
        <w:t>institutionalized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individuals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: a </w:t>
      </w:r>
      <w:proofErr w:type="spellStart"/>
      <w:r>
        <w:rPr>
          <w:rFonts w:ascii="Arial" w:eastAsia="Arial" w:hAnsi="Arial" w:cs="Arial"/>
          <w:sz w:val="24"/>
          <w:szCs w:val="24"/>
        </w:rPr>
        <w:t>systematic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review. </w:t>
      </w:r>
      <w:proofErr w:type="spellStart"/>
      <w:r w:rsidR="006D3142">
        <w:rPr>
          <w:rFonts w:ascii="Arial" w:eastAsia="Arial" w:hAnsi="Arial" w:cs="Arial"/>
          <w:b/>
          <w:bCs/>
          <w:iCs/>
          <w:sz w:val="24"/>
          <w:szCs w:val="24"/>
        </w:rPr>
        <w:t>P</w:t>
      </w:r>
      <w:r w:rsidR="006D3142" w:rsidRPr="00800BC4">
        <w:rPr>
          <w:rFonts w:ascii="Arial" w:eastAsia="Arial" w:hAnsi="Arial" w:cs="Arial"/>
          <w:b/>
          <w:bCs/>
          <w:iCs/>
          <w:sz w:val="24"/>
          <w:szCs w:val="24"/>
        </w:rPr>
        <w:t>los</w:t>
      </w:r>
      <w:proofErr w:type="spellEnd"/>
      <w:r w:rsidR="006D3142" w:rsidRPr="00800BC4">
        <w:rPr>
          <w:rFonts w:ascii="Arial" w:eastAsia="Arial" w:hAnsi="Arial" w:cs="Arial"/>
          <w:b/>
          <w:bCs/>
          <w:iCs/>
          <w:sz w:val="24"/>
          <w:szCs w:val="24"/>
        </w:rPr>
        <w:t xml:space="preserve"> </w:t>
      </w:r>
      <w:proofErr w:type="spellStart"/>
      <w:r w:rsidR="006D3142" w:rsidRPr="00800BC4">
        <w:rPr>
          <w:rFonts w:ascii="Arial" w:eastAsia="Arial" w:hAnsi="Arial" w:cs="Arial"/>
          <w:b/>
          <w:bCs/>
          <w:iCs/>
          <w:sz w:val="24"/>
          <w:szCs w:val="24"/>
        </w:rPr>
        <w:t>one</w:t>
      </w:r>
      <w:proofErr w:type="spellEnd"/>
      <w:r w:rsidRPr="00800BC4">
        <w:rPr>
          <w:rFonts w:ascii="Arial" w:eastAsia="Arial" w:hAnsi="Arial" w:cs="Arial"/>
          <w:iCs/>
          <w:sz w:val="24"/>
          <w:szCs w:val="24"/>
        </w:rPr>
        <w:t>,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6D3142" w:rsidRPr="006D3142">
        <w:rPr>
          <w:rFonts w:ascii="Arial" w:eastAsia="Arial" w:hAnsi="Arial" w:cs="Arial"/>
          <w:sz w:val="24"/>
          <w:szCs w:val="24"/>
        </w:rPr>
        <w:t>v. 16, n. 8, p. e0255621, 2021.</w:t>
      </w:r>
      <w:r w:rsidR="006D3142" w:rsidRPr="006D3142">
        <w:rPr>
          <w:rFonts w:ascii="Arial" w:eastAsia="Arial" w:hAnsi="Arial" w:cs="Arial"/>
          <w:sz w:val="24"/>
          <w:szCs w:val="24"/>
        </w:rPr>
        <w:t xml:space="preserve"> </w:t>
      </w:r>
    </w:p>
    <w:p w14:paraId="0F67D8D0" w14:textId="1B3667E7" w:rsidR="00D575D6" w:rsidRDefault="00D575D6" w:rsidP="00D575D6">
      <w:pPr>
        <w:spacing w:before="240" w:after="240" w:line="36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OMS. </w:t>
      </w:r>
      <w:r w:rsidRPr="006D3142">
        <w:rPr>
          <w:rFonts w:ascii="Arial" w:eastAsia="Arial" w:hAnsi="Arial" w:cs="Arial"/>
          <w:iCs/>
          <w:sz w:val="24"/>
          <w:szCs w:val="24"/>
        </w:rPr>
        <w:t xml:space="preserve">Global </w:t>
      </w:r>
      <w:proofErr w:type="spellStart"/>
      <w:r w:rsidRPr="006D3142">
        <w:rPr>
          <w:rFonts w:ascii="Arial" w:eastAsia="Arial" w:hAnsi="Arial" w:cs="Arial"/>
          <w:iCs/>
          <w:sz w:val="24"/>
          <w:szCs w:val="24"/>
        </w:rPr>
        <w:t>report</w:t>
      </w:r>
      <w:proofErr w:type="spellEnd"/>
      <w:r w:rsidRPr="006D3142">
        <w:rPr>
          <w:rFonts w:ascii="Arial" w:eastAsia="Arial" w:hAnsi="Arial" w:cs="Arial"/>
          <w:iCs/>
          <w:sz w:val="24"/>
          <w:szCs w:val="24"/>
        </w:rPr>
        <w:t xml:space="preserve"> </w:t>
      </w:r>
      <w:proofErr w:type="spellStart"/>
      <w:r w:rsidRPr="006D3142">
        <w:rPr>
          <w:rFonts w:ascii="Arial" w:eastAsia="Arial" w:hAnsi="Arial" w:cs="Arial"/>
          <w:iCs/>
          <w:sz w:val="24"/>
          <w:szCs w:val="24"/>
        </w:rPr>
        <w:t>on</w:t>
      </w:r>
      <w:proofErr w:type="spellEnd"/>
      <w:r w:rsidRPr="006D3142">
        <w:rPr>
          <w:rFonts w:ascii="Arial" w:eastAsia="Arial" w:hAnsi="Arial" w:cs="Arial"/>
          <w:iCs/>
          <w:sz w:val="24"/>
          <w:szCs w:val="24"/>
        </w:rPr>
        <w:t xml:space="preserve"> </w:t>
      </w:r>
      <w:proofErr w:type="spellStart"/>
      <w:r w:rsidRPr="006D3142">
        <w:rPr>
          <w:rFonts w:ascii="Arial" w:eastAsia="Arial" w:hAnsi="Arial" w:cs="Arial"/>
          <w:iCs/>
          <w:sz w:val="24"/>
          <w:szCs w:val="24"/>
        </w:rPr>
        <w:t>ageism</w:t>
      </w:r>
      <w:proofErr w:type="spellEnd"/>
      <w:r>
        <w:rPr>
          <w:rFonts w:ascii="Arial" w:eastAsia="Arial" w:hAnsi="Arial" w:cs="Arial"/>
          <w:i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Pr="006D3142">
        <w:rPr>
          <w:rFonts w:ascii="Arial" w:eastAsia="Arial" w:hAnsi="Arial" w:cs="Arial"/>
          <w:b/>
          <w:bCs/>
          <w:sz w:val="24"/>
          <w:szCs w:val="24"/>
        </w:rPr>
        <w:t>Geneva</w:t>
      </w:r>
      <w:r>
        <w:rPr>
          <w:rFonts w:ascii="Arial" w:eastAsia="Arial" w:hAnsi="Arial" w:cs="Arial"/>
          <w:sz w:val="24"/>
          <w:szCs w:val="24"/>
        </w:rPr>
        <w:t xml:space="preserve">: World Health </w:t>
      </w:r>
      <w:proofErr w:type="spellStart"/>
      <w:r>
        <w:rPr>
          <w:rFonts w:ascii="Arial" w:eastAsia="Arial" w:hAnsi="Arial" w:cs="Arial"/>
          <w:sz w:val="24"/>
          <w:szCs w:val="24"/>
        </w:rPr>
        <w:t>Organization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2021. </w:t>
      </w:r>
    </w:p>
    <w:p w14:paraId="1DF55FBB" w14:textId="307111A1" w:rsidR="00D575D6" w:rsidRDefault="00D575D6" w:rsidP="00D575D6">
      <w:pPr>
        <w:spacing w:before="240" w:after="240" w:line="36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SÃO PAULO (Estado). </w:t>
      </w:r>
      <w:r w:rsidRPr="006D3142">
        <w:rPr>
          <w:rFonts w:ascii="Arial" w:eastAsia="Arial" w:hAnsi="Arial" w:cs="Arial"/>
          <w:iCs/>
          <w:sz w:val="24"/>
          <w:szCs w:val="24"/>
        </w:rPr>
        <w:t>Hortas urbanas e comunitárias: guia técnico</w:t>
      </w:r>
      <w:r>
        <w:rPr>
          <w:rFonts w:ascii="Arial" w:eastAsia="Arial" w:hAnsi="Arial" w:cs="Arial"/>
          <w:i/>
          <w:sz w:val="24"/>
          <w:szCs w:val="24"/>
        </w:rPr>
        <w:t>.</w:t>
      </w:r>
      <w:r>
        <w:rPr>
          <w:rFonts w:ascii="Arial" w:eastAsia="Arial" w:hAnsi="Arial" w:cs="Arial"/>
          <w:sz w:val="24"/>
          <w:szCs w:val="24"/>
        </w:rPr>
        <w:t xml:space="preserve"> São Paulo: Instituto de Saúde, 2020. </w:t>
      </w:r>
    </w:p>
    <w:p w14:paraId="1716410C" w14:textId="29B194EE" w:rsidR="00D575D6" w:rsidRDefault="00D575D6" w:rsidP="00D575D6">
      <w:pPr>
        <w:spacing w:before="240" w:after="240" w:line="36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SCOTT, T. L</w:t>
      </w:r>
      <w:r w:rsidR="000603DF">
        <w:rPr>
          <w:rFonts w:ascii="Arial" w:eastAsia="Arial" w:hAnsi="Arial" w:cs="Arial"/>
          <w:sz w:val="24"/>
          <w:szCs w:val="24"/>
        </w:rPr>
        <w:t>. et al</w:t>
      </w:r>
      <w:r>
        <w:rPr>
          <w:rFonts w:ascii="Arial" w:eastAsia="Arial" w:hAnsi="Arial" w:cs="Arial"/>
          <w:sz w:val="24"/>
          <w:szCs w:val="24"/>
        </w:rPr>
        <w:t xml:space="preserve">. Positive </w:t>
      </w:r>
      <w:proofErr w:type="spellStart"/>
      <w:r>
        <w:rPr>
          <w:rFonts w:ascii="Arial" w:eastAsia="Arial" w:hAnsi="Arial" w:cs="Arial"/>
          <w:sz w:val="24"/>
          <w:szCs w:val="24"/>
        </w:rPr>
        <w:t>aging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benefits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of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home </w:t>
      </w:r>
      <w:proofErr w:type="spellStart"/>
      <w:r>
        <w:rPr>
          <w:rFonts w:ascii="Arial" w:eastAsia="Arial" w:hAnsi="Arial" w:cs="Arial"/>
          <w:sz w:val="24"/>
          <w:szCs w:val="24"/>
        </w:rPr>
        <w:t>and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community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gardening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activities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  <w:r w:rsidRPr="006D3142">
        <w:rPr>
          <w:rFonts w:ascii="Arial" w:eastAsia="Arial" w:hAnsi="Arial" w:cs="Arial"/>
          <w:b/>
          <w:bCs/>
          <w:iCs/>
          <w:sz w:val="24"/>
          <w:szCs w:val="24"/>
        </w:rPr>
        <w:t>SAGE Open Medicine</w:t>
      </w:r>
      <w:r>
        <w:rPr>
          <w:rFonts w:ascii="Arial" w:eastAsia="Arial" w:hAnsi="Arial" w:cs="Arial"/>
          <w:sz w:val="24"/>
          <w:szCs w:val="24"/>
        </w:rPr>
        <w:t>,</w:t>
      </w:r>
      <w:r w:rsidR="006D3142" w:rsidRPr="006D3142">
        <w:rPr>
          <w:rFonts w:ascii="Arial" w:eastAsia="Arial" w:hAnsi="Arial" w:cs="Arial"/>
          <w:sz w:val="24"/>
          <w:szCs w:val="24"/>
        </w:rPr>
        <w:t> v. 8, p. 2050312120901732, 2020.</w:t>
      </w:r>
    </w:p>
    <w:p w14:paraId="4BCA1651" w14:textId="1CAB2FCD" w:rsidR="00D575D6" w:rsidRDefault="00D575D6" w:rsidP="00D575D6">
      <w:pPr>
        <w:spacing w:before="240" w:after="240" w:line="360" w:lineRule="auto"/>
        <w:ind w:firstLine="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WANG, D.; </w:t>
      </w:r>
      <w:proofErr w:type="spellStart"/>
      <w:r>
        <w:rPr>
          <w:rFonts w:ascii="Arial" w:eastAsia="Arial" w:hAnsi="Arial" w:cs="Arial"/>
          <w:sz w:val="24"/>
          <w:szCs w:val="24"/>
        </w:rPr>
        <w:t>MacMILLAN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T. </w:t>
      </w:r>
      <w:r w:rsidRPr="006D3142">
        <w:rPr>
          <w:rFonts w:ascii="Arial" w:eastAsia="Arial" w:hAnsi="Arial" w:cs="Arial"/>
          <w:sz w:val="24"/>
          <w:szCs w:val="24"/>
        </w:rPr>
        <w:t xml:space="preserve">The </w:t>
      </w:r>
      <w:proofErr w:type="spellStart"/>
      <w:r w:rsidRPr="006D3142">
        <w:rPr>
          <w:rFonts w:ascii="Arial" w:eastAsia="Arial" w:hAnsi="Arial" w:cs="Arial"/>
          <w:sz w:val="24"/>
          <w:szCs w:val="24"/>
        </w:rPr>
        <w:t>benefits</w:t>
      </w:r>
      <w:proofErr w:type="spellEnd"/>
      <w:r w:rsidRPr="006D314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6D3142">
        <w:rPr>
          <w:rFonts w:ascii="Arial" w:eastAsia="Arial" w:hAnsi="Arial" w:cs="Arial"/>
          <w:sz w:val="24"/>
          <w:szCs w:val="24"/>
        </w:rPr>
        <w:t>of</w:t>
      </w:r>
      <w:proofErr w:type="spellEnd"/>
      <w:r w:rsidRPr="006D314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6D3142">
        <w:rPr>
          <w:rFonts w:ascii="Arial" w:eastAsia="Arial" w:hAnsi="Arial" w:cs="Arial"/>
          <w:sz w:val="24"/>
          <w:szCs w:val="24"/>
        </w:rPr>
        <w:t>gardening</w:t>
      </w:r>
      <w:proofErr w:type="spellEnd"/>
      <w:r w:rsidRPr="006D3142">
        <w:rPr>
          <w:rFonts w:ascii="Arial" w:eastAsia="Arial" w:hAnsi="Arial" w:cs="Arial"/>
          <w:sz w:val="24"/>
          <w:szCs w:val="24"/>
        </w:rPr>
        <w:t xml:space="preserve"> for </w:t>
      </w:r>
      <w:proofErr w:type="spellStart"/>
      <w:r w:rsidRPr="006D3142">
        <w:rPr>
          <w:rFonts w:ascii="Arial" w:eastAsia="Arial" w:hAnsi="Arial" w:cs="Arial"/>
          <w:sz w:val="24"/>
          <w:szCs w:val="24"/>
        </w:rPr>
        <w:t>older</w:t>
      </w:r>
      <w:proofErr w:type="spellEnd"/>
      <w:r w:rsidRPr="006D314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6D3142">
        <w:rPr>
          <w:rFonts w:ascii="Arial" w:eastAsia="Arial" w:hAnsi="Arial" w:cs="Arial"/>
          <w:sz w:val="24"/>
          <w:szCs w:val="24"/>
        </w:rPr>
        <w:t>adults</w:t>
      </w:r>
      <w:proofErr w:type="spellEnd"/>
      <w:r w:rsidRPr="006D3142">
        <w:rPr>
          <w:rFonts w:ascii="Arial" w:eastAsia="Arial" w:hAnsi="Arial" w:cs="Arial"/>
          <w:sz w:val="24"/>
          <w:szCs w:val="24"/>
        </w:rPr>
        <w:t xml:space="preserve">: a </w:t>
      </w:r>
      <w:proofErr w:type="spellStart"/>
      <w:r w:rsidRPr="006D3142">
        <w:rPr>
          <w:rFonts w:ascii="Arial" w:eastAsia="Arial" w:hAnsi="Arial" w:cs="Arial"/>
          <w:sz w:val="24"/>
          <w:szCs w:val="24"/>
        </w:rPr>
        <w:t>systematic</w:t>
      </w:r>
      <w:proofErr w:type="spellEnd"/>
      <w:r w:rsidRPr="006D3142">
        <w:rPr>
          <w:rFonts w:ascii="Arial" w:eastAsia="Arial" w:hAnsi="Arial" w:cs="Arial"/>
          <w:sz w:val="24"/>
          <w:szCs w:val="24"/>
        </w:rPr>
        <w:t xml:space="preserve"> review </w:t>
      </w:r>
      <w:proofErr w:type="spellStart"/>
      <w:r w:rsidRPr="006D3142">
        <w:rPr>
          <w:rFonts w:ascii="Arial" w:eastAsia="Arial" w:hAnsi="Arial" w:cs="Arial"/>
          <w:sz w:val="24"/>
          <w:szCs w:val="24"/>
        </w:rPr>
        <w:t>of</w:t>
      </w:r>
      <w:proofErr w:type="spellEnd"/>
      <w:r w:rsidRPr="006D314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6D3142">
        <w:rPr>
          <w:rFonts w:ascii="Arial" w:eastAsia="Arial" w:hAnsi="Arial" w:cs="Arial"/>
          <w:sz w:val="24"/>
          <w:szCs w:val="24"/>
        </w:rPr>
        <w:t>the</w:t>
      </w:r>
      <w:proofErr w:type="spellEnd"/>
      <w:r w:rsidRPr="006D3142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6D3142">
        <w:rPr>
          <w:rFonts w:ascii="Arial" w:eastAsia="Arial" w:hAnsi="Arial" w:cs="Arial"/>
          <w:sz w:val="24"/>
          <w:szCs w:val="24"/>
        </w:rPr>
        <w:t>literature</w:t>
      </w:r>
      <w:proofErr w:type="spellEnd"/>
      <w:r w:rsidRPr="006D3142">
        <w:rPr>
          <w:rFonts w:ascii="Arial" w:eastAsia="Arial" w:hAnsi="Arial" w:cs="Arial"/>
          <w:sz w:val="24"/>
          <w:szCs w:val="24"/>
        </w:rPr>
        <w:t xml:space="preserve">. </w:t>
      </w:r>
      <w:proofErr w:type="spellStart"/>
      <w:r w:rsidRPr="006D3142">
        <w:rPr>
          <w:rFonts w:ascii="Arial" w:eastAsia="Arial" w:hAnsi="Arial" w:cs="Arial"/>
          <w:b/>
          <w:bCs/>
          <w:sz w:val="24"/>
          <w:szCs w:val="24"/>
        </w:rPr>
        <w:t>Ageing</w:t>
      </w:r>
      <w:proofErr w:type="spellEnd"/>
      <w:r w:rsidRPr="006D3142">
        <w:rPr>
          <w:rFonts w:ascii="Arial" w:eastAsia="Arial" w:hAnsi="Arial" w:cs="Arial"/>
          <w:b/>
          <w:bCs/>
          <w:sz w:val="24"/>
          <w:szCs w:val="24"/>
        </w:rPr>
        <w:t xml:space="preserve"> &amp; Society,</w:t>
      </w:r>
      <w:r>
        <w:rPr>
          <w:rFonts w:ascii="Arial" w:eastAsia="Arial" w:hAnsi="Arial" w:cs="Arial"/>
          <w:sz w:val="24"/>
          <w:szCs w:val="24"/>
        </w:rPr>
        <w:t xml:space="preserve"> v. 40, n. 4, p. 831-857, 2020. </w:t>
      </w:r>
    </w:p>
    <w:p w14:paraId="7883F0EC" w14:textId="77777777" w:rsidR="00D575D6" w:rsidRDefault="00D575D6" w:rsidP="004C446D">
      <w:pPr>
        <w:pStyle w:val="TtulosNoNumerados"/>
      </w:pPr>
    </w:p>
    <w:p w14:paraId="1CEA4D6E" w14:textId="77777777" w:rsidR="00597F8A" w:rsidRPr="004C446D" w:rsidRDefault="00597F8A" w:rsidP="009A33DE">
      <w:pPr>
        <w:pStyle w:val="Texto"/>
      </w:pPr>
    </w:p>
    <w:p w14:paraId="79BEE3E7" w14:textId="77777777" w:rsidR="001E54C1" w:rsidRDefault="001E54C1">
      <w:pPr>
        <w:pStyle w:val="TtulosNoNumerados"/>
      </w:pPr>
    </w:p>
    <w:p w14:paraId="61126B4C" w14:textId="77777777" w:rsidR="001E54C1" w:rsidRDefault="001E54C1">
      <w:pPr>
        <w:pStyle w:val="TtulosNoNumerados"/>
      </w:pPr>
    </w:p>
    <w:p w14:paraId="361B03A7" w14:textId="77777777" w:rsidR="001E54C1" w:rsidRDefault="001E54C1">
      <w:pPr>
        <w:pStyle w:val="TtulosNoNumerados"/>
      </w:pPr>
    </w:p>
    <w:p w14:paraId="3CB62C86" w14:textId="77777777" w:rsidR="00E31A9B" w:rsidRDefault="00E31A9B">
      <w:pPr>
        <w:pStyle w:val="TtulosNoNumerados"/>
      </w:pPr>
    </w:p>
    <w:p w14:paraId="400A594F" w14:textId="77777777" w:rsidR="001E54C1" w:rsidRPr="00CD581C" w:rsidRDefault="001E54C1">
      <w:pPr>
        <w:pStyle w:val="TtulosNoNumerados"/>
      </w:pPr>
    </w:p>
    <w:sectPr w:rsidR="001E54C1" w:rsidRPr="00CD581C" w:rsidSect="004C446D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63ACF4" w14:textId="77777777" w:rsidR="00FB0F84" w:rsidRDefault="00FB0F84" w:rsidP="00026BCD">
      <w:pPr>
        <w:spacing w:line="240" w:lineRule="auto"/>
      </w:pPr>
      <w:r>
        <w:separator/>
      </w:r>
    </w:p>
  </w:endnote>
  <w:endnote w:type="continuationSeparator" w:id="0">
    <w:p w14:paraId="0FE71905" w14:textId="77777777" w:rsidR="00FB0F84" w:rsidRDefault="00FB0F84" w:rsidP="00026B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0D704" w14:textId="77777777" w:rsidR="00892CA9" w:rsidRDefault="00892CA9" w:rsidP="00DA1797">
    <w:pPr>
      <w:ind w:firstLine="0"/>
    </w:pPr>
  </w:p>
  <w:p w14:paraId="190BD1B2" w14:textId="77C54A85" w:rsidR="34CB68DF" w:rsidRDefault="34CB68DF" w:rsidP="34CB68D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0DEF02" w14:textId="77777777" w:rsidR="00FB0F84" w:rsidRDefault="00FB0F84" w:rsidP="00026BCD">
      <w:pPr>
        <w:spacing w:line="240" w:lineRule="auto"/>
      </w:pPr>
      <w:r>
        <w:separator/>
      </w:r>
    </w:p>
  </w:footnote>
  <w:footnote w:type="continuationSeparator" w:id="0">
    <w:p w14:paraId="1DB16D40" w14:textId="77777777" w:rsidR="00FB0F84" w:rsidRDefault="00FB0F84" w:rsidP="00026BCD">
      <w:pPr>
        <w:spacing w:line="240" w:lineRule="auto"/>
      </w:pPr>
      <w:r>
        <w:continuationSeparator/>
      </w:r>
    </w:p>
  </w:footnote>
  <w:footnote w:id="1">
    <w:p w14:paraId="7EC411BB" w14:textId="4651D5EC" w:rsidR="009F755A" w:rsidRPr="007E362A" w:rsidRDefault="009F755A" w:rsidP="0038670C">
      <w:pPr>
        <w:pStyle w:val="TtulosNoNumerados"/>
        <w:rPr>
          <w:b w:val="0"/>
          <w:bCs w:val="0"/>
          <w:sz w:val="22"/>
          <w:szCs w:val="22"/>
        </w:rPr>
      </w:pPr>
      <w:r w:rsidRPr="00250E5E">
        <w:rPr>
          <w:rStyle w:val="Refdenotaderodap"/>
          <w:b w:val="0"/>
          <w:bCs w:val="0"/>
          <w:sz w:val="22"/>
          <w:szCs w:val="22"/>
        </w:rPr>
        <w:footnoteRef/>
      </w:r>
      <w:r w:rsidRPr="00250E5E">
        <w:rPr>
          <w:b w:val="0"/>
          <w:bCs w:val="0"/>
          <w:sz w:val="22"/>
          <w:szCs w:val="22"/>
        </w:rPr>
        <w:t xml:space="preserve"> </w:t>
      </w:r>
      <w:r>
        <w:rPr>
          <w:rFonts w:eastAsia="Arial"/>
          <w:b w:val="0"/>
          <w:bCs w:val="0"/>
          <w:sz w:val="22"/>
          <w:szCs w:val="22"/>
        </w:rPr>
        <w:t>Acadêmica de Nutrição</w:t>
      </w:r>
      <w:r w:rsidRPr="00250E5E">
        <w:rPr>
          <w:rFonts w:eastAsia="Arial"/>
          <w:b w:val="0"/>
          <w:bCs w:val="0"/>
          <w:sz w:val="22"/>
          <w:szCs w:val="22"/>
        </w:rPr>
        <w:t xml:space="preserve">, </w:t>
      </w:r>
      <w:r w:rsidRPr="001A72C6">
        <w:rPr>
          <w:rFonts w:eastAsia="Arial"/>
          <w:b w:val="0"/>
          <w:bCs w:val="0"/>
          <w:sz w:val="22"/>
          <w:szCs w:val="22"/>
        </w:rPr>
        <w:t xml:space="preserve">Universidade do Vale do Itajaí, Itajaí, Santa Catarina, Brasil, </w:t>
      </w:r>
      <w:bookmarkStart w:id="1" w:name="_Hlk212920968"/>
      <w:r w:rsidRPr="007E362A">
        <w:rPr>
          <w:rFonts w:eastAsia="Arial"/>
          <w:b w:val="0"/>
          <w:bCs w:val="0"/>
          <w:sz w:val="22"/>
          <w:szCs w:val="22"/>
        </w:rPr>
        <w:t>petry.laiane@gmail.com</w:t>
      </w:r>
      <w:bookmarkEnd w:id="1"/>
    </w:p>
  </w:footnote>
  <w:footnote w:id="2">
    <w:p w14:paraId="42E92EB7" w14:textId="77777777" w:rsidR="009F755A" w:rsidRPr="00AD1E34" w:rsidRDefault="009F755A" w:rsidP="0038670C">
      <w:pPr>
        <w:pStyle w:val="Textodenotaderodap"/>
        <w:spacing w:line="360" w:lineRule="auto"/>
        <w:ind w:firstLine="0"/>
        <w:rPr>
          <w:rFonts w:ascii="Arial" w:hAnsi="Arial" w:cs="Arial"/>
          <w:sz w:val="22"/>
          <w:szCs w:val="22"/>
        </w:rPr>
      </w:pPr>
      <w:r w:rsidRPr="00AD1E34">
        <w:rPr>
          <w:rStyle w:val="Refdenotaderodap"/>
          <w:rFonts w:ascii="Arial" w:hAnsi="Arial" w:cs="Arial"/>
          <w:sz w:val="22"/>
          <w:szCs w:val="22"/>
        </w:rPr>
        <w:footnoteRef/>
      </w:r>
      <w:r w:rsidRPr="00AD1E34">
        <w:rPr>
          <w:rFonts w:ascii="Arial" w:hAnsi="Arial" w:cs="Arial"/>
          <w:sz w:val="22"/>
          <w:szCs w:val="22"/>
        </w:rPr>
        <w:t xml:space="preserve"> </w:t>
      </w:r>
      <w:r w:rsidRPr="007E362A">
        <w:rPr>
          <w:rFonts w:ascii="Arial" w:eastAsia="Arial" w:hAnsi="Arial" w:cs="Arial"/>
          <w:sz w:val="22"/>
          <w:szCs w:val="22"/>
        </w:rPr>
        <w:t>Acadêmica de Nutrição</w:t>
      </w:r>
      <w:r w:rsidRPr="00AD1E34">
        <w:rPr>
          <w:rFonts w:ascii="Arial" w:hAnsi="Arial" w:cs="Arial"/>
          <w:sz w:val="22"/>
          <w:szCs w:val="22"/>
        </w:rPr>
        <w:t xml:space="preserve">, </w:t>
      </w:r>
      <w:r w:rsidRPr="00AD1E34">
        <w:rPr>
          <w:rFonts w:ascii="Arial" w:eastAsia="Arial" w:hAnsi="Arial" w:cs="Arial"/>
          <w:sz w:val="22"/>
          <w:szCs w:val="22"/>
        </w:rPr>
        <w:t xml:space="preserve">Universidade do Vale do Itajaí, Itajaí, Santa Catarina, Brasil, </w:t>
      </w:r>
      <w:r w:rsidRPr="007E362A">
        <w:rPr>
          <w:rFonts w:ascii="Arial" w:eastAsia="Arial" w:hAnsi="Arial" w:cs="Arial"/>
          <w:sz w:val="22"/>
          <w:szCs w:val="22"/>
        </w:rPr>
        <w:t>johanna.budag.carvalho@gmail.com</w:t>
      </w:r>
    </w:p>
  </w:footnote>
  <w:footnote w:id="3">
    <w:p w14:paraId="06B1FF05" w14:textId="2D9A44DD" w:rsidR="009F755A" w:rsidRPr="00AD1E34" w:rsidRDefault="009F755A" w:rsidP="0038670C">
      <w:pPr>
        <w:pStyle w:val="Textodenotaderodap"/>
        <w:spacing w:line="360" w:lineRule="auto"/>
        <w:ind w:firstLine="0"/>
        <w:rPr>
          <w:rFonts w:ascii="Arial" w:hAnsi="Arial" w:cs="Arial"/>
          <w:sz w:val="22"/>
          <w:szCs w:val="22"/>
        </w:rPr>
      </w:pPr>
      <w:r w:rsidRPr="00AD1E34">
        <w:rPr>
          <w:rStyle w:val="Refdenotaderodap"/>
          <w:rFonts w:ascii="Arial" w:hAnsi="Arial" w:cs="Arial"/>
          <w:sz w:val="22"/>
          <w:szCs w:val="22"/>
        </w:rPr>
        <w:footnoteRef/>
      </w:r>
      <w:r w:rsidRPr="00AD1E34">
        <w:rPr>
          <w:rFonts w:ascii="Arial" w:hAnsi="Arial" w:cs="Arial"/>
          <w:sz w:val="22"/>
          <w:szCs w:val="22"/>
        </w:rPr>
        <w:t xml:space="preserve"> </w:t>
      </w:r>
      <w:r w:rsidRPr="007E362A">
        <w:rPr>
          <w:rFonts w:ascii="Arial" w:eastAsia="Arial" w:hAnsi="Arial" w:cs="Arial"/>
          <w:sz w:val="22"/>
          <w:szCs w:val="22"/>
        </w:rPr>
        <w:t>Acadêmica de Nutrição</w:t>
      </w:r>
      <w:r w:rsidRPr="00AD1E34">
        <w:rPr>
          <w:rFonts w:ascii="Arial" w:hAnsi="Arial" w:cs="Arial"/>
          <w:sz w:val="22"/>
          <w:szCs w:val="22"/>
        </w:rPr>
        <w:t xml:space="preserve">, </w:t>
      </w:r>
      <w:r w:rsidRPr="00AD1E34">
        <w:rPr>
          <w:rFonts w:ascii="Arial" w:eastAsia="Arial" w:hAnsi="Arial" w:cs="Arial"/>
          <w:sz w:val="22"/>
          <w:szCs w:val="22"/>
        </w:rPr>
        <w:t xml:space="preserve">Universidade do Vale do Itajaí, Itajaí, Santa Catarina, Brasil, </w:t>
      </w:r>
      <w:r w:rsidRPr="009F755A">
        <w:rPr>
          <w:rFonts w:ascii="Arial" w:hAnsi="Arial" w:cs="Arial"/>
          <w:sz w:val="22"/>
          <w:szCs w:val="22"/>
        </w:rPr>
        <w:t>luizabaraooterodeabreu@gmail.com</w:t>
      </w:r>
    </w:p>
  </w:footnote>
  <w:footnote w:id="4">
    <w:p w14:paraId="759122CD" w14:textId="77777777" w:rsidR="009F755A" w:rsidRPr="00AD1E34" w:rsidRDefault="009F755A" w:rsidP="0038670C">
      <w:pPr>
        <w:pStyle w:val="Textodenotaderodap"/>
        <w:spacing w:line="360" w:lineRule="auto"/>
        <w:ind w:firstLine="0"/>
        <w:rPr>
          <w:rFonts w:ascii="Arial" w:hAnsi="Arial" w:cs="Arial"/>
          <w:sz w:val="22"/>
          <w:szCs w:val="22"/>
        </w:rPr>
      </w:pPr>
      <w:r w:rsidRPr="00AD1E34">
        <w:rPr>
          <w:rStyle w:val="Refdenotaderodap"/>
          <w:rFonts w:ascii="Arial" w:hAnsi="Arial" w:cs="Arial"/>
          <w:sz w:val="22"/>
          <w:szCs w:val="22"/>
        </w:rPr>
        <w:footnoteRef/>
      </w:r>
      <w:r w:rsidRPr="00AD1E34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</w:t>
      </w:r>
      <w:r w:rsidRPr="007E362A">
        <w:rPr>
          <w:rFonts w:ascii="Arial" w:hAnsi="Arial" w:cs="Arial"/>
          <w:sz w:val="22"/>
          <w:szCs w:val="22"/>
        </w:rPr>
        <w:t xml:space="preserve">estre em </w:t>
      </w:r>
      <w:r>
        <w:rPr>
          <w:rFonts w:ascii="Arial" w:hAnsi="Arial" w:cs="Arial"/>
          <w:sz w:val="22"/>
          <w:szCs w:val="22"/>
        </w:rPr>
        <w:t>A</w:t>
      </w:r>
      <w:r w:rsidRPr="007E362A">
        <w:rPr>
          <w:rFonts w:ascii="Arial" w:hAnsi="Arial" w:cs="Arial"/>
          <w:sz w:val="22"/>
          <w:szCs w:val="22"/>
        </w:rPr>
        <w:t>groecossistemas</w:t>
      </w:r>
      <w:r w:rsidRPr="00AD1E34">
        <w:rPr>
          <w:rFonts w:ascii="Arial" w:hAnsi="Arial" w:cs="Arial"/>
          <w:sz w:val="22"/>
          <w:szCs w:val="22"/>
        </w:rPr>
        <w:t xml:space="preserve">, </w:t>
      </w:r>
      <w:r w:rsidRPr="00AD1E34">
        <w:rPr>
          <w:rFonts w:ascii="Arial" w:eastAsia="Arial" w:hAnsi="Arial" w:cs="Arial"/>
          <w:sz w:val="22"/>
          <w:szCs w:val="22"/>
        </w:rPr>
        <w:t xml:space="preserve">Universidade do Vale do Itajaí, Itajaí, Santa Catarina, Brasil, </w:t>
      </w:r>
      <w:r w:rsidRPr="007E362A">
        <w:rPr>
          <w:rFonts w:ascii="Arial" w:eastAsia="Arial" w:hAnsi="Arial" w:cs="Arial"/>
          <w:sz w:val="22"/>
          <w:szCs w:val="22"/>
        </w:rPr>
        <w:t>eloysa.mosimann@univali.br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B65E4" w14:textId="604B6F8E" w:rsidR="008562B7" w:rsidRDefault="00000000">
    <w:pPr>
      <w:pStyle w:val="Cabealho"/>
    </w:pPr>
    <w:r>
      <w:rPr>
        <w:noProof/>
      </w:rPr>
      <w:pict w14:anchorId="490377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2" type="#_x0000_t75" style="position:absolute;left:0;text-align:left;margin-left:0;margin-top:0;width:452.8pt;height:640.45pt;z-index:-251658239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3C001" w14:textId="675325A4" w:rsidR="34CB68DF" w:rsidRDefault="00000000" w:rsidP="00E31A9B">
    <w:pPr>
      <w:pStyle w:val="Cabealho"/>
      <w:ind w:firstLine="0"/>
    </w:pPr>
    <w:r>
      <w:rPr>
        <w:noProof/>
      </w:rPr>
      <w:pict w14:anchorId="018C91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-70.45pt;margin-top:-101.55pt;width:571.45pt;height:866.35pt;z-index:-251658238;mso-position-horizontal-relative:margin;mso-position-vertical-relative:margin" o:allowincell="f">
          <v:imagedata r:id="rId1" o:title="layout sem internacional a5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8FA9C" w14:textId="4E46BFD7" w:rsidR="008562B7" w:rsidRDefault="00000000">
    <w:pPr>
      <w:pStyle w:val="Cabealho"/>
    </w:pPr>
    <w:r>
      <w:rPr>
        <w:noProof/>
      </w:rPr>
      <w:pict w14:anchorId="0B3A8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left:0;text-align:left;margin-left:0;margin-top:0;width:452.8pt;height:640.45pt;z-index:-251658240;mso-position-horizontal:center;mso-position-horizontal-relative:margin;mso-position-vertical:center;mso-position-vertical-relative:margin" o:allowincell="f">
          <v:imagedata r:id="rId1" o:title="layout sem internacional a5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2983"/>
    <w:multiLevelType w:val="hybridMultilevel"/>
    <w:tmpl w:val="8C040E78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C441D"/>
    <w:multiLevelType w:val="hybridMultilevel"/>
    <w:tmpl w:val="A4A4C172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2220FFB"/>
    <w:multiLevelType w:val="hybridMultilevel"/>
    <w:tmpl w:val="55F06ACA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DB79FA"/>
    <w:multiLevelType w:val="hybridMultilevel"/>
    <w:tmpl w:val="B98A5C64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45713112"/>
    <w:multiLevelType w:val="hybridMultilevel"/>
    <w:tmpl w:val="6C403F70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25682"/>
    <w:multiLevelType w:val="hybridMultilevel"/>
    <w:tmpl w:val="7654E9A6"/>
    <w:lvl w:ilvl="0" w:tplc="0DFE0A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A41C37"/>
    <w:multiLevelType w:val="hybridMultilevel"/>
    <w:tmpl w:val="5F20D60E"/>
    <w:lvl w:ilvl="0" w:tplc="0DFE0A4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950092652">
    <w:abstractNumId w:val="3"/>
  </w:num>
  <w:num w:numId="2" w16cid:durableId="1066029037">
    <w:abstractNumId w:val="6"/>
  </w:num>
  <w:num w:numId="3" w16cid:durableId="1085955489">
    <w:abstractNumId w:val="4"/>
  </w:num>
  <w:num w:numId="4" w16cid:durableId="425228222">
    <w:abstractNumId w:val="0"/>
  </w:num>
  <w:num w:numId="5" w16cid:durableId="1219895703">
    <w:abstractNumId w:val="5"/>
  </w:num>
  <w:num w:numId="6" w16cid:durableId="881675366">
    <w:abstractNumId w:val="1"/>
  </w:num>
  <w:num w:numId="7" w16cid:durableId="13100185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6BCD"/>
    <w:rsid w:val="000045B3"/>
    <w:rsid w:val="00017230"/>
    <w:rsid w:val="00021101"/>
    <w:rsid w:val="000251AB"/>
    <w:rsid w:val="00026BCD"/>
    <w:rsid w:val="0004284F"/>
    <w:rsid w:val="00042954"/>
    <w:rsid w:val="00055BA2"/>
    <w:rsid w:val="00057443"/>
    <w:rsid w:val="000603DF"/>
    <w:rsid w:val="00083ECD"/>
    <w:rsid w:val="0008414C"/>
    <w:rsid w:val="00091F4C"/>
    <w:rsid w:val="000B3107"/>
    <w:rsid w:val="000B3767"/>
    <w:rsid w:val="000D4380"/>
    <w:rsid w:val="001001FA"/>
    <w:rsid w:val="00116C61"/>
    <w:rsid w:val="00126DD2"/>
    <w:rsid w:val="00133DE8"/>
    <w:rsid w:val="00143DA4"/>
    <w:rsid w:val="0015196A"/>
    <w:rsid w:val="00154AF7"/>
    <w:rsid w:val="00163493"/>
    <w:rsid w:val="00172360"/>
    <w:rsid w:val="00194448"/>
    <w:rsid w:val="001A1913"/>
    <w:rsid w:val="001A3BDA"/>
    <w:rsid w:val="001B0B31"/>
    <w:rsid w:val="001D23A0"/>
    <w:rsid w:val="001E54C1"/>
    <w:rsid w:val="001E75F3"/>
    <w:rsid w:val="001F6136"/>
    <w:rsid w:val="00201B3C"/>
    <w:rsid w:val="00217CF3"/>
    <w:rsid w:val="002506BE"/>
    <w:rsid w:val="00250E5E"/>
    <w:rsid w:val="00251815"/>
    <w:rsid w:val="002913DC"/>
    <w:rsid w:val="0029403C"/>
    <w:rsid w:val="00297730"/>
    <w:rsid w:val="002A6224"/>
    <w:rsid w:val="002D4387"/>
    <w:rsid w:val="002E5744"/>
    <w:rsid w:val="0030144E"/>
    <w:rsid w:val="0030158D"/>
    <w:rsid w:val="003063C9"/>
    <w:rsid w:val="0038670C"/>
    <w:rsid w:val="00390C0D"/>
    <w:rsid w:val="00391E0A"/>
    <w:rsid w:val="00391F87"/>
    <w:rsid w:val="003A16B9"/>
    <w:rsid w:val="003A53FB"/>
    <w:rsid w:val="003B2FAA"/>
    <w:rsid w:val="003B5B9D"/>
    <w:rsid w:val="003B6045"/>
    <w:rsid w:val="003D08B6"/>
    <w:rsid w:val="003E226D"/>
    <w:rsid w:val="003E279A"/>
    <w:rsid w:val="003F656B"/>
    <w:rsid w:val="00403677"/>
    <w:rsid w:val="00435A4C"/>
    <w:rsid w:val="004371A8"/>
    <w:rsid w:val="00442C14"/>
    <w:rsid w:val="00454912"/>
    <w:rsid w:val="00483A93"/>
    <w:rsid w:val="00485239"/>
    <w:rsid w:val="00485697"/>
    <w:rsid w:val="004B0EE5"/>
    <w:rsid w:val="004C0FF1"/>
    <w:rsid w:val="004C10A5"/>
    <w:rsid w:val="004C446D"/>
    <w:rsid w:val="004D022B"/>
    <w:rsid w:val="00501902"/>
    <w:rsid w:val="00522804"/>
    <w:rsid w:val="00526D12"/>
    <w:rsid w:val="00531E8C"/>
    <w:rsid w:val="0057474E"/>
    <w:rsid w:val="00576DF9"/>
    <w:rsid w:val="00597F8A"/>
    <w:rsid w:val="005A2B0A"/>
    <w:rsid w:val="005C5724"/>
    <w:rsid w:val="005C58D8"/>
    <w:rsid w:val="005D3A9E"/>
    <w:rsid w:val="0060173B"/>
    <w:rsid w:val="006017C1"/>
    <w:rsid w:val="006032B4"/>
    <w:rsid w:val="006306D9"/>
    <w:rsid w:val="00646D7A"/>
    <w:rsid w:val="0068327B"/>
    <w:rsid w:val="00695D93"/>
    <w:rsid w:val="006C2E27"/>
    <w:rsid w:val="006D2F5D"/>
    <w:rsid w:val="006D3142"/>
    <w:rsid w:val="006D3ABF"/>
    <w:rsid w:val="006E7866"/>
    <w:rsid w:val="007016EA"/>
    <w:rsid w:val="00704890"/>
    <w:rsid w:val="00707214"/>
    <w:rsid w:val="00717678"/>
    <w:rsid w:val="00760B15"/>
    <w:rsid w:val="0076389E"/>
    <w:rsid w:val="00777399"/>
    <w:rsid w:val="00777958"/>
    <w:rsid w:val="007A1F67"/>
    <w:rsid w:val="007B3083"/>
    <w:rsid w:val="007B7881"/>
    <w:rsid w:val="007C257B"/>
    <w:rsid w:val="007D0EAE"/>
    <w:rsid w:val="007E2E87"/>
    <w:rsid w:val="007E33B8"/>
    <w:rsid w:val="007F3400"/>
    <w:rsid w:val="00812F49"/>
    <w:rsid w:val="00816D36"/>
    <w:rsid w:val="00823FCA"/>
    <w:rsid w:val="00826AAD"/>
    <w:rsid w:val="00836A3A"/>
    <w:rsid w:val="008562B7"/>
    <w:rsid w:val="00865FF8"/>
    <w:rsid w:val="0087040B"/>
    <w:rsid w:val="00892CA9"/>
    <w:rsid w:val="008967EE"/>
    <w:rsid w:val="008B711F"/>
    <w:rsid w:val="008C02E5"/>
    <w:rsid w:val="008C6DFB"/>
    <w:rsid w:val="008F32E8"/>
    <w:rsid w:val="008F3891"/>
    <w:rsid w:val="0090786F"/>
    <w:rsid w:val="00915550"/>
    <w:rsid w:val="009173EC"/>
    <w:rsid w:val="00965B62"/>
    <w:rsid w:val="009676AF"/>
    <w:rsid w:val="00971680"/>
    <w:rsid w:val="0098531D"/>
    <w:rsid w:val="009A0059"/>
    <w:rsid w:val="009A33DE"/>
    <w:rsid w:val="009B4393"/>
    <w:rsid w:val="009E3B90"/>
    <w:rsid w:val="009E6C0F"/>
    <w:rsid w:val="009F755A"/>
    <w:rsid w:val="00A161E5"/>
    <w:rsid w:val="00A223FB"/>
    <w:rsid w:val="00A27006"/>
    <w:rsid w:val="00A35ED3"/>
    <w:rsid w:val="00A47061"/>
    <w:rsid w:val="00AB2173"/>
    <w:rsid w:val="00AB47AE"/>
    <w:rsid w:val="00AD5392"/>
    <w:rsid w:val="00AD658C"/>
    <w:rsid w:val="00AF346D"/>
    <w:rsid w:val="00AF4418"/>
    <w:rsid w:val="00B2706C"/>
    <w:rsid w:val="00B31EAA"/>
    <w:rsid w:val="00B35ECD"/>
    <w:rsid w:val="00B47A4E"/>
    <w:rsid w:val="00B61B60"/>
    <w:rsid w:val="00B6500C"/>
    <w:rsid w:val="00B663F7"/>
    <w:rsid w:val="00B7745C"/>
    <w:rsid w:val="00B801C6"/>
    <w:rsid w:val="00BA460D"/>
    <w:rsid w:val="00BA68B0"/>
    <w:rsid w:val="00BB3206"/>
    <w:rsid w:val="00BB34FF"/>
    <w:rsid w:val="00BD004B"/>
    <w:rsid w:val="00BD042D"/>
    <w:rsid w:val="00BD0F6C"/>
    <w:rsid w:val="00BD278E"/>
    <w:rsid w:val="00BD722D"/>
    <w:rsid w:val="00BE76DE"/>
    <w:rsid w:val="00BF09E3"/>
    <w:rsid w:val="00C8769A"/>
    <w:rsid w:val="00CA612A"/>
    <w:rsid w:val="00CC3A42"/>
    <w:rsid w:val="00CD2AF8"/>
    <w:rsid w:val="00CD581C"/>
    <w:rsid w:val="00CD7E56"/>
    <w:rsid w:val="00CF427F"/>
    <w:rsid w:val="00D07AAE"/>
    <w:rsid w:val="00D16DAA"/>
    <w:rsid w:val="00D17DEF"/>
    <w:rsid w:val="00D4622B"/>
    <w:rsid w:val="00D575D6"/>
    <w:rsid w:val="00D77336"/>
    <w:rsid w:val="00D86381"/>
    <w:rsid w:val="00D97213"/>
    <w:rsid w:val="00DA1797"/>
    <w:rsid w:val="00DC0714"/>
    <w:rsid w:val="00DE30BE"/>
    <w:rsid w:val="00DF040B"/>
    <w:rsid w:val="00E044EA"/>
    <w:rsid w:val="00E05F28"/>
    <w:rsid w:val="00E31A9B"/>
    <w:rsid w:val="00E406F6"/>
    <w:rsid w:val="00E57BDA"/>
    <w:rsid w:val="00E65BC9"/>
    <w:rsid w:val="00E73320"/>
    <w:rsid w:val="00E91D9C"/>
    <w:rsid w:val="00EC1F91"/>
    <w:rsid w:val="00ED4385"/>
    <w:rsid w:val="00ED7BE5"/>
    <w:rsid w:val="00EE2639"/>
    <w:rsid w:val="00F27CE0"/>
    <w:rsid w:val="00F32F47"/>
    <w:rsid w:val="00F46CF2"/>
    <w:rsid w:val="00F647DC"/>
    <w:rsid w:val="00F72FD3"/>
    <w:rsid w:val="00F97363"/>
    <w:rsid w:val="00F97C22"/>
    <w:rsid w:val="00FB0F84"/>
    <w:rsid w:val="00FB7715"/>
    <w:rsid w:val="00FC02FB"/>
    <w:rsid w:val="00FC4166"/>
    <w:rsid w:val="00FC6AF0"/>
    <w:rsid w:val="00FE005E"/>
    <w:rsid w:val="00FE40BB"/>
    <w:rsid w:val="00FE5684"/>
    <w:rsid w:val="046AE1D2"/>
    <w:rsid w:val="0491D5EE"/>
    <w:rsid w:val="052D4632"/>
    <w:rsid w:val="05771221"/>
    <w:rsid w:val="06C87E91"/>
    <w:rsid w:val="093F2E7C"/>
    <w:rsid w:val="09D3FB3C"/>
    <w:rsid w:val="0AB93FBE"/>
    <w:rsid w:val="0C591BAA"/>
    <w:rsid w:val="0D3CDB10"/>
    <w:rsid w:val="110062EF"/>
    <w:rsid w:val="1427526F"/>
    <w:rsid w:val="15D7B4CA"/>
    <w:rsid w:val="1607E56E"/>
    <w:rsid w:val="16A45E90"/>
    <w:rsid w:val="1CBF7B29"/>
    <w:rsid w:val="21264BD2"/>
    <w:rsid w:val="25D3F982"/>
    <w:rsid w:val="261990A4"/>
    <w:rsid w:val="264D2331"/>
    <w:rsid w:val="26BB8FBD"/>
    <w:rsid w:val="26FB0C96"/>
    <w:rsid w:val="2773D619"/>
    <w:rsid w:val="297915AF"/>
    <w:rsid w:val="2A9E66E7"/>
    <w:rsid w:val="2BF74FE8"/>
    <w:rsid w:val="2E0D07CE"/>
    <w:rsid w:val="2E9A0800"/>
    <w:rsid w:val="31AFA9CC"/>
    <w:rsid w:val="33A20998"/>
    <w:rsid w:val="33D0ADCF"/>
    <w:rsid w:val="33E214D4"/>
    <w:rsid w:val="34CB68DF"/>
    <w:rsid w:val="35BB4FFD"/>
    <w:rsid w:val="37C81140"/>
    <w:rsid w:val="38F27E67"/>
    <w:rsid w:val="3A7DF960"/>
    <w:rsid w:val="3AD05595"/>
    <w:rsid w:val="3B4D5D7A"/>
    <w:rsid w:val="3D93053C"/>
    <w:rsid w:val="40AFFD9C"/>
    <w:rsid w:val="47DCB6F3"/>
    <w:rsid w:val="496E2DC1"/>
    <w:rsid w:val="517E9F2A"/>
    <w:rsid w:val="52EB1B39"/>
    <w:rsid w:val="546ED092"/>
    <w:rsid w:val="562510FC"/>
    <w:rsid w:val="576987BD"/>
    <w:rsid w:val="5A2C2FA2"/>
    <w:rsid w:val="5D68802F"/>
    <w:rsid w:val="5FE1FE44"/>
    <w:rsid w:val="64F49340"/>
    <w:rsid w:val="6A2124AF"/>
    <w:rsid w:val="6EB1BE39"/>
    <w:rsid w:val="6F640FE8"/>
    <w:rsid w:val="719D61BE"/>
    <w:rsid w:val="73758C00"/>
    <w:rsid w:val="73F1521B"/>
    <w:rsid w:val="76A30ED9"/>
    <w:rsid w:val="77BABFF4"/>
    <w:rsid w:val="77D603DC"/>
    <w:rsid w:val="78AE189E"/>
    <w:rsid w:val="7B48F230"/>
    <w:rsid w:val="7E56827D"/>
    <w:rsid w:val="7F741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0C5769"/>
  <w15:chartTrackingRefBased/>
  <w15:docId w15:val="{EF4FC73E-9E19-48D0-AE34-3C08ADBC1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59" w:lineRule="auto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4C446D"/>
    <w:pPr>
      <w:keepNext/>
      <w:keepLines/>
      <w:spacing w:line="360" w:lineRule="auto"/>
      <w:ind w:firstLine="0"/>
      <w:outlineLvl w:val="0"/>
    </w:pPr>
    <w:rPr>
      <w:rFonts w:ascii="Arial" w:eastAsiaTheme="majorEastAsia" w:hAnsi="Arial" w:cstheme="majorBidi"/>
      <w:b/>
      <w:sz w:val="24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26BC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026BC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26BC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26BC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026BC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026BC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026BC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026BC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C446D"/>
    <w:rPr>
      <w:rFonts w:ascii="Arial" w:eastAsiaTheme="majorEastAsia" w:hAnsi="Arial" w:cstheme="majorBidi"/>
      <w:b/>
      <w:sz w:val="24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26BC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026BC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26BC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26BCD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26BCD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26BCD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26BCD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26BC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4C446D"/>
    <w:pPr>
      <w:spacing w:line="360" w:lineRule="auto"/>
      <w:ind w:firstLine="0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C446D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026BCD"/>
    <w:pPr>
      <w:numPr>
        <w:ilvl w:val="1"/>
      </w:numPr>
      <w:spacing w:after="160"/>
      <w:ind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026BC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026BC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26BCD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026BCD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026BCD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026BC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26BCD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026BCD"/>
    <w:rPr>
      <w:b/>
      <w:bCs/>
      <w:smallCaps/>
      <w:color w:val="0F4761" w:themeColor="accent1" w:themeShade="BF"/>
      <w:spacing w:val="5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26BCD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026BCD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26BCD"/>
    <w:pPr>
      <w:spacing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26BC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26BCD"/>
    <w:rPr>
      <w:vertAlign w:val="superscript"/>
    </w:rPr>
  </w:style>
  <w:style w:type="paragraph" w:customStyle="1" w:styleId="Notaderodap">
    <w:name w:val="Nota de rodapé"/>
    <w:basedOn w:val="Textodenotaderodap"/>
    <w:qFormat/>
    <w:rsid w:val="004C446D"/>
    <w:pPr>
      <w:ind w:firstLine="0"/>
    </w:pPr>
    <w:rPr>
      <w:rFonts w:ascii="Arial" w:hAnsi="Arial"/>
      <w:sz w:val="22"/>
    </w:rPr>
  </w:style>
  <w:style w:type="paragraph" w:customStyle="1" w:styleId="Texto">
    <w:name w:val="Texto"/>
    <w:basedOn w:val="Normal"/>
    <w:qFormat/>
    <w:rsid w:val="004C446D"/>
    <w:pPr>
      <w:tabs>
        <w:tab w:val="center" w:pos="4819"/>
      </w:tabs>
      <w:spacing w:line="360" w:lineRule="auto"/>
      <w:ind w:firstLine="709"/>
    </w:pPr>
    <w:rPr>
      <w:rFonts w:ascii="Arial" w:hAnsi="Arial" w:cs="Arial"/>
      <w:sz w:val="24"/>
      <w:szCs w:val="24"/>
    </w:rPr>
  </w:style>
  <w:style w:type="paragraph" w:customStyle="1" w:styleId="Resumo">
    <w:name w:val="Resumo"/>
    <w:basedOn w:val="Normal"/>
    <w:qFormat/>
    <w:rsid w:val="004C446D"/>
    <w:pPr>
      <w:spacing w:line="240" w:lineRule="auto"/>
      <w:ind w:firstLine="0"/>
    </w:pPr>
    <w:rPr>
      <w:rFonts w:ascii="Arial" w:hAnsi="Arial" w:cs="Arial"/>
      <w:sz w:val="24"/>
      <w:szCs w:val="24"/>
    </w:rPr>
  </w:style>
  <w:style w:type="paragraph" w:customStyle="1" w:styleId="TtulosNoNumerados">
    <w:name w:val="Títulos Não Numerados"/>
    <w:basedOn w:val="Normal"/>
    <w:qFormat/>
    <w:rsid w:val="004C446D"/>
    <w:pPr>
      <w:spacing w:line="360" w:lineRule="auto"/>
      <w:ind w:firstLine="0"/>
      <w:jc w:val="left"/>
    </w:pPr>
    <w:rPr>
      <w:rFonts w:ascii="Arial" w:hAnsi="Arial" w:cs="Arial"/>
      <w:b/>
      <w:bCs/>
      <w:sz w:val="24"/>
      <w:szCs w:val="24"/>
    </w:rPr>
  </w:style>
  <w:style w:type="paragraph" w:customStyle="1" w:styleId="Autoria">
    <w:name w:val="Autoria"/>
    <w:basedOn w:val="Normal"/>
    <w:qFormat/>
    <w:rsid w:val="004C446D"/>
    <w:pPr>
      <w:spacing w:line="240" w:lineRule="auto"/>
      <w:ind w:firstLine="0"/>
      <w:jc w:val="right"/>
    </w:pPr>
    <w:rPr>
      <w:rFonts w:ascii="Arial" w:hAnsi="Arial" w:cs="Arial"/>
      <w:szCs w:val="24"/>
    </w:rPr>
  </w:style>
  <w:style w:type="paragraph" w:customStyle="1" w:styleId="Referncias">
    <w:name w:val="Referências"/>
    <w:basedOn w:val="Texto"/>
    <w:qFormat/>
    <w:rsid w:val="00442C14"/>
    <w:pPr>
      <w:spacing w:line="240" w:lineRule="auto"/>
      <w:ind w:firstLine="0"/>
      <w:jc w:val="left"/>
    </w:pPr>
  </w:style>
  <w:style w:type="character" w:styleId="Hyperlink">
    <w:name w:val="Hyperlink"/>
    <w:basedOn w:val="Fontepargpadro"/>
    <w:uiPriority w:val="99"/>
    <w:unhideWhenUsed/>
    <w:rsid w:val="00AD5392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D5392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406F6"/>
  </w:style>
  <w:style w:type="paragraph" w:styleId="Rodap">
    <w:name w:val="footer"/>
    <w:basedOn w:val="Normal"/>
    <w:link w:val="RodapChar"/>
    <w:uiPriority w:val="99"/>
    <w:unhideWhenUsed/>
    <w:rsid w:val="00E406F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406F6"/>
  </w:style>
  <w:style w:type="table" w:styleId="Tabelacomgrade">
    <w:name w:val="Table Grid"/>
    <w:basedOn w:val="Tabela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ABF45F-300E-4023-AD28-C64B86426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1733</Words>
  <Characters>9362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Ayanna Peters Barros</dc:creator>
  <cp:keywords/>
  <dc:description/>
  <cp:lastModifiedBy>Johanna Budag Carvalho</cp:lastModifiedBy>
  <cp:revision>2</cp:revision>
  <dcterms:created xsi:type="dcterms:W3CDTF">2025-11-02T00:29:00Z</dcterms:created>
  <dcterms:modified xsi:type="dcterms:W3CDTF">2025-11-02T00:29:00Z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f9c0dd6-8c65-43d6-9995-fff3709d7310_Enabled">
    <vt:lpwstr>true</vt:lpwstr>
  </property>
  <property fmtid="{D5CDD505-2E9C-101B-9397-08002B2CF9AE}" pid="3" name="MSIP_Label_9f9c0dd6-8c65-43d6-9995-fff3709d7310_SetDate">
    <vt:lpwstr>2025-08-19T19:29:39Z</vt:lpwstr>
  </property>
  <property fmtid="{D5CDD505-2E9C-101B-9397-08002B2CF9AE}" pid="4" name="MSIP_Label_9f9c0dd6-8c65-43d6-9995-fff3709d7310_Method">
    <vt:lpwstr>Standard</vt:lpwstr>
  </property>
  <property fmtid="{D5CDD505-2E9C-101B-9397-08002B2CF9AE}" pid="5" name="MSIP_Label_9f9c0dd6-8c65-43d6-9995-fff3709d7310_Name">
    <vt:lpwstr>defa4170-0d19-0005-0000-bc88714345d2</vt:lpwstr>
  </property>
  <property fmtid="{D5CDD505-2E9C-101B-9397-08002B2CF9AE}" pid="6" name="MSIP_Label_9f9c0dd6-8c65-43d6-9995-fff3709d7310_SiteId">
    <vt:lpwstr>0c2d222a-ecda-4b70-960a-acef6ced3052</vt:lpwstr>
  </property>
  <property fmtid="{D5CDD505-2E9C-101B-9397-08002B2CF9AE}" pid="7" name="MSIP_Label_9f9c0dd6-8c65-43d6-9995-fff3709d7310_ActionId">
    <vt:lpwstr>fc2fd069-19e2-4f8f-a8fe-daf1a673d360</vt:lpwstr>
  </property>
  <property fmtid="{D5CDD505-2E9C-101B-9397-08002B2CF9AE}" pid="8" name="MSIP_Label_9f9c0dd6-8c65-43d6-9995-fff3709d7310_ContentBits">
    <vt:lpwstr>0</vt:lpwstr>
  </property>
  <property fmtid="{D5CDD505-2E9C-101B-9397-08002B2CF9AE}" pid="9" name="MSIP_Label_9f9c0dd6-8c65-43d6-9995-fff3709d7310_Tag">
    <vt:lpwstr>10, 3, 0, 2</vt:lpwstr>
  </property>
</Properties>
</file>