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D1" w:rsidRPr="009B318C" w:rsidRDefault="004F35C4" w:rsidP="001C3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C3DD1" w:rsidRPr="009B318C">
        <w:rPr>
          <w:rFonts w:ascii="Times New Roman" w:hAnsi="Times New Roman" w:cs="Times New Roman"/>
          <w:b/>
          <w:sz w:val="24"/>
          <w:szCs w:val="24"/>
        </w:rPr>
        <w:t>BLOCO DE CONSTITUCIONALIDADE COMO FATOR ESTRATÉGICO FRE</w:t>
      </w:r>
      <w:r w:rsidR="00A55FE8">
        <w:rPr>
          <w:rFonts w:ascii="Times New Roman" w:hAnsi="Times New Roman" w:cs="Times New Roman"/>
          <w:b/>
          <w:sz w:val="24"/>
          <w:szCs w:val="24"/>
        </w:rPr>
        <w:t>N</w:t>
      </w:r>
      <w:r w:rsidR="001C3DD1" w:rsidRPr="009B318C">
        <w:rPr>
          <w:rFonts w:ascii="Times New Roman" w:hAnsi="Times New Roman" w:cs="Times New Roman"/>
          <w:b/>
          <w:sz w:val="24"/>
          <w:szCs w:val="24"/>
        </w:rPr>
        <w:t>TE AO EFEITO BACKLASH</w:t>
      </w:r>
    </w:p>
    <w:p w:rsidR="0042529B" w:rsidRDefault="0042529B" w:rsidP="007C47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C4729" w:rsidRDefault="007C4729" w:rsidP="007C47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Adriano Athayde Coutinho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729" w:rsidRDefault="007C4729" w:rsidP="007C47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Laércio Jorge de Souza Ramos Júnior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7C4729" w:rsidRPr="009B318C" w:rsidRDefault="007C4729" w:rsidP="007C4729">
      <w:pPr>
        <w:rPr>
          <w:rFonts w:ascii="Times New Roman" w:hAnsi="Times New Roman" w:cs="Times New Roman"/>
          <w:b/>
          <w:sz w:val="24"/>
          <w:szCs w:val="24"/>
        </w:rPr>
      </w:pPr>
    </w:p>
    <w:p w:rsidR="00B307B0" w:rsidRDefault="001C3DD1" w:rsidP="001C3DD1">
      <w:pPr>
        <w:rPr>
          <w:rFonts w:ascii="Times New Roman" w:hAnsi="Times New Roman" w:cs="Times New Roman"/>
          <w:sz w:val="24"/>
          <w:szCs w:val="24"/>
        </w:rPr>
      </w:pPr>
      <w:r w:rsidRPr="009B318C">
        <w:rPr>
          <w:rFonts w:ascii="Times New Roman" w:hAnsi="Times New Roman" w:cs="Times New Roman"/>
          <w:sz w:val="24"/>
          <w:szCs w:val="24"/>
        </w:rPr>
        <w:t>O Supremo Tribunal Federal, na esteira do fenômeno da hiperjudicialização de questões éticas, sociais e políticas que tem ocorrido nos países do ocidente, tem se debruçado sobre demandas polêmicas que afetam sobremaneira o arranjo institucional republicano clássico. Nos últimos tempos, a Corte Constitucional Brasileira foi provocada a tratar do casamento entre pessoas do mesmo sexo, criminalização da homotransfobia, mudança de nome de transexuais, descriminalização do aborto, da possibilidade de pesquisas com células-tronco, eutanásia, constitucionalidade de ações afirmativas no sistema de ensino, proteção dos animais, dentre outros assuntos (MARMELSTEIN, 2015).</w:t>
      </w:r>
      <w:r w:rsidR="007C4729">
        <w:rPr>
          <w:rFonts w:ascii="Times New Roman" w:hAnsi="Times New Roman" w:cs="Times New Roman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O Guardião da Constituiç</w:t>
      </w:r>
      <w:r w:rsidR="00505438">
        <w:rPr>
          <w:rFonts w:ascii="Times New Roman" w:hAnsi="Times New Roman" w:cs="Times New Roman"/>
          <w:sz w:val="24"/>
          <w:szCs w:val="24"/>
        </w:rPr>
        <w:t xml:space="preserve">ão tem assumido protagonismo </w:t>
      </w:r>
      <w:r w:rsidRPr="009B318C">
        <w:rPr>
          <w:rFonts w:ascii="Times New Roman" w:hAnsi="Times New Roman" w:cs="Times New Roman"/>
          <w:sz w:val="24"/>
          <w:szCs w:val="24"/>
        </w:rPr>
        <w:t xml:space="preserve">na medida em que os demais Poderes Republicanos tem se esquivado de assumir responsabilidades em face de casos sensíveis e demandas latentes que emergem de uma sociedade cada vez mais plural e organizada. Ao se deparar com tais casos, que criam, inclusive, divergências entre a própria sociedade e setores políticos, a Suprema Corte assume sua feição contramajoritária, que pode ser tanto conservadora quanto progressista. Trata-se de um fenômeno que Ran Hirschl denominou de juristocracia (HIRSCHL, 2004). Nas palavras do Ministro </w:t>
      </w:r>
      <w:r w:rsidR="00505438"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Luís Roberto</w:t>
      </w:r>
      <w:r w:rsidR="00505438" w:rsidRPr="009B318C">
        <w:rPr>
          <w:rFonts w:ascii="Times New Roman" w:hAnsi="Times New Roman" w:cs="Times New Roman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Barroso “[...] a judicialização envolve uma transferência de poder para juízes e tribunais, com alterações significativas na linguagem, na argumentação e no modo de participação da sociedade” (2012</w:t>
      </w:r>
      <w:r w:rsidR="00505438">
        <w:rPr>
          <w:rFonts w:ascii="Times New Roman" w:hAnsi="Times New Roman" w:cs="Times New Roman"/>
          <w:sz w:val="24"/>
          <w:szCs w:val="24"/>
        </w:rPr>
        <w:t>, p</w:t>
      </w:r>
      <w:r w:rsidRPr="009B318C">
        <w:rPr>
          <w:rFonts w:ascii="Times New Roman" w:hAnsi="Times New Roman" w:cs="Times New Roman"/>
          <w:sz w:val="24"/>
          <w:szCs w:val="24"/>
        </w:rPr>
        <w:t>. 24). No entanto, esse processo provoca reações soci</w:t>
      </w:r>
      <w:r>
        <w:rPr>
          <w:rFonts w:ascii="Times New Roman" w:hAnsi="Times New Roman" w:cs="Times New Roman"/>
          <w:sz w:val="24"/>
          <w:szCs w:val="24"/>
        </w:rPr>
        <w:t xml:space="preserve">ais e políticas. Assim, surgem </w:t>
      </w:r>
      <w:r w:rsidRPr="009B318C">
        <w:rPr>
          <w:rFonts w:ascii="Times New Roman" w:hAnsi="Times New Roman" w:cs="Times New Roman"/>
          <w:sz w:val="24"/>
          <w:szCs w:val="24"/>
        </w:rPr>
        <w:t xml:space="preserve">grupos dotados de insatisfação, que se organizam e se mobilizam para alterar o entendimento adotado pelo Judiciário. Esse fenômeno é denominado de </w:t>
      </w:r>
      <w:r w:rsidR="00505438">
        <w:rPr>
          <w:rFonts w:ascii="Times New Roman" w:hAnsi="Times New Roman" w:cs="Times New Roman"/>
          <w:sz w:val="24"/>
          <w:szCs w:val="24"/>
        </w:rPr>
        <w:t>“</w:t>
      </w:r>
      <w:r w:rsidRPr="00505438">
        <w:rPr>
          <w:rFonts w:ascii="Times New Roman" w:hAnsi="Times New Roman" w:cs="Times New Roman"/>
          <w:sz w:val="24"/>
          <w:szCs w:val="24"/>
        </w:rPr>
        <w:t>backlash</w:t>
      </w:r>
      <w:r w:rsidR="00505438">
        <w:rPr>
          <w:rFonts w:ascii="Times New Roman" w:hAnsi="Times New Roman" w:cs="Times New Roman"/>
          <w:sz w:val="24"/>
          <w:szCs w:val="24"/>
        </w:rPr>
        <w:t>”</w:t>
      </w:r>
      <w:r w:rsidRPr="009B318C">
        <w:rPr>
          <w:rFonts w:ascii="Times New Roman" w:hAnsi="Times New Roman" w:cs="Times New Roman"/>
          <w:sz w:val="24"/>
          <w:szCs w:val="24"/>
        </w:rPr>
        <w:t xml:space="preserve">, expressão que surgiu nos Estados Unidos no Século XX e que se refere, por exemplo, a pane mecânica de rodas de um veículo ou incidente no molinete de uma vara de pescar que provoca efeito contrário ao desejado por quem promove a ação. Trata-se de uma metáfora para explicar que o efeito backlash seria uma reação da sociedade às decisões </w:t>
      </w:r>
      <w:r w:rsidRPr="009B318C">
        <w:rPr>
          <w:rFonts w:ascii="Times New Roman" w:hAnsi="Times New Roman" w:cs="Times New Roman"/>
          <w:sz w:val="24"/>
          <w:szCs w:val="24"/>
        </w:rPr>
        <w:lastRenderedPageBreak/>
        <w:t xml:space="preserve">tomadas </w:t>
      </w:r>
      <w:r>
        <w:rPr>
          <w:rFonts w:ascii="Times New Roman" w:hAnsi="Times New Roman" w:cs="Times New Roman"/>
          <w:sz w:val="24"/>
          <w:szCs w:val="24"/>
        </w:rPr>
        <w:t xml:space="preserve">pela Corte Estadunidense </w:t>
      </w:r>
      <w:r w:rsidRPr="009B318C">
        <w:rPr>
          <w:rFonts w:ascii="Times New Roman" w:hAnsi="Times New Roman" w:cs="Times New Roman"/>
          <w:sz w:val="24"/>
          <w:szCs w:val="24"/>
        </w:rPr>
        <w:t xml:space="preserve">no âmbito de assuntos sensíveis e ainda não bem aceitos pela população e pelos setores políticos que, marcados por ideologias conservadoras, resistem a alterações do status quo por meio de decisões judiciais progressistas (FONTELES, </w:t>
      </w:r>
      <w:r w:rsidR="00505438">
        <w:rPr>
          <w:rFonts w:ascii="Times New Roman" w:hAnsi="Times New Roman" w:cs="Times New Roman"/>
          <w:sz w:val="24"/>
          <w:szCs w:val="24"/>
        </w:rPr>
        <w:t>2019, p.</w:t>
      </w:r>
      <w:r w:rsidRPr="009B318C">
        <w:rPr>
          <w:rFonts w:ascii="Times New Roman" w:hAnsi="Times New Roman" w:cs="Times New Roman"/>
          <w:sz w:val="24"/>
          <w:szCs w:val="24"/>
        </w:rPr>
        <w:t xml:space="preserve"> 27). Valle (2013, p. 05), traduz esse fenômeno nos moldes da terceira Lei de Newton, no sentido de que toda ação corresponde a uma igual reação em sentido contrário</w:t>
      </w:r>
      <w:r w:rsidR="007C4729">
        <w:rPr>
          <w:rFonts w:ascii="Times New Roman" w:hAnsi="Times New Roman" w:cs="Times New Roman"/>
          <w:sz w:val="24"/>
          <w:szCs w:val="24"/>
        </w:rPr>
        <w:t xml:space="preserve">. </w:t>
      </w:r>
      <w:r w:rsidR="00AF2583">
        <w:rPr>
          <w:rFonts w:ascii="Times New Roman" w:hAnsi="Times New Roman" w:cs="Times New Roman"/>
          <w:sz w:val="24"/>
          <w:szCs w:val="24"/>
        </w:rPr>
        <w:t>No</w:t>
      </w:r>
      <w:r w:rsidR="007B3BAC">
        <w:rPr>
          <w:rFonts w:ascii="Times New Roman" w:hAnsi="Times New Roman" w:cs="Times New Roman"/>
          <w:sz w:val="24"/>
          <w:szCs w:val="24"/>
        </w:rPr>
        <w:t xml:space="preserve"> Brasil o </w:t>
      </w:r>
      <w:r w:rsidRPr="009B318C">
        <w:rPr>
          <w:rFonts w:ascii="Times New Roman" w:hAnsi="Times New Roman" w:cs="Times New Roman"/>
          <w:sz w:val="24"/>
          <w:szCs w:val="24"/>
        </w:rPr>
        <w:t xml:space="preserve">efeito backlash </w:t>
      </w:r>
      <w:r w:rsidR="007B3BAC">
        <w:rPr>
          <w:rFonts w:ascii="Times New Roman" w:hAnsi="Times New Roman" w:cs="Times New Roman"/>
          <w:sz w:val="24"/>
          <w:szCs w:val="24"/>
        </w:rPr>
        <w:t xml:space="preserve">tem se manifestado por meio da </w:t>
      </w:r>
      <w:r w:rsidRPr="009B318C">
        <w:rPr>
          <w:rFonts w:ascii="Times New Roman" w:hAnsi="Times New Roman" w:cs="Times New Roman"/>
          <w:sz w:val="24"/>
          <w:szCs w:val="24"/>
        </w:rPr>
        <w:t xml:space="preserve">mobilização de grupos políticos e sociais organizados de matriz conservadora que, tem reagido pela via política legislativa, a posicionamentos judiciais frutos de casos polêmicas enfrentado pelo Supremo Tribunal Federal. Considerando esse cenário negativo que emerge em contrapartida às teses progressitas pró-direitos fundamentais na via judicial, e que acarreta, a médio e longo prazo, retrocessos de direitos, o presente estudo busca analisar o fortalecimento do Bloco de Constitucionalidade como forma combater o efeito backlasch, e como alternativa a legitimação da Corte Constitucional como </w:t>
      </w:r>
      <w:r w:rsidRPr="009B318C">
        <w:rPr>
          <w:rFonts w:ascii="Times New Roman" w:hAnsi="Times New Roman" w:cs="Times New Roman"/>
          <w:i/>
          <w:sz w:val="24"/>
          <w:szCs w:val="24"/>
        </w:rPr>
        <w:t>locus</w:t>
      </w:r>
      <w:r w:rsidRPr="009B318C">
        <w:rPr>
          <w:rFonts w:ascii="Times New Roman" w:hAnsi="Times New Roman" w:cs="Times New Roman"/>
          <w:sz w:val="24"/>
          <w:szCs w:val="24"/>
        </w:rPr>
        <w:t xml:space="preserve"> eficiente para implementação de direitos. </w:t>
      </w:r>
      <w:r w:rsidR="007B3BAC">
        <w:rPr>
          <w:rFonts w:ascii="Times New Roman" w:hAnsi="Times New Roman" w:cs="Times New Roman"/>
          <w:sz w:val="24"/>
          <w:szCs w:val="24"/>
        </w:rPr>
        <w:t>Para atingir o objetivo</w:t>
      </w:r>
      <w:r w:rsidRPr="009B318C">
        <w:rPr>
          <w:rFonts w:ascii="Times New Roman" w:hAnsi="Times New Roman" w:cs="Times New Roman"/>
          <w:sz w:val="24"/>
          <w:szCs w:val="24"/>
        </w:rPr>
        <w:t xml:space="preserve"> busca-se: compreender o conceito do efeito backlash; tratar do bloco de constitucionalidade brasileiro; identificar a manifestação do efeito backlash no cenário brasileiro e </w:t>
      </w:r>
      <w:r>
        <w:rPr>
          <w:rFonts w:ascii="Times New Roman" w:hAnsi="Times New Roman" w:cs="Times New Roman"/>
          <w:sz w:val="24"/>
          <w:szCs w:val="24"/>
        </w:rPr>
        <w:t xml:space="preserve">analisá-lo </w:t>
      </w:r>
      <w:r w:rsidRPr="009B318C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>fator estratégico no l</w:t>
      </w:r>
      <w:r w:rsidRPr="009B318C">
        <w:rPr>
          <w:rFonts w:ascii="Times New Roman" w:hAnsi="Times New Roman" w:cs="Times New Roman"/>
          <w:sz w:val="24"/>
          <w:szCs w:val="24"/>
        </w:rPr>
        <w:t>itígio dos Direitos Fundamentais.</w:t>
      </w:r>
      <w:r w:rsidR="007C4729">
        <w:rPr>
          <w:rFonts w:ascii="Times New Roman" w:hAnsi="Times New Roman" w:cs="Times New Roman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Essa pesquisa foi realizada com base no método dedutivo. Para atingir os objetivos propostos, foi feito um estudo</w:t>
      </w:r>
      <w:r>
        <w:rPr>
          <w:rFonts w:ascii="Times New Roman" w:hAnsi="Times New Roman" w:cs="Times New Roman"/>
          <w:sz w:val="24"/>
          <w:szCs w:val="24"/>
        </w:rPr>
        <w:t xml:space="preserve"> mediante </w:t>
      </w:r>
      <w:r w:rsidRPr="009B318C">
        <w:rPr>
          <w:rFonts w:ascii="Times New Roman" w:hAnsi="Times New Roman" w:cs="Times New Roman"/>
          <w:sz w:val="24"/>
          <w:szCs w:val="24"/>
        </w:rPr>
        <w:t>técnica de revisão</w:t>
      </w:r>
      <w:r>
        <w:rPr>
          <w:rFonts w:ascii="Times New Roman" w:hAnsi="Times New Roman" w:cs="Times New Roman"/>
          <w:sz w:val="24"/>
          <w:szCs w:val="24"/>
        </w:rPr>
        <w:t xml:space="preserve"> bibliográfica</w:t>
      </w:r>
      <w:r w:rsidRPr="009B318C">
        <w:rPr>
          <w:rFonts w:ascii="Times New Roman" w:hAnsi="Times New Roman" w:cs="Times New Roman"/>
          <w:sz w:val="24"/>
          <w:szCs w:val="24"/>
        </w:rPr>
        <w:t>, com enfoque na doutrina, artigos científicos de direito constitucional e de direitos humanos, com suporte em decisões emanadas pelo STF e iniciativas legislativas pertinentes ao tema.</w:t>
      </w:r>
      <w:r w:rsidR="007C4729">
        <w:rPr>
          <w:rFonts w:ascii="Times New Roman" w:hAnsi="Times New Roman" w:cs="Times New Roman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 xml:space="preserve">George Marmelstein, ao analisar como o fenômeno blacklash tem afetado a jurisdição constitucional no Brasil, sistematizou a linha lógica que segue o processo em 07 (sete) fases. A primeira fase é marcada por uma decisão liberal proferida pelo Poder Judiciário em uma matéria </w:t>
      </w:r>
      <w:r>
        <w:rPr>
          <w:rFonts w:ascii="Times New Roman" w:hAnsi="Times New Roman" w:cs="Times New Roman"/>
          <w:sz w:val="24"/>
          <w:szCs w:val="24"/>
        </w:rPr>
        <w:t>divide a opinião pública, as demais fases</w:t>
      </w:r>
      <w:r w:rsidRPr="009B318C">
        <w:rPr>
          <w:rFonts w:ascii="Times New Roman" w:hAnsi="Times New Roman" w:cs="Times New Roman"/>
          <w:sz w:val="24"/>
          <w:szCs w:val="24"/>
        </w:rPr>
        <w:t xml:space="preserve"> remontam um processo de mobilização e organização social e política que culmina em aprovação de leis que retrocedem no campo dos direitos fundamentais e por uma nova composição dos órgãos de cúpula da Corte, que são indicados politicamente, o que gera mudança de entendimento dentro do próprio poder judicial. Por fim, na sétima fase, chega-se efetivamente a conclusão de que a decisão judicial que deveria melhorar a vida de minorias,</w:t>
      </w:r>
      <w:r>
        <w:rPr>
          <w:rFonts w:ascii="Times New Roman" w:hAnsi="Times New Roman" w:cs="Times New Roman"/>
          <w:sz w:val="24"/>
          <w:szCs w:val="24"/>
        </w:rPr>
        <w:t xml:space="preserve"> gera efeitos</w:t>
      </w:r>
      <w:r w:rsidRPr="009B318C">
        <w:rPr>
          <w:rFonts w:ascii="Times New Roman" w:hAnsi="Times New Roman" w:cs="Times New Roman"/>
          <w:sz w:val="24"/>
          <w:szCs w:val="24"/>
        </w:rPr>
        <w:t xml:space="preserve"> contrário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9B318C">
        <w:rPr>
          <w:rFonts w:ascii="Times New Roman" w:hAnsi="Times New Roman" w:cs="Times New Roman"/>
          <w:sz w:val="24"/>
          <w:szCs w:val="24"/>
        </w:rPr>
        <w:t>(MARMELSTEIN, 2015</w:t>
      </w:r>
      <w:r w:rsidR="007C4729">
        <w:rPr>
          <w:rFonts w:ascii="Times New Roman" w:hAnsi="Times New Roman" w:cs="Times New Roman"/>
          <w:sz w:val="24"/>
          <w:szCs w:val="24"/>
        </w:rPr>
        <w:t xml:space="preserve">, p. 6-7). </w:t>
      </w:r>
      <w:r w:rsidRPr="009B318C">
        <w:rPr>
          <w:rFonts w:ascii="Times New Roman" w:hAnsi="Times New Roman" w:cs="Times New Roman"/>
          <w:sz w:val="24"/>
          <w:szCs w:val="24"/>
        </w:rPr>
        <w:t>No Brasil, há 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318C">
        <w:rPr>
          <w:rFonts w:ascii="Times New Roman" w:hAnsi="Times New Roman" w:cs="Times New Roman"/>
          <w:sz w:val="24"/>
          <w:szCs w:val="24"/>
        </w:rPr>
        <w:t xml:space="preserve"> série de manifestações da Corte </w:t>
      </w:r>
      <w:r>
        <w:rPr>
          <w:rFonts w:ascii="Times New Roman" w:hAnsi="Times New Roman" w:cs="Times New Roman"/>
          <w:sz w:val="24"/>
          <w:szCs w:val="24"/>
        </w:rPr>
        <w:t xml:space="preserve">que provocaram o </w:t>
      </w:r>
      <w:r w:rsidRPr="009B318C">
        <w:rPr>
          <w:rFonts w:ascii="Times New Roman" w:hAnsi="Times New Roman" w:cs="Times New Roman"/>
          <w:sz w:val="24"/>
          <w:szCs w:val="24"/>
        </w:rPr>
        <w:t>efeito blacklash. Pode-se destacar: o reconhecimento jurídico das uniões homoafetivas pelo Supremo Tribunal Federal, que gerou repercussão e clamor de grupos políticos e sociais pela aprovação do chamado Estatuto da Família, com vistas à exclusão das relações h</w:t>
      </w:r>
      <w:r>
        <w:rPr>
          <w:rFonts w:ascii="Times New Roman" w:hAnsi="Times New Roman" w:cs="Times New Roman"/>
          <w:sz w:val="24"/>
          <w:szCs w:val="24"/>
        </w:rPr>
        <w:t>omoafe</w:t>
      </w:r>
      <w:r w:rsidRPr="009B318C">
        <w:rPr>
          <w:rFonts w:ascii="Times New Roman" w:hAnsi="Times New Roman" w:cs="Times New Roman"/>
          <w:sz w:val="24"/>
          <w:szCs w:val="24"/>
        </w:rPr>
        <w:t xml:space="preserve">tivas da proteção estatal; a decisão da Corte de não criminalizar a antecipação terapêutica do parto nos casos de feto anencéfalo e a </w:t>
      </w:r>
      <w:r w:rsidRPr="009B318C">
        <w:rPr>
          <w:rFonts w:ascii="Times New Roman" w:hAnsi="Times New Roman" w:cs="Times New Roman"/>
          <w:sz w:val="24"/>
          <w:szCs w:val="24"/>
        </w:rPr>
        <w:lastRenderedPageBreak/>
        <w:t xml:space="preserve">constitucionalidade da realização de pesquisas científicas com células-tronco embrionárias, que provocaram grupos insatisfeitos </w:t>
      </w:r>
      <w:r w:rsidR="007B3BAC">
        <w:rPr>
          <w:rFonts w:ascii="Times New Roman" w:hAnsi="Times New Roman" w:cs="Times New Roman"/>
          <w:sz w:val="24"/>
          <w:szCs w:val="24"/>
        </w:rPr>
        <w:t xml:space="preserve">que </w:t>
      </w:r>
      <w:r w:rsidRPr="009B318C">
        <w:rPr>
          <w:rFonts w:ascii="Times New Roman" w:hAnsi="Times New Roman" w:cs="Times New Roman"/>
          <w:sz w:val="24"/>
          <w:szCs w:val="24"/>
        </w:rPr>
        <w:t>demandaram projetos de lei para vedação absoluta do aborto e as pesquisas com células-tronco; a decisão de inconstitucionalidade de uma lei estadual que regulamentava a vaquejada (STF, ADI 4983/CE, 2016), que teve como efeito blacklash a aprovação de uma lei federal que tornou a vaquejada "à condição de manifestações da cultura nacional e de patrimônio cultural imaterial" (Lei 13.364/2016).</w:t>
      </w:r>
      <w:r w:rsidR="007C4729">
        <w:rPr>
          <w:rFonts w:ascii="Times New Roman" w:hAnsi="Times New Roman" w:cs="Times New Roman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Nesse cená</w:t>
      </w:r>
      <w:r>
        <w:rPr>
          <w:rFonts w:ascii="Times New Roman" w:hAnsi="Times New Roman" w:cs="Times New Roman"/>
          <w:sz w:val="24"/>
          <w:szCs w:val="24"/>
        </w:rPr>
        <w:t>rio de incerteza ocasionado pelo</w:t>
      </w:r>
      <w:r w:rsidRPr="009B318C">
        <w:rPr>
          <w:rFonts w:ascii="Times New Roman" w:hAnsi="Times New Roman" w:cs="Times New Roman"/>
          <w:sz w:val="24"/>
          <w:szCs w:val="24"/>
        </w:rPr>
        <w:t xml:space="preserve"> efeito blacklash, uma alternativa estratégica encontra amparo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42529B">
        <w:rPr>
          <w:rFonts w:ascii="Times New Roman" w:hAnsi="Times New Roman" w:cs="Times New Roman"/>
          <w:sz w:val="24"/>
          <w:szCs w:val="24"/>
        </w:rPr>
        <w:t>Bloco de C</w:t>
      </w:r>
      <w:r w:rsidRPr="009B318C">
        <w:rPr>
          <w:rFonts w:ascii="Times New Roman" w:hAnsi="Times New Roman" w:cs="Times New Roman"/>
          <w:sz w:val="24"/>
          <w:szCs w:val="24"/>
        </w:rPr>
        <w:t>onstitucionalidade. Isso ocorre porque uma cultura pautada no bloco de consti</w:t>
      </w:r>
      <w:r w:rsidR="0042529B">
        <w:rPr>
          <w:rFonts w:ascii="Times New Roman" w:hAnsi="Times New Roman" w:cs="Times New Roman"/>
          <w:sz w:val="24"/>
          <w:szCs w:val="24"/>
        </w:rPr>
        <w:t>tucionalidade</w:t>
      </w:r>
      <w:r w:rsidRPr="009B318C">
        <w:rPr>
          <w:rFonts w:ascii="Times New Roman" w:hAnsi="Times New Roman" w:cs="Times New Roman"/>
          <w:sz w:val="24"/>
          <w:szCs w:val="24"/>
        </w:rPr>
        <w:t xml:space="preserve"> impõe</w:t>
      </w:r>
      <w:r w:rsidR="004252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 xml:space="preserve">tanto </w:t>
      </w:r>
      <w:r>
        <w:rPr>
          <w:rFonts w:ascii="Times New Roman" w:hAnsi="Times New Roman" w:cs="Times New Roman"/>
          <w:sz w:val="24"/>
          <w:szCs w:val="24"/>
        </w:rPr>
        <w:t>ao julgador</w:t>
      </w:r>
      <w:r w:rsidRPr="009B318C">
        <w:rPr>
          <w:rFonts w:ascii="Times New Roman" w:hAnsi="Times New Roman" w:cs="Times New Roman"/>
          <w:sz w:val="24"/>
          <w:szCs w:val="24"/>
        </w:rPr>
        <w:t xml:space="preserve"> quanto ao Legislador, a observância da constituição alargada, que inclui os direitos fundamentais presentes em normas</w:t>
      </w:r>
      <w:r>
        <w:rPr>
          <w:rFonts w:ascii="Times New Roman" w:hAnsi="Times New Roman" w:cs="Times New Roman"/>
          <w:sz w:val="24"/>
          <w:szCs w:val="24"/>
        </w:rPr>
        <w:t xml:space="preserve"> e standares</w:t>
      </w:r>
      <w:r w:rsidRPr="009B318C">
        <w:rPr>
          <w:rFonts w:ascii="Times New Roman" w:hAnsi="Times New Roman" w:cs="Times New Roman"/>
          <w:sz w:val="24"/>
          <w:szCs w:val="24"/>
        </w:rPr>
        <w:t xml:space="preserve"> internacionais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318C">
        <w:rPr>
          <w:rFonts w:ascii="Times New Roman" w:hAnsi="Times New Roman" w:cs="Times New Roman"/>
          <w:sz w:val="24"/>
          <w:szCs w:val="24"/>
        </w:rPr>
        <w:t>ampliando entendimento da realidade dos fatos a partir de uma visão principiológica globalizada.</w:t>
      </w:r>
      <w:r w:rsidR="007C4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9B318C">
        <w:rPr>
          <w:rFonts w:ascii="Times New Roman" w:hAnsi="Times New Roman" w:cs="Times New Roman"/>
          <w:sz w:val="24"/>
          <w:szCs w:val="24"/>
        </w:rPr>
        <w:t xml:space="preserve">Bloco de </w:t>
      </w:r>
      <w:r>
        <w:rPr>
          <w:rFonts w:ascii="Times New Roman" w:hAnsi="Times New Roman" w:cs="Times New Roman"/>
          <w:sz w:val="24"/>
          <w:szCs w:val="24"/>
        </w:rPr>
        <w:t xml:space="preserve">se define como </w:t>
      </w:r>
      <w:r w:rsidRPr="009B318C">
        <w:rPr>
          <w:rFonts w:ascii="Times New Roman" w:hAnsi="Times New Roman" w:cs="Times New Roman"/>
          <w:sz w:val="24"/>
          <w:szCs w:val="24"/>
        </w:rPr>
        <w:t>uma estrutura matriz utilizada para realização do controle de constitucionalidade frente a tod</w:t>
      </w:r>
      <w:r>
        <w:rPr>
          <w:rFonts w:ascii="Times New Roman" w:hAnsi="Times New Roman" w:cs="Times New Roman"/>
          <w:sz w:val="24"/>
          <w:szCs w:val="24"/>
        </w:rPr>
        <w:t>o ordenamento jurídico nacional</w:t>
      </w:r>
      <w:r w:rsidRPr="009B318C">
        <w:rPr>
          <w:rFonts w:ascii="Times New Roman" w:hAnsi="Times New Roman" w:cs="Times New Roman"/>
          <w:sz w:val="24"/>
          <w:szCs w:val="24"/>
        </w:rPr>
        <w:t xml:space="preserve">. </w:t>
      </w:r>
      <w:r w:rsidRPr="009B318C">
        <w:rPr>
          <w:rFonts w:ascii="Times New Roman" w:hAnsi="Times New Roman" w:cs="Times New Roman"/>
          <w:color w:val="000000"/>
          <w:sz w:val="24"/>
          <w:szCs w:val="24"/>
        </w:rPr>
        <w:t xml:space="preserve">André de Carvalho Ramos (2018), aponta que há o bloco de constititucionalidade amplo, que compreende todos os tratados de direitos humanos internalizados pelo Brasil, e o Bloco de Constitucionalidade restrito que, compreende apenas os tratados recepcionados por meio do rito previsto no texto constitucional. Para o autor, filiado à corrente minoritária que defende o Bloco de Constitucionalidade amplo, tal conclusão é fruto da literalidade do art. 5º, § 2º da CFRB/1988, que dispõe sobre a existência de um Bloco de constitucionalidade que contém todos os direitos previstos nos tratados internacionais de direitos humanos. </w:t>
      </w:r>
      <w:r w:rsidR="00505438">
        <w:rPr>
          <w:rFonts w:ascii="Times New Roman" w:hAnsi="Times New Roman" w:cs="Times New Roman"/>
          <w:sz w:val="24"/>
          <w:szCs w:val="24"/>
        </w:rPr>
        <w:t xml:space="preserve">Mazzuoli </w:t>
      </w:r>
      <w:r w:rsidRPr="009B318C">
        <w:rPr>
          <w:rFonts w:ascii="Times New Roman" w:hAnsi="Times New Roman" w:cs="Times New Roman"/>
          <w:sz w:val="24"/>
          <w:szCs w:val="24"/>
        </w:rPr>
        <w:t>nos ensina que independente do status do tratado de direitos humanos em âmbito interno, todas as normas infraconstitucionais devem ser compatíveis com aqueles, o que o autor denomina Dupla compatibilidade vertical material (2011, p.74).</w:t>
      </w:r>
      <w:r w:rsidRPr="009B31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31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Brasil, fruto de comando constitucional, o Bloco de Constitucionalidade vem se desdobrando progressivamente. A saber, pode-se destacar o entendimento do Supremo Tribunal Federal que conjuga o </w:t>
      </w:r>
      <w:r w:rsidRPr="009B318C">
        <w:rPr>
          <w:rFonts w:ascii="Times New Roman" w:hAnsi="Times New Roman" w:cs="Times New Roman"/>
          <w:color w:val="000000"/>
          <w:sz w:val="24"/>
          <w:szCs w:val="24"/>
        </w:rPr>
        <w:t>art. 5º, § 1º, da Constituição o qual determina que “as normas definidoras dos direitos e</w:t>
      </w:r>
      <w:r w:rsidRPr="009B31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B318C">
        <w:rPr>
          <w:rFonts w:ascii="Times New Roman" w:hAnsi="Times New Roman" w:cs="Times New Roman"/>
          <w:color w:val="000000"/>
          <w:sz w:val="24"/>
          <w:szCs w:val="24"/>
        </w:rPr>
        <w:t xml:space="preserve">garantias fundamentais têm aplicação imediata” com o § 2º do art. 5º, e entende que tal aplicação imediata deve ser estendida aos tratados de direitos humanos recepcionados nos moldes constitucionais (Extr 986, Rel. Min. Eros Grau, julgamento em 15-8-2007, Plenário, DJ de 5-10-2007). </w:t>
      </w:r>
      <w:r w:rsidRPr="009B31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discussão acerca do Bloco de Constitucionalidade Brasileiro se desenhou concretamente a partir da decisão do STF na Ação Direta de Inconstitucionalidade 595/ES, de Relatoria do Min. Celso de Mello. </w:t>
      </w:r>
      <w:r w:rsidRPr="009B318C">
        <w:rPr>
          <w:rFonts w:ascii="Times New Roman" w:hAnsi="Times New Roman" w:cs="Times New Roman"/>
          <w:sz w:val="24"/>
          <w:szCs w:val="24"/>
        </w:rPr>
        <w:t xml:space="preserve">Naquele momento, </w:t>
      </w:r>
      <w:r>
        <w:rPr>
          <w:rFonts w:ascii="Times New Roman" w:hAnsi="Times New Roman" w:cs="Times New Roman"/>
          <w:sz w:val="24"/>
          <w:szCs w:val="24"/>
        </w:rPr>
        <w:t xml:space="preserve">o Supremo </w:t>
      </w:r>
      <w:r w:rsidRPr="009B318C">
        <w:rPr>
          <w:rFonts w:ascii="Times New Roman" w:hAnsi="Times New Roman" w:cs="Times New Roman"/>
          <w:sz w:val="24"/>
          <w:szCs w:val="24"/>
        </w:rPr>
        <w:t xml:space="preserve">concebia que dispositivos normativos pertencentes ao bloco, entendidos ainda enquanto normas supralegais, poderiam servir de paradigma para realização do confronto das leis e atos normativos </w:t>
      </w:r>
      <w:r w:rsidRPr="009B318C">
        <w:rPr>
          <w:rFonts w:ascii="Times New Roman" w:hAnsi="Times New Roman" w:cs="Times New Roman"/>
          <w:sz w:val="24"/>
          <w:szCs w:val="24"/>
        </w:rPr>
        <w:lastRenderedPageBreak/>
        <w:t xml:space="preserve">infraconstitucionais por meio de controle de constitucionalidade. No entanto, com o advento </w:t>
      </w:r>
      <w:r w:rsidRPr="009B318C">
        <w:rPr>
          <w:rFonts w:ascii="Times New Roman" w:hAnsi="Times New Roman" w:cs="Times New Roman"/>
          <w:color w:val="000000"/>
          <w:sz w:val="24"/>
          <w:szCs w:val="24"/>
        </w:rPr>
        <w:t>da Emenda Constitucional n. 45/2004, a Suprema Corte modificou sua posição acerca dos tratados e convenções batizados pelo rito especial do art. 5º, § 3º, mas, manteve os tratados aprovados sem o aludido rito constitucional no patamar da supralegalidade. Dessa forma, surgiu o que a Doutrina denomina de bloco de constitucionalidade restrito, que integra um corpo de tratados aprovados pelo rito especial (RAMOS, 2018).</w:t>
      </w:r>
      <w:r w:rsidRPr="009B318C">
        <w:rPr>
          <w:rFonts w:ascii="Times New Roman" w:hAnsi="Times New Roman" w:cs="Times New Roman"/>
          <w:sz w:val="24"/>
          <w:szCs w:val="24"/>
        </w:rPr>
        <w:t xml:space="preserve"> Atualmente, o Bloco de Constitucionalidade Brasileiro alberga, além da Constituição de 1988, a Convenção das Nações Unidas sobre os Direitos das Pessoas com Deficiência e seu Protocolo Facultativo (ratificado em 2007); Tratado de Marraqueche para Facilitar o Acesso a Obras Publicadas às Pessoas Cegas, com Deficiência Visual ou com outras Dificuldades para ter Acesso ao Texto Impresso (ratificado em 2013); e, a Convenção Interamericana Contra o Racismo, a Discriminação Racial e Formas Correlatas de Intolerância (</w:t>
      </w:r>
      <w:r w:rsidR="0042529B">
        <w:rPr>
          <w:rFonts w:ascii="Times New Roman" w:hAnsi="Times New Roman" w:cs="Times New Roman"/>
          <w:sz w:val="24"/>
          <w:szCs w:val="24"/>
        </w:rPr>
        <w:t xml:space="preserve">ratificado em 2021). </w:t>
      </w:r>
      <w:r w:rsidRPr="009B318C">
        <w:rPr>
          <w:rFonts w:ascii="Times New Roman" w:hAnsi="Times New Roman" w:cs="Times New Roman"/>
          <w:color w:val="000000"/>
          <w:sz w:val="24"/>
          <w:szCs w:val="24"/>
        </w:rPr>
        <w:t xml:space="preserve">Desse modo, tem-que a posição aceita pela Suprema Corte é de que há um Bloco de Constitucionalidade que alberga o texto constitucional formal e todos os tratados aprovados </w:t>
      </w:r>
      <w:r w:rsidRPr="009B318C">
        <w:rPr>
          <w:rFonts w:ascii="Times New Roman" w:hAnsi="Times New Roman" w:cs="Times New Roman"/>
          <w:sz w:val="24"/>
          <w:szCs w:val="24"/>
        </w:rPr>
        <w:t xml:space="preserve">por meio do rito previsto no art. 5°, §3 da CRFB/1988. </w:t>
      </w:r>
      <w:r w:rsidRPr="009B318C">
        <w:rPr>
          <w:rFonts w:ascii="Times New Roman" w:hAnsi="Times New Roman" w:cs="Times New Roman"/>
          <w:color w:val="000000"/>
          <w:sz w:val="24"/>
          <w:szCs w:val="24"/>
        </w:rPr>
        <w:t>Para uma melhor compreensão de como é</w:t>
      </w:r>
      <w:r w:rsidR="0042529B">
        <w:rPr>
          <w:rFonts w:ascii="Times New Roman" w:hAnsi="Times New Roman" w:cs="Times New Roman"/>
          <w:color w:val="000000"/>
          <w:sz w:val="24"/>
          <w:szCs w:val="24"/>
        </w:rPr>
        <w:t xml:space="preserve"> possível utilizar o bloco de c</w:t>
      </w:r>
      <w:r w:rsidRPr="009B318C">
        <w:rPr>
          <w:rFonts w:ascii="Times New Roman" w:hAnsi="Times New Roman" w:cs="Times New Roman"/>
          <w:color w:val="000000"/>
          <w:sz w:val="24"/>
          <w:szCs w:val="24"/>
        </w:rPr>
        <w:t xml:space="preserve">onstitucionalidade como estratégia para afastar o efeito blackflash, é preciso ter sua noção completa que não passa somente por tratados e declarações ratificados, mas também pelos standares desenvolvidos pelos órgãos internacionais, tanto em sua competência consultiva quanto contenciosa. </w:t>
      </w:r>
      <w:r w:rsidR="0042529B">
        <w:rPr>
          <w:rFonts w:ascii="Times New Roman" w:hAnsi="Times New Roman" w:cs="Times New Roman"/>
          <w:color w:val="000000"/>
          <w:sz w:val="24"/>
          <w:szCs w:val="24"/>
        </w:rPr>
        <w:t>O B</w:t>
      </w:r>
      <w:r w:rsidRPr="009B318C">
        <w:rPr>
          <w:rFonts w:ascii="Times New Roman" w:hAnsi="Times New Roman" w:cs="Times New Roman"/>
          <w:color w:val="000000"/>
          <w:sz w:val="24"/>
          <w:szCs w:val="24"/>
        </w:rPr>
        <w:t xml:space="preserve">loco de </w:t>
      </w:r>
      <w:r w:rsidR="0042529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B318C">
        <w:rPr>
          <w:rFonts w:ascii="Times New Roman" w:hAnsi="Times New Roman" w:cs="Times New Roman"/>
          <w:color w:val="000000"/>
          <w:sz w:val="24"/>
          <w:szCs w:val="24"/>
        </w:rPr>
        <w:t xml:space="preserve">onstitucionalidade é um mecanismo </w:t>
      </w:r>
      <w:r w:rsidRPr="009B318C">
        <w:rPr>
          <w:rFonts w:ascii="Times New Roman" w:hAnsi="Times New Roman" w:cs="Times New Roman"/>
          <w:sz w:val="24"/>
          <w:szCs w:val="24"/>
        </w:rPr>
        <w:t>proteção dos direitos humanos fundamentais na medida em que não apenas congrega normas, mas entendimentos que contribuem para o ideal de natureza viva, progressista, indivisível e interdependente dos dire</w:t>
      </w:r>
      <w:r w:rsidR="007C4729">
        <w:rPr>
          <w:rFonts w:ascii="Times New Roman" w:hAnsi="Times New Roman" w:cs="Times New Roman"/>
          <w:sz w:val="24"/>
          <w:szCs w:val="24"/>
        </w:rPr>
        <w:t xml:space="preserve">itos humanos. </w:t>
      </w:r>
      <w:r w:rsidRPr="009B318C">
        <w:rPr>
          <w:rFonts w:ascii="Times New Roman" w:hAnsi="Times New Roman" w:cs="Times New Roman"/>
          <w:sz w:val="24"/>
          <w:szCs w:val="24"/>
        </w:rPr>
        <w:t>A título de exemplo, podemos mencionar</w:t>
      </w:r>
      <w:r>
        <w:rPr>
          <w:rFonts w:ascii="Times New Roman" w:hAnsi="Times New Roman" w:cs="Times New Roman"/>
          <w:sz w:val="24"/>
          <w:szCs w:val="24"/>
        </w:rPr>
        <w:t xml:space="preserve"> alguns</w:t>
      </w:r>
      <w:r w:rsidRPr="009B318C">
        <w:rPr>
          <w:rFonts w:ascii="Times New Roman" w:hAnsi="Times New Roman" w:cs="Times New Roman"/>
          <w:sz w:val="24"/>
          <w:szCs w:val="24"/>
        </w:rPr>
        <w:t xml:space="preserve"> standares interamericanos que dão sentido de inclusão a conceitos e direitos de mi</w:t>
      </w:r>
      <w:r>
        <w:rPr>
          <w:rFonts w:ascii="Times New Roman" w:hAnsi="Times New Roman" w:cs="Times New Roman"/>
          <w:sz w:val="24"/>
          <w:szCs w:val="24"/>
        </w:rPr>
        <w:t xml:space="preserve">norias: </w:t>
      </w:r>
      <w:r w:rsidRPr="009B318C">
        <w:rPr>
          <w:rFonts w:ascii="Times New Roman" w:hAnsi="Times New Roman" w:cs="Times New Roman"/>
          <w:sz w:val="24"/>
          <w:szCs w:val="24"/>
        </w:rPr>
        <w:t>Opinião</w:t>
      </w:r>
      <w:r w:rsidRPr="009B318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Consultiva</w:t>
      </w:r>
      <w:r w:rsidRPr="009B318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nº</w:t>
      </w:r>
      <w:r w:rsidRPr="009B31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 xml:space="preserve">21/2014 </w:t>
      </w:r>
      <w:r>
        <w:rPr>
          <w:rFonts w:ascii="Times New Roman" w:hAnsi="Times New Roman" w:cs="Times New Roman"/>
          <w:sz w:val="24"/>
          <w:szCs w:val="24"/>
        </w:rPr>
        <w:t xml:space="preserve">em que a Corte IDH, ao tratar de </w:t>
      </w:r>
      <w:r w:rsidRPr="009B318C">
        <w:rPr>
          <w:rFonts w:ascii="Times New Roman" w:hAnsi="Times New Roman" w:cs="Times New Roman"/>
          <w:sz w:val="24"/>
          <w:szCs w:val="24"/>
        </w:rPr>
        <w:t xml:space="preserve">medidas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9B318C">
        <w:rPr>
          <w:rFonts w:ascii="Times New Roman" w:hAnsi="Times New Roman" w:cs="Times New Roman"/>
          <w:sz w:val="24"/>
          <w:szCs w:val="24"/>
        </w:rPr>
        <w:t>os Estados devem adotar</w:t>
      </w:r>
      <w:r w:rsidRPr="009B31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acerca</w:t>
      </w:r>
      <w:r w:rsidRPr="009B31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de</w:t>
      </w:r>
      <w:r w:rsidRPr="009B31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meninos</w:t>
      </w:r>
      <w:r w:rsidRPr="009B31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e</w:t>
      </w:r>
      <w:r w:rsidRPr="009B31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meninas</w:t>
      </w:r>
      <w:r w:rsidRPr="009B31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migrantes </w:t>
      </w:r>
      <w:r w:rsidRPr="009B318C">
        <w:rPr>
          <w:rFonts w:ascii="Times New Roman" w:hAnsi="Times New Roman" w:cs="Times New Roman"/>
          <w:sz w:val="24"/>
          <w:szCs w:val="24"/>
        </w:rPr>
        <w:t>ou</w:t>
      </w:r>
      <w:r w:rsidRPr="009B31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com</w:t>
      </w:r>
      <w:r w:rsidRPr="009B31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pais</w:t>
      </w:r>
      <w:r w:rsidRPr="009B31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em</w:t>
      </w:r>
      <w:r w:rsidRPr="009B31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condição de</w:t>
      </w:r>
      <w:r w:rsidRPr="009B31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migração, </w:t>
      </w:r>
      <w:r w:rsidRPr="009B318C">
        <w:rPr>
          <w:rFonts w:ascii="Times New Roman" w:hAnsi="Times New Roman" w:cs="Times New Roman"/>
          <w:color w:val="0D0D0D"/>
          <w:sz w:val="24"/>
          <w:szCs w:val="24"/>
        </w:rPr>
        <w:t>reconheceu que a definição do conceito de família deveria ser</w:t>
      </w:r>
      <w:r w:rsidRPr="009B318C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color w:val="0D0D0D"/>
          <w:spacing w:val="-1"/>
          <w:sz w:val="24"/>
          <w:szCs w:val="24"/>
        </w:rPr>
        <w:t xml:space="preserve">ampliada </w:t>
      </w:r>
      <w:r w:rsidRPr="009B318C">
        <w:rPr>
          <w:rFonts w:ascii="Times New Roman" w:hAnsi="Times New Roman" w:cs="Times New Roman"/>
          <w:sz w:val="24"/>
          <w:szCs w:val="24"/>
        </w:rPr>
        <w:t>e que não existe um modelo de</w:t>
      </w:r>
      <w:r w:rsidRPr="009B31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família</w:t>
      </w:r>
      <w:r w:rsidRPr="009B31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único</w:t>
      </w:r>
      <w:r w:rsidRPr="009B31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(LEGALE,</w:t>
      </w:r>
      <w:r w:rsidRPr="009B31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>SARDINHA, 2019).</w:t>
      </w:r>
      <w:r>
        <w:rPr>
          <w:rFonts w:ascii="Times New Roman" w:hAnsi="Times New Roman" w:cs="Times New Roman"/>
          <w:sz w:val="24"/>
          <w:szCs w:val="24"/>
        </w:rPr>
        <w:t xml:space="preserve"> Ainda, na </w:t>
      </w:r>
      <w:r w:rsidRPr="009B318C">
        <w:rPr>
          <w:rFonts w:ascii="Times New Roman" w:hAnsi="Times New Roman" w:cs="Times New Roman"/>
          <w:sz w:val="24"/>
          <w:szCs w:val="24"/>
        </w:rPr>
        <w:t>Opinião</w:t>
      </w:r>
      <w:r w:rsidRPr="009B318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 xml:space="preserve">Consultiva nº </w:t>
      </w:r>
      <w:r>
        <w:rPr>
          <w:rFonts w:ascii="Times New Roman" w:hAnsi="Times New Roman" w:cs="Times New Roman"/>
          <w:sz w:val="24"/>
          <w:szCs w:val="24"/>
        </w:rPr>
        <w:t>24/2017,</w:t>
      </w:r>
      <w:r w:rsidRPr="009B318C">
        <w:rPr>
          <w:rFonts w:ascii="Times New Roman" w:hAnsi="Times New Roman" w:cs="Times New Roman"/>
          <w:sz w:val="24"/>
          <w:szCs w:val="24"/>
        </w:rPr>
        <w:t xml:space="preserve"> a Corte </w:t>
      </w:r>
      <w:r>
        <w:rPr>
          <w:rFonts w:ascii="Times New Roman" w:hAnsi="Times New Roman" w:cs="Times New Roman"/>
          <w:sz w:val="24"/>
          <w:szCs w:val="24"/>
        </w:rPr>
        <w:t xml:space="preserve">IDH </w:t>
      </w:r>
      <w:r w:rsidRPr="009B318C">
        <w:rPr>
          <w:rFonts w:ascii="Times New Roman" w:hAnsi="Times New Roman" w:cs="Times New Roman"/>
          <w:sz w:val="24"/>
          <w:szCs w:val="24"/>
        </w:rPr>
        <w:t xml:space="preserve">tratou da obrigação dos Estados </w:t>
      </w:r>
      <w:r>
        <w:rPr>
          <w:rFonts w:ascii="Times New Roman" w:hAnsi="Times New Roman" w:cs="Times New Roman"/>
          <w:sz w:val="24"/>
          <w:szCs w:val="24"/>
        </w:rPr>
        <w:t>de respeitar e adotar medidas positivas em torno do direito à Identidade de gêner</w:t>
      </w:r>
      <w:r w:rsidR="00BA352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318C">
        <w:rPr>
          <w:rFonts w:ascii="Times New Roman" w:hAnsi="Times New Roman" w:cs="Times New Roman"/>
          <w:sz w:val="24"/>
          <w:szCs w:val="24"/>
        </w:rPr>
        <w:t xml:space="preserve"> igualdade e não discriminação a casais do mesmo sexo (CORTE IDH, 2017).</w:t>
      </w:r>
      <w:r>
        <w:rPr>
          <w:rFonts w:ascii="Times New Roman" w:hAnsi="Times New Roman" w:cs="Times New Roman"/>
          <w:sz w:val="24"/>
          <w:szCs w:val="24"/>
        </w:rPr>
        <w:t xml:space="preserve"> Tais entendimentos</w:t>
      </w:r>
      <w:r w:rsidRPr="009B318C">
        <w:rPr>
          <w:rFonts w:ascii="Times New Roman" w:hAnsi="Times New Roman" w:cs="Times New Roman"/>
          <w:sz w:val="24"/>
          <w:szCs w:val="24"/>
        </w:rPr>
        <w:t xml:space="preserve">, constituídos no âmbito de um órgão internacional tão legitimo quanto a Suprema Corte, e fruto de um Tratado (CADH) tão vinculante quanto a Constituição, quando compreendidos no Bloco de Constitucionalidade, colaboram para legitimação da Corte Constitucional como </w:t>
      </w:r>
      <w:r w:rsidRPr="009B318C">
        <w:rPr>
          <w:rFonts w:ascii="Times New Roman" w:hAnsi="Times New Roman" w:cs="Times New Roman"/>
          <w:i/>
          <w:sz w:val="24"/>
          <w:szCs w:val="24"/>
        </w:rPr>
        <w:t xml:space="preserve">locus </w:t>
      </w:r>
      <w:r w:rsidRPr="009B318C">
        <w:rPr>
          <w:rFonts w:ascii="Times New Roman" w:hAnsi="Times New Roman" w:cs="Times New Roman"/>
          <w:sz w:val="24"/>
          <w:szCs w:val="24"/>
        </w:rPr>
        <w:t xml:space="preserve">eficiente para implementação de direitos. </w:t>
      </w:r>
      <w:r w:rsidR="00BA3528">
        <w:rPr>
          <w:rFonts w:ascii="Times New Roman" w:hAnsi="Times New Roman" w:cs="Times New Roman"/>
          <w:sz w:val="24"/>
          <w:szCs w:val="24"/>
        </w:rPr>
        <w:t>O</w:t>
      </w:r>
      <w:r w:rsidRPr="009B318C">
        <w:rPr>
          <w:rFonts w:ascii="Times New Roman" w:hAnsi="Times New Roman" w:cs="Times New Roman"/>
          <w:sz w:val="24"/>
          <w:szCs w:val="24"/>
        </w:rPr>
        <w:t xml:space="preserve">corre o que Flávia Piovesan diz quando dispõe sobre o Bloco de </w:t>
      </w:r>
      <w:r w:rsidRPr="009B318C">
        <w:rPr>
          <w:rFonts w:ascii="Times New Roman" w:hAnsi="Times New Roman" w:cs="Times New Roman"/>
          <w:sz w:val="24"/>
          <w:szCs w:val="24"/>
        </w:rPr>
        <w:lastRenderedPageBreak/>
        <w:t xml:space="preserve">Constitucionalidade e sua finalidade, pois </w:t>
      </w:r>
      <w:r w:rsidR="007C4729" w:rsidRPr="009B318C">
        <w:rPr>
          <w:rFonts w:ascii="Times New Roman" w:hAnsi="Times New Roman" w:cs="Times New Roman"/>
          <w:sz w:val="24"/>
          <w:szCs w:val="24"/>
        </w:rPr>
        <w:t>se cria</w:t>
      </w:r>
      <w:r w:rsidRPr="009B318C">
        <w:rPr>
          <w:rFonts w:ascii="Times New Roman" w:hAnsi="Times New Roman" w:cs="Times New Roman"/>
          <w:sz w:val="24"/>
          <w:szCs w:val="24"/>
        </w:rPr>
        <w:t xml:space="preserve"> um “[...] código comum de ação, a qual os Estados devem se conformar, no que diz respeito à promoção e proteção dos direitos humanos” (PIOVESAN, 2006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318C">
        <w:rPr>
          <w:rFonts w:ascii="Times New Roman" w:hAnsi="Times New Roman" w:cs="Times New Roman"/>
          <w:sz w:val="24"/>
          <w:szCs w:val="24"/>
        </w:rPr>
        <w:t>p. 16).</w:t>
      </w:r>
      <w:r w:rsidR="007C4729">
        <w:rPr>
          <w:rFonts w:ascii="Times New Roman" w:hAnsi="Times New Roman" w:cs="Times New Roman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 xml:space="preserve">Conclui-se que para solução da tensão constate entre direito e política, fruto dos novos arranjos institucionais das relações entre os Poderes da República, é necessário uma compreensão </w:t>
      </w:r>
      <w:r w:rsidR="00BA3528">
        <w:rPr>
          <w:rFonts w:ascii="Times New Roman" w:hAnsi="Times New Roman" w:cs="Times New Roman"/>
          <w:sz w:val="24"/>
          <w:szCs w:val="24"/>
        </w:rPr>
        <w:t>d</w:t>
      </w:r>
      <w:r w:rsidRPr="009B318C">
        <w:rPr>
          <w:rFonts w:ascii="Times New Roman" w:hAnsi="Times New Roman" w:cs="Times New Roman"/>
          <w:sz w:val="24"/>
          <w:szCs w:val="24"/>
        </w:rPr>
        <w:t>o backlash como parte do jogo democrático, na medida em que se apresenta como vontade de parcela dos cidadãos. No entanto, não se pode perder de vista a natureza progressista e indivisível dos direitos humanos e de seu papel</w:t>
      </w:r>
      <w:r>
        <w:rPr>
          <w:rFonts w:ascii="Times New Roman" w:hAnsi="Times New Roman" w:cs="Times New Roman"/>
          <w:sz w:val="24"/>
          <w:szCs w:val="24"/>
        </w:rPr>
        <w:t xml:space="preserve"> constitucional por meio da gama de direitos fundamentais,</w:t>
      </w:r>
      <w:r w:rsidRPr="009B318C">
        <w:rPr>
          <w:rFonts w:ascii="Times New Roman" w:hAnsi="Times New Roman" w:cs="Times New Roman"/>
          <w:sz w:val="24"/>
          <w:szCs w:val="24"/>
        </w:rPr>
        <w:t xml:space="preserve"> na proteção das minorias </w:t>
      </w:r>
      <w:r w:rsidR="00BA3528">
        <w:rPr>
          <w:rFonts w:ascii="Times New Roman" w:hAnsi="Times New Roman" w:cs="Times New Roman"/>
          <w:sz w:val="24"/>
          <w:szCs w:val="24"/>
        </w:rPr>
        <w:t xml:space="preserve">em um </w:t>
      </w:r>
      <w:r w:rsidR="007C4729">
        <w:rPr>
          <w:rFonts w:ascii="Times New Roman" w:hAnsi="Times New Roman" w:cs="Times New Roman"/>
          <w:sz w:val="24"/>
          <w:szCs w:val="24"/>
        </w:rPr>
        <w:t xml:space="preserve">Estado Democrático de Direito. </w:t>
      </w:r>
      <w:r w:rsidRPr="009B318C">
        <w:rPr>
          <w:rFonts w:ascii="Times New Roman" w:hAnsi="Times New Roman" w:cs="Times New Roman"/>
          <w:sz w:val="24"/>
          <w:szCs w:val="24"/>
        </w:rPr>
        <w:t>Desse modo</w:t>
      </w:r>
      <w:r w:rsidR="00BA3528">
        <w:rPr>
          <w:rFonts w:ascii="Times New Roman" w:hAnsi="Times New Roman" w:cs="Times New Roman"/>
          <w:sz w:val="24"/>
          <w:szCs w:val="24"/>
        </w:rPr>
        <w:t>,</w:t>
      </w:r>
      <w:r w:rsidRPr="009B318C">
        <w:rPr>
          <w:rFonts w:ascii="Times New Roman" w:hAnsi="Times New Roman" w:cs="Times New Roman"/>
          <w:sz w:val="24"/>
          <w:szCs w:val="24"/>
        </w:rPr>
        <w:t xml:space="preserve"> o Bloco de Constitucionalidade, se apresenta como alternativa a superação do efeito backlas</w:t>
      </w:r>
      <w:r w:rsidR="00BA3528">
        <w:rPr>
          <w:rFonts w:ascii="Times New Roman" w:hAnsi="Times New Roman" w:cs="Times New Roman"/>
          <w:sz w:val="24"/>
          <w:szCs w:val="24"/>
        </w:rPr>
        <w:t>h no Brasil</w:t>
      </w:r>
      <w:r w:rsidRPr="009B318C">
        <w:rPr>
          <w:rFonts w:ascii="Times New Roman" w:hAnsi="Times New Roman" w:cs="Times New Roman"/>
          <w:sz w:val="24"/>
          <w:szCs w:val="24"/>
        </w:rPr>
        <w:t>, na medida em que o mecanismo congrega não apenas o texto constitucional formal, mas uma gama de valores universais da dignidade humana e dos direitos fundamentais, que servem como parâmetros para uma compreensão do fenômeno constitucional, que se soma ao principio da máxima efetividade das normas constitucionais, que se aplica a todos os direitos materialmente constitucionais.</w:t>
      </w:r>
      <w:r w:rsidR="0042529B">
        <w:rPr>
          <w:rFonts w:ascii="Times New Roman" w:hAnsi="Times New Roman" w:cs="Times New Roman"/>
          <w:sz w:val="24"/>
          <w:szCs w:val="24"/>
        </w:rPr>
        <w:t xml:space="preserve"> Assim, o Bloco de C</w:t>
      </w:r>
      <w:r>
        <w:rPr>
          <w:rFonts w:ascii="Times New Roman" w:hAnsi="Times New Roman" w:cs="Times New Roman"/>
          <w:sz w:val="24"/>
          <w:szCs w:val="24"/>
        </w:rPr>
        <w:t>onstitucionalidade pode contribuir tanto no âmbito da verificação preventiva quanto repressiva de constitucionalidade. Além de poder servir de parâmetro para o controle difuso e para o controle abstrato de constitucionalidade.</w:t>
      </w:r>
      <w:r w:rsidR="007C4729">
        <w:rPr>
          <w:rFonts w:ascii="Times New Roman" w:hAnsi="Times New Roman" w:cs="Times New Roman"/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 xml:space="preserve">No entanto, para que o bloco de constitucionalidade se apresente como Fator Estratégico no Litígio dos Direitos Fundamentais, será preciso que a Suprema Corte supere o receio </w:t>
      </w:r>
      <w:r w:rsidRPr="009B318C">
        <w:rPr>
          <w:rFonts w:ascii="Times New Roman" w:hAnsi="Times New Roman" w:cs="Times New Roman"/>
          <w:color w:val="000000"/>
          <w:sz w:val="24"/>
          <w:szCs w:val="24"/>
        </w:rPr>
        <w:t>do uso de tratados internacionais como parâmetros para a não aplicação de normas internas.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729">
        <w:rPr>
          <w:rFonts w:ascii="Times New Roman" w:hAnsi="Times New Roman" w:cs="Times New Roman"/>
          <w:sz w:val="24"/>
          <w:szCs w:val="24"/>
        </w:rPr>
        <w:t>Igualmente</w:t>
      </w:r>
      <w:r>
        <w:rPr>
          <w:rFonts w:ascii="Times New Roman" w:hAnsi="Times New Roman" w:cs="Times New Roman"/>
          <w:sz w:val="24"/>
          <w:szCs w:val="24"/>
        </w:rPr>
        <w:t xml:space="preserve">, é imperioso </w:t>
      </w:r>
      <w:r w:rsidRPr="009B318C">
        <w:rPr>
          <w:rFonts w:ascii="Times New Roman" w:hAnsi="Times New Roman" w:cs="Times New Roman"/>
          <w:sz w:val="24"/>
          <w:szCs w:val="24"/>
        </w:rPr>
        <w:t>que o Poder Judiciário Brasileiro desenvolva senso de cultura interamericana de direitos humanos.</w:t>
      </w:r>
    </w:p>
    <w:p w:rsidR="00B307B0" w:rsidRDefault="00B307B0" w:rsidP="001C3DD1">
      <w:pPr>
        <w:rPr>
          <w:rFonts w:ascii="Times New Roman" w:hAnsi="Times New Roman" w:cs="Times New Roman"/>
          <w:sz w:val="24"/>
          <w:szCs w:val="24"/>
        </w:rPr>
      </w:pPr>
      <w:r w:rsidRPr="00B307B0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Bloco de Constitucionalidade, Efeito Backlash, Diretos Humanos.</w:t>
      </w:r>
    </w:p>
    <w:p w:rsidR="003D6FB8" w:rsidRDefault="000318CD"/>
    <w:p w:rsidR="008308D2" w:rsidRPr="00D92EE1" w:rsidRDefault="008308D2" w:rsidP="008308D2">
      <w:pPr>
        <w:rPr>
          <w:rFonts w:ascii="Times New Roman" w:hAnsi="Times New Roman" w:cs="Times New Roman"/>
          <w:b/>
          <w:sz w:val="24"/>
          <w:szCs w:val="24"/>
        </w:rPr>
      </w:pPr>
      <w:r w:rsidRPr="00D92EE1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8308D2" w:rsidRPr="001F318C" w:rsidRDefault="008308D2" w:rsidP="008308D2">
      <w:pPr>
        <w:spacing w:before="100" w:beforeAutospacing="1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BARROSO, Luís Roberto. </w:t>
      </w:r>
      <w:r w:rsidRPr="001F3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Judicialização, Ativismo Judicial e Legitimidade Democrática</w:t>
      </w: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. Rio de Janeiro 2012 Disponível em: &lt;https://www.direitofranca.br/direitonovo/FKCEimagens/file/ArtigoBarroso_para_Selecao.pdf&gt;. Acesso em 07 de Nov. 2021.</w:t>
      </w:r>
    </w:p>
    <w:p w:rsidR="008308D2" w:rsidRPr="001F318C" w:rsidRDefault="008308D2" w:rsidP="008308D2">
      <w:pPr>
        <w:spacing w:before="100" w:beforeAutospacing="1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CANÇADO, Antônio Augusto Trindade. </w:t>
      </w:r>
      <w:r w:rsidRPr="001F3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direito internacional em um mundo em transformação</w:t>
      </w: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. Rio de Janeiro: Renovar, 2002. p.641.</w:t>
      </w:r>
    </w:p>
    <w:p w:rsidR="008308D2" w:rsidRPr="001F318C" w:rsidRDefault="008308D2" w:rsidP="008308D2">
      <w:pPr>
        <w:spacing w:before="100" w:beforeAutospacing="1" w:line="240" w:lineRule="auto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CANOTILHO, José Joaquim Gomes. </w:t>
      </w:r>
      <w:r w:rsidRPr="001F3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Direito Constitucional e Teoria da Constituição</w:t>
      </w: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. Coimbra: Almedina, 1998.</w:t>
      </w:r>
    </w:p>
    <w:p w:rsidR="008308D2" w:rsidRPr="001F318C" w:rsidRDefault="008308D2" w:rsidP="008308D2">
      <w:pPr>
        <w:autoSpaceDE w:val="0"/>
        <w:autoSpaceDN w:val="0"/>
        <w:adjustRightInd w:val="0"/>
        <w:spacing w:before="100" w:beforeAutospacing="1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CHEHAB, Isabelle e LOPES, Ana Maria. </w:t>
      </w:r>
      <w:r w:rsidRPr="001F3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Bloco de Constitucionalidade e Controle de Convencionalidade: </w:t>
      </w: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Reforçando a Proteção dos Direitos Humanos no Brasil. SP. VL - 12. Revista Brasileira de Direito. Disponível em: &lt;</w:t>
      </w:r>
      <w:hyperlink r:id="rId7" w:history="1">
        <w:r w:rsidRPr="001F318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https://www.researchgate.net/publication/312239189_Bloco_de_Constitucionalidade_e_Controle_de_Convencionalidade_Reforcando_a_Protecao_dos_Direitos_Humanos_no_Brasil</w:t>
        </w:r>
      </w:hyperlink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&gt;. Acesso em 06 de nov. 2021.</w:t>
      </w:r>
    </w:p>
    <w:p w:rsidR="008308D2" w:rsidRPr="001F318C" w:rsidRDefault="008308D2" w:rsidP="008308D2">
      <w:pPr>
        <w:autoSpaceDE w:val="0"/>
        <w:autoSpaceDN w:val="0"/>
        <w:adjustRightInd w:val="0"/>
        <w:spacing w:before="100" w:beforeAutospacing="1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CIDH.  Corte Interamericana de Direitos Humanos.  Opinião Consultiva n°.  24/2017.  Julgado em 24.11.2017.  Disponível em: &lt;http://www.corteidh.or.cr/docs/opiniones/seriea_24_esp.pdf&gt;. Acesso em: 07 de nov. 2021.</w:t>
      </w:r>
    </w:p>
    <w:p w:rsidR="008308D2" w:rsidRPr="001F318C" w:rsidRDefault="008308D2" w:rsidP="008308D2">
      <w:pPr>
        <w:pStyle w:val="Default"/>
        <w:spacing w:before="100" w:beforeAutospacing="1" w:after="120"/>
        <w:rPr>
          <w:bCs/>
          <w:color w:val="000000" w:themeColor="text1"/>
        </w:rPr>
      </w:pPr>
      <w:r w:rsidRPr="001F318C">
        <w:rPr>
          <w:bCs/>
          <w:color w:val="000000" w:themeColor="text1"/>
        </w:rPr>
        <w:t>CORTE INTERAMERICANA DE DIREITOS HUMANOS</w:t>
      </w:r>
      <w:r w:rsidRPr="001F318C">
        <w:rPr>
          <w:color w:val="000000" w:themeColor="text1"/>
        </w:rPr>
        <w:t xml:space="preserve">. </w:t>
      </w:r>
      <w:r w:rsidRPr="001F318C">
        <w:rPr>
          <w:b/>
          <w:iCs/>
          <w:color w:val="000000" w:themeColor="text1"/>
        </w:rPr>
        <w:t>Almonacid Arellano y Otros v. Chile</w:t>
      </w:r>
      <w:r w:rsidRPr="001F318C">
        <w:rPr>
          <w:color w:val="000000" w:themeColor="text1"/>
        </w:rPr>
        <w:t>, julgado em 26 de setembro de 2006. Dispo</w:t>
      </w:r>
      <w:r w:rsidRPr="001F318C">
        <w:rPr>
          <w:color w:val="000000" w:themeColor="text1"/>
        </w:rPr>
        <w:softHyphen/>
        <w:t>nível em: &lt;http://www.corteidh.or.cr/docs/casos/arti</w:t>
      </w:r>
      <w:r w:rsidRPr="001F318C">
        <w:rPr>
          <w:color w:val="000000" w:themeColor="text1"/>
        </w:rPr>
        <w:softHyphen/>
        <w:t>culos/seriec_154_esp.pdf&gt;. Acesso em 23 out. 2021.</w:t>
      </w:r>
    </w:p>
    <w:p w:rsidR="008308D2" w:rsidRPr="001F318C" w:rsidRDefault="008308D2" w:rsidP="008308D2">
      <w:pPr>
        <w:pStyle w:val="Default"/>
        <w:spacing w:before="100" w:beforeAutospacing="1" w:after="120"/>
        <w:rPr>
          <w:color w:val="000000" w:themeColor="text1"/>
        </w:rPr>
      </w:pPr>
      <w:r w:rsidRPr="001F318C">
        <w:rPr>
          <w:color w:val="000000" w:themeColor="text1"/>
        </w:rPr>
        <w:t xml:space="preserve">______. </w:t>
      </w:r>
      <w:r w:rsidRPr="001F318C">
        <w:rPr>
          <w:b/>
          <w:bCs/>
          <w:color w:val="000000" w:themeColor="text1"/>
        </w:rPr>
        <w:t>Parecer Consultivo Oc-21/14 De 19 De Agosto De 2014</w:t>
      </w:r>
      <w:r w:rsidRPr="001F318C">
        <w:rPr>
          <w:bCs/>
          <w:color w:val="000000" w:themeColor="text1"/>
        </w:rPr>
        <w:t>. Solicitado pela República Argentina, República Federativa Do Brasil, República do Paraguai e República Oriental do Uruguai. Direitos E Garantias De Crianças no Contexto da Migração e/ou em Necessidade de Proteção Internacional. Disponível em: &lt;https://www.corteidh.or.cr/docs/opiniones/seriea_21_por.pdf&gt;. Acesso em</w:t>
      </w:r>
      <w:r w:rsidRPr="001F318C">
        <w:rPr>
          <w:color w:val="000000" w:themeColor="text1"/>
        </w:rPr>
        <w:t xml:space="preserve"> 4 de nov. 2021.</w:t>
      </w:r>
    </w:p>
    <w:p w:rsidR="008308D2" w:rsidRPr="001F318C" w:rsidRDefault="008308D2" w:rsidP="008308D2">
      <w:pPr>
        <w:spacing w:before="100" w:before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F3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HÄBERLE, Peter. </w:t>
      </w:r>
      <w:r w:rsidRPr="001F3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Estado Constitucional Cooperativo</w:t>
      </w:r>
      <w:r w:rsidRPr="001F3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Trad. Marcos Maliska e Elisete Antoniuk. Rio de Janeiro:  Renovar, 2007. p. 03.</w:t>
      </w:r>
    </w:p>
    <w:p w:rsidR="008308D2" w:rsidRPr="001F318C" w:rsidRDefault="008308D2" w:rsidP="008308D2">
      <w:pPr>
        <w:spacing w:before="100" w:beforeAutospacing="1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HIRSCHL, Ran. </w:t>
      </w:r>
      <w:r w:rsidRPr="001F3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Towards Juristocracy: the origins and consequences of the new constitutionalism</w:t>
      </w: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. Cambridge: Harvard University Press, 2004.</w:t>
      </w:r>
    </w:p>
    <w:p w:rsidR="008308D2" w:rsidRPr="001F318C" w:rsidRDefault="008308D2" w:rsidP="008308D2">
      <w:pPr>
        <w:pStyle w:val="Default"/>
        <w:spacing w:before="100" w:beforeAutospacing="1" w:after="120"/>
        <w:rPr>
          <w:bCs/>
          <w:color w:val="000000" w:themeColor="text1"/>
        </w:rPr>
      </w:pPr>
      <w:r w:rsidRPr="001F318C">
        <w:rPr>
          <w:color w:val="000000" w:themeColor="text1"/>
        </w:rPr>
        <w:t xml:space="preserve">LEGALE, Siddharta; SARDINHA, Danilo. </w:t>
      </w:r>
      <w:r w:rsidRPr="001F318C">
        <w:rPr>
          <w:rStyle w:val="Forte"/>
          <w:color w:val="000000" w:themeColor="text1"/>
        </w:rPr>
        <w:t xml:space="preserve">A opinião consultiva nº 21/2014: os deveres do estado frente às crianças migrantes. </w:t>
      </w:r>
      <w:r w:rsidRPr="001F318C">
        <w:rPr>
          <w:color w:val="000000" w:themeColor="text1"/>
        </w:rPr>
        <w:t>Disponível em: &lt;https://nidh.com.br/oc21/&gt; Acesso em 23 out. 2021.</w:t>
      </w:r>
    </w:p>
    <w:p w:rsidR="008308D2" w:rsidRPr="001F318C" w:rsidRDefault="008308D2" w:rsidP="008308D2">
      <w:pPr>
        <w:tabs>
          <w:tab w:val="left" w:leader="dot" w:pos="8789"/>
          <w:tab w:val="left" w:leader="dot" w:pos="9356"/>
        </w:tabs>
        <w:spacing w:before="100" w:beforeAutospacing="1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LEWANDOWSKI, Ricardo. </w:t>
      </w:r>
      <w:r w:rsidRPr="001F3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Voto: arguição de descumprimento de preceito fundamental</w:t>
      </w: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186. Relator: Ministro Ricardo Lewandowski. Brasília, 25 abr. 2012.</w:t>
      </w:r>
      <w:r w:rsidRPr="001F3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Disponível em: </w:t>
      </w:r>
      <w:hyperlink r:id="rId8" w:history="1">
        <w:r w:rsidRPr="001F318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http://www.stf.jus.br/PORTAL/cms/verNoticiaDetalhe.asp?idConteudo=205890</w:t>
        </w:r>
      </w:hyperlink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F3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Acesso em 9. nov. 2021.</w:t>
      </w:r>
    </w:p>
    <w:p w:rsidR="008308D2" w:rsidRPr="001F318C" w:rsidRDefault="008308D2" w:rsidP="008308D2">
      <w:pPr>
        <w:spacing w:before="100" w:beforeAutospacing="1" w:line="276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MARMELSTEIN, George.</w:t>
      </w:r>
      <w:r w:rsidRPr="001F3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Efeito Backlash da Jurisdição Constitucional: reações políticas ao ativismo judicial, </w:t>
      </w: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Fortaleza 2015 Disponível em: &lt;https://www.cjf.jus.br/caju/Efeito.Backlash.Jurisdicao.Constitucional_1.pdf&gt;. Acesso em: 06 de nov. 2021.</w:t>
      </w:r>
    </w:p>
    <w:p w:rsidR="008308D2" w:rsidRPr="001F318C" w:rsidRDefault="008308D2" w:rsidP="008308D2">
      <w:pPr>
        <w:pStyle w:val="Default"/>
        <w:spacing w:before="100" w:beforeAutospacing="1" w:after="120"/>
        <w:rPr>
          <w:bCs/>
          <w:color w:val="000000" w:themeColor="text1"/>
        </w:rPr>
      </w:pPr>
      <w:r w:rsidRPr="001F318C">
        <w:rPr>
          <w:color w:val="000000" w:themeColor="text1"/>
        </w:rPr>
        <w:t xml:space="preserve">MAZZUOLI, Valerio de Oliveira </w:t>
      </w:r>
      <w:r w:rsidRPr="001F318C">
        <w:rPr>
          <w:b/>
          <w:color w:val="000000" w:themeColor="text1"/>
        </w:rPr>
        <w:t>O controle jurisdicional da convencionalidade das leis</w:t>
      </w:r>
      <w:r w:rsidRPr="001F318C">
        <w:rPr>
          <w:color w:val="000000" w:themeColor="text1"/>
        </w:rPr>
        <w:t>. prefácio Luiz Flávio Gomes. – 2. ed. rev., atual. e ampl. – São Paulo : Editora Revista dos Tribunais, 2011. – (Coleção direito e ciências afins ; v. 4 / coordenação Alice Bianchini, Luiz Flávio Gomes, William Terra de Oliveira). Disponível em: &lt;</w:t>
      </w:r>
      <w:hyperlink r:id="rId9" w:history="1">
        <w:r w:rsidRPr="001F318C">
          <w:rPr>
            <w:rStyle w:val="Hyperlink"/>
            <w:color w:val="000000" w:themeColor="text1"/>
            <w:u w:val="none"/>
          </w:rPr>
          <w:t>http://professor.pucgoias.edu.br/SiteDocente/admin/arquivosUpload/11193/material/Controle_Convencionalidade_V_Mazzuoli.pdf</w:t>
        </w:r>
      </w:hyperlink>
      <w:r w:rsidRPr="001F318C">
        <w:rPr>
          <w:color w:val="000000" w:themeColor="text1"/>
        </w:rPr>
        <w:t>&gt;.  Acesso em 29 out. 2021.</w:t>
      </w:r>
    </w:p>
    <w:p w:rsidR="008308D2" w:rsidRPr="001F318C" w:rsidRDefault="008308D2" w:rsidP="008308D2">
      <w:pPr>
        <w:spacing w:before="100" w:beforeAutospacing="1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MÜLLER, Friedrich. Metodologia de Direito Constitucional. Trad. Peter Naumann. 4 ed. São Paulo: Revista dos Tribunais, 2010. p. 68.</w:t>
      </w:r>
    </w:p>
    <w:p w:rsidR="008308D2" w:rsidRPr="001F318C" w:rsidRDefault="008308D2" w:rsidP="008308D2">
      <w:pPr>
        <w:spacing w:before="100" w:beforeAutospacing="1" w:line="240" w:lineRule="auto"/>
        <w:jc w:val="left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NEVES, Marcelo. </w:t>
      </w:r>
      <w:r w:rsidRPr="001F318C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diálogo entre as cortes supremas e a Corte Interamericana de Direitos Humanos ao transconstitucionalismo na América Latina. </w:t>
      </w:r>
      <w:r w:rsidRPr="001F318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Brasília, 2014. Disponível em:&lt; http://www2.senado.leg. br/bdsf/item/id/502958&gt;. Acesso em 04 nov. de 2021.</w:t>
      </w:r>
    </w:p>
    <w:p w:rsidR="008308D2" w:rsidRPr="001F318C" w:rsidRDefault="008308D2" w:rsidP="008308D2">
      <w:pPr>
        <w:spacing w:before="100" w:beforeAutospacing="1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1F318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F318C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Transconstitucionalismo. </w:t>
      </w:r>
      <w:r w:rsidRPr="001F318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1. ed. São Paulo: WMF Martins Fontes, 2009</w:t>
      </w:r>
    </w:p>
    <w:p w:rsidR="008308D2" w:rsidRPr="001F318C" w:rsidRDefault="008308D2" w:rsidP="008308D2">
      <w:pPr>
        <w:spacing w:before="100" w:beforeAutospacing="1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NOSCHAG, Patricia, PIUCCO, Micheli. </w:t>
      </w:r>
      <w:r w:rsidRPr="001F3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 Estado Constitucional Cooperativo de peter häberle e a teoria do controle de Convencionalidade Das leis como um modelo de efetivação do direito  Internacional cooperativo e comum</w:t>
      </w:r>
      <w:r w:rsidRPr="001F3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Revista Jurídica Cesumar. maio/agosto 2019, v. 19, n. 2, p. 366. Disponível em: </w:t>
      </w:r>
      <w:hyperlink r:id="rId10" w:history="1">
        <w:r w:rsidRPr="001F318C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t-BR"/>
          </w:rPr>
          <w:t>https://periodicos.unicesumar.edu.br/index.php/revjuridica/article/view/6947/3528</w:t>
        </w:r>
      </w:hyperlink>
      <w:r w:rsidRPr="001F3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Acesso em</w:t>
      </w:r>
      <w:r w:rsidRPr="001F318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04 de nov. 2021.</w:t>
      </w:r>
    </w:p>
    <w:p w:rsidR="008308D2" w:rsidRPr="001F318C" w:rsidRDefault="008308D2" w:rsidP="008308D2">
      <w:pPr>
        <w:pStyle w:val="Default"/>
        <w:spacing w:before="100" w:beforeAutospacing="1" w:after="120"/>
        <w:rPr>
          <w:bCs/>
          <w:color w:val="000000" w:themeColor="text1"/>
        </w:rPr>
      </w:pPr>
      <w:r w:rsidRPr="001F318C">
        <w:rPr>
          <w:rFonts w:eastAsia="Times New Roman"/>
          <w:color w:val="000000" w:themeColor="text1"/>
          <w:lang w:eastAsia="pt-BR"/>
        </w:rPr>
        <w:t xml:space="preserve">PIOVESAN, Flávia. </w:t>
      </w:r>
      <w:r w:rsidRPr="001F318C">
        <w:rPr>
          <w:rFonts w:eastAsia="Times New Roman"/>
          <w:b/>
          <w:color w:val="000000" w:themeColor="text1"/>
          <w:lang w:eastAsia="pt-BR"/>
        </w:rPr>
        <w:t>Controle de Convencionalidade direitos humanos e diálogo entre jurisdições</w:t>
      </w:r>
      <w:r w:rsidRPr="001F318C">
        <w:rPr>
          <w:rFonts w:eastAsia="Times New Roman"/>
          <w:color w:val="000000" w:themeColor="text1"/>
          <w:lang w:eastAsia="pt-BR"/>
        </w:rPr>
        <w:t xml:space="preserve">. 2013. p. 124. Disponível em: </w:t>
      </w:r>
      <w:hyperlink r:id="rId11" w:history="1">
        <w:r w:rsidRPr="001F318C">
          <w:rPr>
            <w:rStyle w:val="Hyperlink"/>
            <w:color w:val="000000" w:themeColor="text1"/>
            <w:u w:val="none"/>
          </w:rPr>
          <w:t>http://www.esdc.com.br/RBDC/RBDC-19/RBDC-19-067-Artigo_Flavia_Piovesan_(Direitos_Humanos_e_Dialogo_entre_Jurisdicoes).pdf</w:t>
        </w:r>
      </w:hyperlink>
      <w:r w:rsidRPr="001F318C">
        <w:rPr>
          <w:color w:val="000000" w:themeColor="text1"/>
        </w:rPr>
        <w:t>. Acesso em 23 out. 2021.</w:t>
      </w:r>
    </w:p>
    <w:p w:rsidR="008308D2" w:rsidRPr="001F318C" w:rsidRDefault="008308D2" w:rsidP="008308D2">
      <w:pPr>
        <w:spacing w:before="100" w:beforeAutospacing="1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______. </w:t>
      </w:r>
      <w:r w:rsidRPr="001F3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Direitos humanos e o direito constitucional internacional</w:t>
      </w: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. 7. ed. São Paulo: Saraiva, 2006.</w:t>
      </w:r>
    </w:p>
    <w:p w:rsidR="008308D2" w:rsidRPr="001F318C" w:rsidRDefault="008308D2" w:rsidP="008308D2">
      <w:pPr>
        <w:autoSpaceDE w:val="0"/>
        <w:autoSpaceDN w:val="0"/>
        <w:adjustRightInd w:val="0"/>
        <w:spacing w:before="100" w:beforeAutospacing="1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RAMOS, André de Carvalho. </w:t>
      </w:r>
      <w:r w:rsidRPr="001F3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Curso de direitos humanos</w:t>
      </w: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4. ed. – São Paulo: Saraiva, 2017. </w:t>
      </w:r>
    </w:p>
    <w:p w:rsidR="008308D2" w:rsidRPr="001F318C" w:rsidRDefault="008308D2" w:rsidP="008308D2">
      <w:pPr>
        <w:autoSpaceDE w:val="0"/>
        <w:autoSpaceDN w:val="0"/>
        <w:adjustRightInd w:val="0"/>
        <w:spacing w:before="100" w:beforeAutospacing="1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______.</w:t>
      </w:r>
      <w:r w:rsidRPr="001F3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Curso de direitos humanos</w:t>
      </w: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. 5. ed. – São Paulo : Saraiva Educação, 2018.</w:t>
      </w:r>
    </w:p>
    <w:p w:rsidR="008308D2" w:rsidRPr="001F318C" w:rsidRDefault="008308D2" w:rsidP="008308D2">
      <w:pPr>
        <w:spacing w:before="100" w:beforeAutospacing="1" w:line="240" w:lineRule="auto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SUPREMO TRIBUNAL FEDERAL. </w:t>
      </w:r>
      <w:r w:rsidRPr="001F31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ADI no 595/ES</w:t>
      </w:r>
      <w:r w:rsidRPr="001F31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julgada em 18 e fevereiro de 2002. Disponível em: &lt;</w:t>
      </w:r>
      <w:hyperlink r:id="rId12" w:history="1">
        <w:r w:rsidRPr="001F318C">
          <w:rPr>
            <w:rStyle w:val="Hyperlink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http://www.stf.jus.br/arquivo/informativo/documento/informativo258.htm</w:t>
        </w:r>
      </w:hyperlink>
      <w:r w:rsidRPr="001F31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&gt;. . Acesso em: 09 nov. 2021.</w:t>
      </w:r>
    </w:p>
    <w:p w:rsidR="008308D2" w:rsidRPr="001F318C" w:rsidRDefault="008308D2" w:rsidP="008308D2">
      <w:pPr>
        <w:autoSpaceDE w:val="0"/>
        <w:autoSpaceDN w:val="0"/>
        <w:adjustRightInd w:val="0"/>
        <w:spacing w:before="100" w:beforeAutospacing="1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1F318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F318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ADPF n</w:t>
      </w:r>
      <w:r w:rsidRPr="001F318C">
        <w:rPr>
          <w:rStyle w:val="A7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º </w:t>
      </w:r>
      <w:r w:rsidRPr="001F318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153/DF</w:t>
      </w:r>
      <w:r w:rsidRPr="001F318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Min. Rel. Eros Grau, </w:t>
      </w: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j. 29/04/2010. Disponível em: &lt;</w:t>
      </w:r>
      <w:hyperlink r:id="rId13" w:history="1">
        <w:r w:rsidRPr="001F318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http://redir.stf.jus.br/paginadorpub/paginador.jsp?</w:t>
        </w:r>
        <w:r w:rsidRPr="001F318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softHyphen/>
          <w:t>docTP=AC&amp;docID=612960</w:t>
        </w:r>
      </w:hyperlink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&gt;. Acesso em 09 de nov. 2021.</w:t>
      </w:r>
    </w:p>
    <w:p w:rsidR="008308D2" w:rsidRPr="001F318C" w:rsidRDefault="008308D2" w:rsidP="008308D2">
      <w:pPr>
        <w:spacing w:before="100" w:beforeAutospacing="1" w:line="240" w:lineRule="auto"/>
        <w:jc w:val="lef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1F318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F318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Ext 986</w:t>
      </w:r>
      <w:r w:rsidRPr="001F318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rel. min. Eros Grau, j. 15-8-2007, P, DJ de 5-10-2007. Disponível em:&lt;</w:t>
      </w:r>
      <w:hyperlink r:id="rId14" w:history="1">
        <w:r w:rsidRPr="001F318C">
          <w:rPr>
            <w:rStyle w:val="Hyperlink"/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u w:val="none"/>
          </w:rPr>
          <w:t>http://www.stf.jus.br/portal/constituicao/artigo.asp?item=784&amp;tipo=CJ&amp;termo=37</w:t>
        </w:r>
      </w:hyperlink>
      <w:r w:rsidRPr="001F318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&gt;.  Acesso em 09 de nov. 2021.</w:t>
      </w:r>
    </w:p>
    <w:p w:rsidR="008308D2" w:rsidRPr="001F318C" w:rsidRDefault="008308D2" w:rsidP="008308D2">
      <w:pPr>
        <w:spacing w:before="100" w:beforeAutospacing="1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1F318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F31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HC 91.361</w:t>
      </w: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, Rel. Min. Celso de Mello, j. 23-9-2008, Segunda Turma, DJE de 6-2-2009). Disponível em: &lt;</w:t>
      </w:r>
      <w:hyperlink r:id="rId15" w:history="1">
        <w:r w:rsidRPr="001F318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http://www.stf.jus.br/portal/constituicao/artigo.asp?item=1079&amp;tipo=CJ&amp;termo=37</w:t>
        </w:r>
      </w:hyperlink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>&gt;. Acesso em: 06 de nov. 2021.</w:t>
      </w:r>
    </w:p>
    <w:p w:rsidR="008308D2" w:rsidRPr="001F318C" w:rsidRDefault="008308D2" w:rsidP="008308D2">
      <w:pPr>
        <w:spacing w:before="100" w:beforeAutospacing="1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VALLE, Vanice Regina Lírio do. </w:t>
      </w:r>
      <w:r w:rsidRPr="001F3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Backlash à decisão do Supremo Tribunal Federal: pela naturalização do dissenso como possibilidade democrática</w:t>
      </w: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Online, 2013. Disponível em: &lt;https://www.academia.edu/5159210/Backlash_%C3%A0_decis%C3%A3o_do_ </w:t>
      </w:r>
      <w:r w:rsidRPr="001F31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Supremo_Tribunal_Federal_pela_naturaliza%C3%A7%C3%A3o_do_dissenso_como_ possibilidade_democr%C3%A1tica&gt;. Acesso em 07 de nov. 2021.</w:t>
      </w:r>
    </w:p>
    <w:p w:rsidR="008308D2" w:rsidRPr="001F318C" w:rsidRDefault="008308D2" w:rsidP="008308D2">
      <w:pPr>
        <w:spacing w:before="120" w:after="100" w:afterAutospacing="1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08D2" w:rsidRDefault="008308D2"/>
    <w:sectPr w:rsidR="008308D2" w:rsidSect="004F35C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CD" w:rsidRDefault="000318CD" w:rsidP="007C4729">
      <w:pPr>
        <w:spacing w:after="0" w:line="240" w:lineRule="auto"/>
      </w:pPr>
      <w:r>
        <w:separator/>
      </w:r>
    </w:p>
  </w:endnote>
  <w:endnote w:type="continuationSeparator" w:id="0">
    <w:p w:rsidR="000318CD" w:rsidRDefault="000318CD" w:rsidP="007C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CD" w:rsidRDefault="000318CD" w:rsidP="007C4729">
      <w:pPr>
        <w:spacing w:after="0" w:line="240" w:lineRule="auto"/>
      </w:pPr>
      <w:r>
        <w:separator/>
      </w:r>
    </w:p>
  </w:footnote>
  <w:footnote w:type="continuationSeparator" w:id="0">
    <w:p w:rsidR="000318CD" w:rsidRDefault="000318CD" w:rsidP="007C4729">
      <w:pPr>
        <w:spacing w:after="0" w:line="240" w:lineRule="auto"/>
      </w:pPr>
      <w:r>
        <w:continuationSeparator/>
      </w:r>
    </w:p>
  </w:footnote>
  <w:footnote w:id="1">
    <w:p w:rsidR="007C4729" w:rsidRPr="001D7199" w:rsidRDefault="007C4729" w:rsidP="007C4729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</w:rPr>
        <w:t xml:space="preserve"> Advogado e Professor de </w:t>
      </w:r>
      <w:r w:rsidRPr="003F5624">
        <w:rPr>
          <w:rFonts w:ascii="Times New Roman" w:hAnsi="Times New Roman" w:cs="Times New Roman"/>
        </w:rPr>
        <w:t>Direito do Centro Universitário Salesiano</w:t>
      </w:r>
      <w:r>
        <w:rPr>
          <w:rFonts w:ascii="Times New Roman" w:hAnsi="Times New Roman" w:cs="Times New Roman"/>
        </w:rPr>
        <w:t xml:space="preserve">. </w:t>
      </w:r>
      <w:r w:rsidRPr="003F5624">
        <w:rPr>
          <w:rFonts w:ascii="Times New Roman" w:hAnsi="Times New Roman" w:cs="Times New Roman"/>
        </w:rPr>
        <w:t>Juiz eleitoral do TRE-ES (biênios 2016-18 e 2018-20). Mestre em Direito Processual Civil pela UFES</w:t>
      </w:r>
      <w:r>
        <w:rPr>
          <w:rFonts w:ascii="Times New Roman" w:hAnsi="Times New Roman" w:cs="Times New Roman"/>
        </w:rPr>
        <w:t>. E-mail: aacoutinho@gmail.com</w:t>
      </w:r>
    </w:p>
  </w:footnote>
  <w:footnote w:id="2">
    <w:p w:rsidR="007C4729" w:rsidRPr="001D7199" w:rsidRDefault="007C4729" w:rsidP="007C4729">
      <w:pPr>
        <w:pStyle w:val="Textodenotaderodap"/>
        <w:jc w:val="both"/>
        <w:rPr>
          <w:rFonts w:ascii="Times New Roman" w:hAnsi="Times New Roman" w:cs="Times New Roman"/>
        </w:rPr>
      </w:pPr>
      <w:r w:rsidRPr="001D7199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1D7199">
        <w:rPr>
          <w:rFonts w:ascii="Times New Roman" w:hAnsi="Times New Roman" w:cs="Times New Roman"/>
          <w:color w:val="000000" w:themeColor="text1"/>
        </w:rPr>
        <w:t xml:space="preserve">  Pós-graduando em Direito Internacional e Direitos Humanos pela PUC/MG. Bacharel em Direito pelo Centro Universitário Salesiano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1D7199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1" w:history="1">
        <w:r w:rsidRPr="007B3BA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laerciojorge2019@outlook.com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D1"/>
    <w:rsid w:val="00002A34"/>
    <w:rsid w:val="000318CD"/>
    <w:rsid w:val="001C3DD1"/>
    <w:rsid w:val="0042529B"/>
    <w:rsid w:val="004F35C4"/>
    <w:rsid w:val="00505438"/>
    <w:rsid w:val="007B3BAC"/>
    <w:rsid w:val="007C4729"/>
    <w:rsid w:val="008308D2"/>
    <w:rsid w:val="00901BCA"/>
    <w:rsid w:val="009D1752"/>
    <w:rsid w:val="00A55FE8"/>
    <w:rsid w:val="00AF2583"/>
    <w:rsid w:val="00B307B0"/>
    <w:rsid w:val="00BA3528"/>
    <w:rsid w:val="00F076DF"/>
    <w:rsid w:val="00F1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D1"/>
    <w:pPr>
      <w:spacing w:after="12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4729"/>
    <w:pPr>
      <w:spacing w:after="0" w:line="240" w:lineRule="auto"/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47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472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C472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8308D2"/>
    <w:rPr>
      <w:b/>
      <w:bCs/>
    </w:rPr>
  </w:style>
  <w:style w:type="paragraph" w:customStyle="1" w:styleId="Default">
    <w:name w:val="Default"/>
    <w:rsid w:val="00830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A5"/>
    <w:uiPriority w:val="99"/>
    <w:rsid w:val="008308D2"/>
    <w:rPr>
      <w:rFonts w:cs="Palatino Linotype"/>
      <w:color w:val="000000"/>
      <w:sz w:val="21"/>
      <w:szCs w:val="21"/>
    </w:rPr>
  </w:style>
  <w:style w:type="character" w:customStyle="1" w:styleId="A7">
    <w:name w:val="A7"/>
    <w:uiPriority w:val="99"/>
    <w:rsid w:val="008308D2"/>
    <w:rPr>
      <w:rFonts w:cs="Minion Pro"/>
      <w:i/>
      <w:iCs/>
      <w:color w:val="000000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D1"/>
    <w:pPr>
      <w:spacing w:after="12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4729"/>
    <w:pPr>
      <w:spacing w:after="0" w:line="240" w:lineRule="auto"/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47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472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C472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8308D2"/>
    <w:rPr>
      <w:b/>
      <w:bCs/>
    </w:rPr>
  </w:style>
  <w:style w:type="paragraph" w:customStyle="1" w:styleId="Default">
    <w:name w:val="Default"/>
    <w:rsid w:val="00830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A5"/>
    <w:uiPriority w:val="99"/>
    <w:rsid w:val="008308D2"/>
    <w:rPr>
      <w:rFonts w:cs="Palatino Linotype"/>
      <w:color w:val="000000"/>
      <w:sz w:val="21"/>
      <w:szCs w:val="21"/>
    </w:rPr>
  </w:style>
  <w:style w:type="character" w:customStyle="1" w:styleId="A7">
    <w:name w:val="A7"/>
    <w:uiPriority w:val="99"/>
    <w:rsid w:val="008308D2"/>
    <w:rPr>
      <w:rFonts w:cs="Minion Pro"/>
      <w:i/>
      <w:iCs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f.jus.br/PORTAL/cms/verNoticiaDetalhe.asp?idConteudo=205890" TargetMode="External"/><Relationship Id="rId13" Type="http://schemas.openxmlformats.org/officeDocument/2006/relationships/hyperlink" Target="http://redir.stf.jus.br/paginadorpub/paginador.jsp?docTP=AC&amp;docID=6129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12239189_Bloco_de_Constitucionalidade_e_Controle_de_Convencionalidade_Reforcando_a_Protecao_dos_Direitos_Humanos_no_Brasil" TargetMode="External"/><Relationship Id="rId12" Type="http://schemas.openxmlformats.org/officeDocument/2006/relationships/hyperlink" Target="http://www.stf.jus.br/arquivo/informativo/documento/informativo258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sdc.com.br/RBDC/RBDC-19/RBDC-19-067-Artigo_Flavia_Piovesan_(Direitos_Humanos_e_Dialogo_entre_Jurisdicoes)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f.jus.br/portal/constituicao/artigo.asp?item=1079&amp;tipo=CJ&amp;termo=37" TargetMode="External"/><Relationship Id="rId10" Type="http://schemas.openxmlformats.org/officeDocument/2006/relationships/hyperlink" Target="https://periodicos.unicesumar.edu.br/index.php/revjuridica/article/view/6947/3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essor.pucgoias.edu.br/SiteDocente/admin/arquivosUpload/11193/material/Controle_Convencionalidade_V_Mazzuoli.pdf" TargetMode="External"/><Relationship Id="rId14" Type="http://schemas.openxmlformats.org/officeDocument/2006/relationships/hyperlink" Target="http://www.stf.jus.br/portal/constituicao/artigo.asp?item=784&amp;tipo=CJ&amp;termo=3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aerciojorge2019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3111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2021-11-17T18:45:00Z</dcterms:created>
  <dcterms:modified xsi:type="dcterms:W3CDTF">2021-11-17T18:45:00Z</dcterms:modified>
</cp:coreProperties>
</file>