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drawing>
          <wp:anchor distT="0" distB="0" distL="0" distR="0" simplePos="0" relativeHeight="251659264" behindDoc="0" locked="0" layoutInCell="1" allowOverlap="1">
            <wp:simplePos x="0" y="0"/>
            <wp:positionH relativeFrom="page">
              <wp:posOffset>0</wp:posOffset>
            </wp:positionH>
            <wp:positionV relativeFrom="page">
              <wp:posOffset>9525</wp:posOffset>
            </wp:positionV>
            <wp:extent cx="7736205" cy="1082675"/>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1" name="image2.png"/>
                    <pic:cNvPicPr preferRelativeResize="0"/>
                  </pic:nvPicPr>
                  <pic:blipFill>
                    <a:blip r:embed="rId6"/>
                    <a:srcRect/>
                    <a:stretch>
                      <a:fillRect/>
                    </a:stretch>
                  </pic:blipFill>
                  <pic:spPr>
                    <a:xfrm>
                      <a:off x="0" y="0"/>
                      <a:ext cx="7736422" cy="1082904"/>
                    </a:xfrm>
                    <a:prstGeom prst="rect">
                      <a:avLst/>
                    </a:prstGeom>
                  </pic:spPr>
                </pic:pic>
              </a:graphicData>
            </a:graphic>
          </wp:anchor>
        </w:drawing>
      </w:r>
    </w:p>
    <w:p w14:paraId="00000002">
      <w:pPr>
        <w:pStyle w:val="10"/>
        <w:ind w:firstLine="75"/>
      </w:pPr>
      <w:r>
        <w:rPr>
          <w:rtl w:val="0"/>
        </w:rPr>
        <w:t>IMPORTÂNCIA DOS REMANESCENTES DE CAMPOS DE ALTITUDE NO PERÍMETRO URBANO DE POÇOS DE CALDAS (MG) NA CONSERVAÇÃO DE ESPÉCIES AMEAÇADAS DE EXTINÇÃO</w:t>
      </w:r>
    </w:p>
    <w:p w14:paraId="00000003">
      <w:pPr>
        <w:pStyle w:val="2"/>
        <w:spacing w:before="251" w:line="242" w:lineRule="auto"/>
        <w:ind w:left="75" w:right="214" w:firstLine="0"/>
        <w:jc w:val="center"/>
      </w:pPr>
      <w:bookmarkStart w:id="0" w:name="bookmark=id.hm9h9ahi12we" w:colFirst="0" w:colLast="0"/>
      <w:bookmarkEnd w:id="0"/>
      <w:r>
        <w:rPr>
          <w:sz w:val="24"/>
          <w:szCs w:val="24"/>
          <w:vertAlign w:val="superscript"/>
          <w:rtl w:val="0"/>
        </w:rPr>
        <w:t>1</w:t>
      </w:r>
      <w:r>
        <w:rPr>
          <w:sz w:val="24"/>
          <w:szCs w:val="24"/>
          <w:rtl w:val="0"/>
        </w:rPr>
        <w:t xml:space="preserve">Jerônimo Schultz da Silva, </w:t>
      </w:r>
      <w:r>
        <w:rPr>
          <w:sz w:val="24"/>
          <w:szCs w:val="24"/>
          <w:vertAlign w:val="superscript"/>
          <w:rtl w:val="0"/>
        </w:rPr>
        <w:t>2</w:t>
      </w:r>
      <w:r>
        <w:rPr>
          <w:sz w:val="24"/>
          <w:szCs w:val="24"/>
          <w:rtl w:val="0"/>
        </w:rPr>
        <w:t xml:space="preserve">Angela Liberali Pinheiro, </w:t>
      </w:r>
      <w:r>
        <w:rPr>
          <w:sz w:val="24"/>
          <w:szCs w:val="24"/>
          <w:vertAlign w:val="superscript"/>
          <w:rtl w:val="0"/>
        </w:rPr>
        <w:t>3</w:t>
      </w:r>
      <w:r>
        <w:rPr>
          <w:sz w:val="24"/>
          <w:szCs w:val="24"/>
          <w:rtl w:val="0"/>
        </w:rPr>
        <w:t xml:space="preserve">Daniela Divina Nascimento,  </w:t>
      </w:r>
      <w:r>
        <w:rPr>
          <w:sz w:val="24"/>
          <w:szCs w:val="24"/>
          <w:vertAlign w:val="superscript"/>
          <w:rtl w:val="0"/>
        </w:rPr>
        <w:t>4</w:t>
      </w:r>
      <w:r>
        <w:rPr>
          <w:sz w:val="24"/>
          <w:szCs w:val="24"/>
          <w:rtl w:val="0"/>
        </w:rPr>
        <w:t xml:space="preserve">Victor Navarro da Silva, </w:t>
      </w:r>
      <w:r>
        <w:rPr>
          <w:sz w:val="24"/>
          <w:szCs w:val="24"/>
          <w:vertAlign w:val="superscript"/>
          <w:rtl w:val="0"/>
        </w:rPr>
        <w:t>5</w:t>
      </w:r>
      <w:r>
        <w:rPr>
          <w:sz w:val="24"/>
          <w:szCs w:val="24"/>
          <w:rtl w:val="0"/>
        </w:rPr>
        <w:t>Luciana Botezelli</w:t>
      </w:r>
    </w:p>
    <w:p w14:paraId="00000004">
      <w:pPr>
        <w:pStyle w:val="2"/>
        <w:spacing w:before="0" w:line="242" w:lineRule="auto"/>
        <w:ind w:left="75" w:right="214" w:firstLine="0"/>
        <w:rPr>
          <w:b w:val="0"/>
          <w:bCs w:val="0"/>
          <w:sz w:val="20"/>
          <w:szCs w:val="20"/>
        </w:rPr>
      </w:pPr>
      <w:r>
        <w:rPr>
          <w:b w:val="0"/>
          <w:bCs w:val="0"/>
          <w:sz w:val="20"/>
          <w:szCs w:val="20"/>
          <w:rtl w:val="0"/>
        </w:rPr>
        <w:t xml:space="preserve">¹Engenheiro Florestal (UNESP), mestrando no PPGCA/UNIFAL, Analista Ambiental da FJBPC e curador Herbário AFR. E-mail: </w:t>
      </w:r>
      <w:r>
        <w:fldChar w:fldCharType="begin"/>
      </w:r>
      <w:r>
        <w:instrText xml:space="preserve"> HYPERLINK "mailto:jeronimo.silva@sou.unifal-mg.edu.br" \h </w:instrText>
      </w:r>
      <w:r>
        <w:fldChar w:fldCharType="separate"/>
      </w:r>
      <w:r>
        <w:rPr>
          <w:b w:val="0"/>
          <w:bCs w:val="0"/>
          <w:color w:val="1155CC"/>
          <w:sz w:val="20"/>
          <w:szCs w:val="20"/>
          <w:u w:val="single"/>
          <w:rtl w:val="0"/>
        </w:rPr>
        <w:t>jeronimo</w:t>
      </w:r>
      <w:r>
        <w:rPr>
          <w:rFonts w:hint="default"/>
          <w:b w:val="0"/>
          <w:bCs w:val="0"/>
          <w:color w:val="1155CC"/>
          <w:sz w:val="20"/>
          <w:szCs w:val="20"/>
          <w:u w:val="single"/>
          <w:rtl w:val="0"/>
          <w:lang w:val="pt-BR"/>
        </w:rPr>
        <w:t>s</w:t>
      </w:r>
      <w:r>
        <w:rPr>
          <w:b w:val="0"/>
          <w:bCs w:val="0"/>
          <w:color w:val="1155CC"/>
          <w:sz w:val="20"/>
          <w:szCs w:val="20"/>
          <w:u w:val="single"/>
          <w:rtl w:val="0"/>
        </w:rPr>
        <w:fldChar w:fldCharType="end"/>
      </w:r>
      <w:r>
        <w:rPr>
          <w:rFonts w:hint="default"/>
          <w:b w:val="0"/>
          <w:bCs w:val="0"/>
          <w:color w:val="1155CC"/>
          <w:sz w:val="20"/>
          <w:szCs w:val="20"/>
          <w:u w:val="single"/>
          <w:rtl w:val="0"/>
          <w:lang w:val="pt-BR"/>
        </w:rPr>
        <w:t>chultzs@gmail.com</w:t>
      </w:r>
      <w:r>
        <w:rPr>
          <w:b w:val="0"/>
          <w:bCs w:val="0"/>
          <w:sz w:val="20"/>
          <w:szCs w:val="20"/>
          <w:rtl w:val="0"/>
        </w:rPr>
        <w:t xml:space="preserve">; ²Bióloga (UNESP), mestra em Ciências Ambientais (UNIFAL) e Diretora Técnica Científica da FJBPC. E-mail: </w:t>
      </w:r>
      <w:r>
        <w:fldChar w:fldCharType="begin"/>
      </w:r>
      <w:r>
        <w:instrText xml:space="preserve"> HYPERLINK "mailto:angela.pinheiro@sou.unifal-mg.edu.br" \h </w:instrText>
      </w:r>
      <w:r>
        <w:fldChar w:fldCharType="separate"/>
      </w:r>
      <w:r>
        <w:rPr>
          <w:b w:val="0"/>
          <w:bCs w:val="0"/>
          <w:color w:val="1155CC"/>
          <w:sz w:val="20"/>
          <w:szCs w:val="20"/>
          <w:u w:val="single"/>
          <w:rtl w:val="0"/>
        </w:rPr>
        <w:t>angela.pinheiro@sou.unifal-mg.edu.br</w:t>
      </w:r>
      <w:r>
        <w:rPr>
          <w:b w:val="0"/>
          <w:bCs w:val="0"/>
          <w:color w:val="1155CC"/>
          <w:sz w:val="20"/>
          <w:szCs w:val="20"/>
          <w:u w:val="single"/>
          <w:rtl w:val="0"/>
        </w:rPr>
        <w:fldChar w:fldCharType="end"/>
      </w:r>
      <w:r>
        <w:rPr>
          <w:b w:val="0"/>
          <w:bCs w:val="0"/>
          <w:sz w:val="20"/>
          <w:szCs w:val="20"/>
          <w:rtl w:val="0"/>
        </w:rPr>
        <w:t xml:space="preserve">; ³Engenheira Ambiental (UNIFAL) e Analista Ambiental da FJBPC. E-mail: </w:t>
      </w:r>
      <w:r>
        <w:fldChar w:fldCharType="begin"/>
      </w:r>
      <w:r>
        <w:instrText xml:space="preserve"> HYPERLINK "mailto:danieladdnascimento@gmail.com" \h </w:instrText>
      </w:r>
      <w:r>
        <w:fldChar w:fldCharType="separate"/>
      </w:r>
      <w:r>
        <w:rPr>
          <w:b w:val="0"/>
          <w:bCs w:val="0"/>
          <w:color w:val="1155CC"/>
          <w:sz w:val="20"/>
          <w:szCs w:val="20"/>
          <w:u w:val="single"/>
          <w:rtl w:val="0"/>
        </w:rPr>
        <w:t>danieladdnascimento@gmail.com</w:t>
      </w:r>
      <w:r>
        <w:rPr>
          <w:b w:val="0"/>
          <w:bCs w:val="0"/>
          <w:color w:val="1155CC"/>
          <w:sz w:val="20"/>
          <w:szCs w:val="20"/>
          <w:u w:val="single"/>
          <w:rtl w:val="0"/>
        </w:rPr>
        <w:fldChar w:fldCharType="end"/>
      </w:r>
      <w:r>
        <w:rPr>
          <w:b w:val="0"/>
          <w:bCs w:val="0"/>
          <w:sz w:val="20"/>
          <w:szCs w:val="20"/>
          <w:rtl w:val="0"/>
        </w:rPr>
        <w:t xml:space="preserve">; ⁴Biólogo (UNESP), mestre em Fisiologia Vegetal (UFLA) e Biólogo no Lab. de Manejo Vegetal e Cultivo </w:t>
      </w:r>
      <w:r>
        <w:rPr>
          <w:b w:val="0"/>
          <w:bCs w:val="0"/>
          <w:i/>
          <w:iCs/>
          <w:sz w:val="20"/>
          <w:szCs w:val="20"/>
          <w:rtl w:val="0"/>
        </w:rPr>
        <w:t>in vitro</w:t>
      </w:r>
      <w:r>
        <w:rPr>
          <w:b w:val="0"/>
          <w:bCs w:val="0"/>
          <w:sz w:val="20"/>
          <w:szCs w:val="20"/>
          <w:rtl w:val="0"/>
        </w:rPr>
        <w:t xml:space="preserve"> da FJBPC. E-mail: </w:t>
      </w:r>
      <w:r>
        <w:fldChar w:fldCharType="begin"/>
      </w:r>
      <w:r>
        <w:instrText xml:space="preserve"> HYPERLINK "mailto:vicktor.navarro.2627@gmail.com" \h </w:instrText>
      </w:r>
      <w:r>
        <w:fldChar w:fldCharType="separate"/>
      </w:r>
      <w:r>
        <w:rPr>
          <w:b w:val="0"/>
          <w:bCs w:val="0"/>
          <w:color w:val="1155CC"/>
          <w:sz w:val="20"/>
          <w:szCs w:val="20"/>
          <w:u w:val="single"/>
          <w:rtl w:val="0"/>
        </w:rPr>
        <w:t>vicktor.navarro.2627@gmail.com</w:t>
      </w:r>
      <w:r>
        <w:rPr>
          <w:b w:val="0"/>
          <w:bCs w:val="0"/>
          <w:color w:val="1155CC"/>
          <w:sz w:val="20"/>
          <w:szCs w:val="20"/>
          <w:u w:val="single"/>
          <w:rtl w:val="0"/>
        </w:rPr>
        <w:fldChar w:fldCharType="end"/>
      </w:r>
      <w:r>
        <w:rPr>
          <w:b w:val="0"/>
          <w:bCs w:val="0"/>
          <w:sz w:val="20"/>
          <w:szCs w:val="20"/>
          <w:rtl w:val="0"/>
        </w:rPr>
        <w:t xml:space="preserve">; </w:t>
      </w:r>
    </w:p>
    <w:p w14:paraId="00000005">
      <w:pPr>
        <w:pStyle w:val="2"/>
        <w:spacing w:before="0" w:line="242" w:lineRule="auto"/>
        <w:ind w:left="75" w:right="214" w:firstLine="0"/>
        <w:rPr>
          <w:b w:val="0"/>
          <w:bCs w:val="0"/>
        </w:rPr>
      </w:pPr>
      <w:r>
        <w:rPr>
          <w:b w:val="0"/>
          <w:bCs w:val="0"/>
          <w:sz w:val="20"/>
          <w:szCs w:val="20"/>
          <w:rtl w:val="0"/>
        </w:rPr>
        <w:t>⁵Engenheira Florestal, doutora em Ciências Florestais (UFLA), Professora e Membra do PPGCA/UNIFAL. E-mail:</w:t>
      </w:r>
      <w:bookmarkStart w:id="1" w:name="_GoBack"/>
      <w:r>
        <w:rPr>
          <w:b w:val="0"/>
          <w:bCs w:val="0"/>
          <w:sz w:val="20"/>
          <w:szCs w:val="20"/>
          <w:rtl w:val="0"/>
        </w:rPr>
        <w:t xml:space="preserve"> luciana.botezelli@unifal-mg.edu.br</w:t>
      </w:r>
      <w:bookmarkEnd w:id="1"/>
    </w:p>
    <w:p w14:paraId="00000006">
      <w:pPr>
        <w:pStyle w:val="2"/>
        <w:spacing w:before="0" w:line="242" w:lineRule="auto"/>
        <w:ind w:left="75" w:right="214" w:firstLine="0"/>
        <w:jc w:val="left"/>
        <w:rPr>
          <w:i/>
          <w:iCs/>
          <w:sz w:val="24"/>
          <w:szCs w:val="24"/>
        </w:rPr>
      </w:pPr>
    </w:p>
    <w:p w14:paraId="00000007">
      <w:pPr>
        <w:spacing w:line="228" w:lineRule="auto"/>
        <w:ind w:left="77" w:right="209" w:firstLine="0"/>
        <w:jc w:val="right"/>
        <w:rPr>
          <w:b/>
          <w:bCs/>
          <w:i/>
          <w:iCs/>
          <w:sz w:val="24"/>
          <w:szCs w:val="24"/>
        </w:rPr>
      </w:pPr>
      <w:r>
        <w:rPr>
          <w:b/>
          <w:bCs/>
          <w:i/>
          <w:iCs/>
          <w:sz w:val="24"/>
          <w:szCs w:val="24"/>
          <w:rtl w:val="0"/>
        </w:rPr>
        <w:t xml:space="preserve">Grupo 2: </w:t>
      </w:r>
    </w:p>
    <w:p w14:paraId="00000008">
      <w:pPr>
        <w:spacing w:line="228" w:lineRule="auto"/>
        <w:ind w:left="77" w:right="209" w:firstLine="0"/>
        <w:jc w:val="right"/>
        <w:rPr>
          <w:b/>
          <w:bCs/>
          <w:i/>
          <w:iCs/>
          <w:sz w:val="24"/>
          <w:szCs w:val="24"/>
        </w:rPr>
      </w:pPr>
      <w:r>
        <w:rPr>
          <w:b/>
          <w:bCs/>
          <w:i/>
          <w:iCs/>
          <w:sz w:val="24"/>
          <w:szCs w:val="24"/>
          <w:rtl w:val="0"/>
        </w:rPr>
        <w:t>Biodiversidade e Preservação</w:t>
      </w:r>
    </w:p>
    <w:p w14:paraId="00000009">
      <w:pPr>
        <w:spacing w:line="228" w:lineRule="auto"/>
        <w:ind w:left="77" w:right="209" w:firstLine="0"/>
        <w:jc w:val="right"/>
        <w:rPr>
          <w:b/>
          <w:bCs/>
          <w:i/>
          <w:iCs/>
          <w:sz w:val="24"/>
          <w:szCs w:val="24"/>
        </w:rPr>
      </w:pPr>
    </w:p>
    <w:p w14:paraId="0000000A">
      <w:pPr>
        <w:spacing w:line="228" w:lineRule="auto"/>
        <w:ind w:left="77" w:right="209" w:firstLine="0"/>
        <w:jc w:val="center"/>
        <w:rPr>
          <w:i/>
          <w:iCs/>
          <w:sz w:val="24"/>
          <w:szCs w:val="24"/>
        </w:rPr>
      </w:pPr>
    </w:p>
    <w:p w14:paraId="0000000B">
      <w:pPr>
        <w:spacing w:line="228" w:lineRule="auto"/>
        <w:ind w:left="77" w:right="209" w:firstLine="0"/>
        <w:jc w:val="center"/>
        <w:rPr>
          <w:b/>
          <w:bCs/>
          <w:sz w:val="28"/>
          <w:szCs w:val="28"/>
        </w:rPr>
      </w:pPr>
      <w:r>
        <w:rPr>
          <w:b/>
          <w:bCs/>
          <w:sz w:val="28"/>
          <w:szCs w:val="28"/>
          <w:rtl w:val="0"/>
        </w:rPr>
        <w:t>Resumo</w:t>
      </w:r>
    </w:p>
    <w:p w14:paraId="0000000C">
      <w:pPr>
        <w:spacing w:line="228" w:lineRule="auto"/>
        <w:ind w:left="0" w:right="209" w:firstLine="0"/>
        <w:jc w:val="both"/>
        <w:rPr>
          <w:sz w:val="24"/>
          <w:szCs w:val="24"/>
        </w:rPr>
      </w:pPr>
    </w:p>
    <w:p w14:paraId="0000000D">
      <w:pPr>
        <w:ind w:left="0" w:right="209" w:firstLine="0"/>
        <w:jc w:val="both"/>
        <w:rPr>
          <w:rFonts w:hint="default"/>
          <w:sz w:val="24"/>
          <w:szCs w:val="24"/>
          <w:lang w:val="pt-BR"/>
        </w:rPr>
      </w:pPr>
      <w:r>
        <w:rPr>
          <w:sz w:val="24"/>
          <w:szCs w:val="24"/>
          <w:rtl w:val="0"/>
        </w:rPr>
        <w:t>Os campos de altitude constituem fitofisionomias campestres inseridas no domínio da Mata Atlântica, caracterizando-se por elevada riqueza específica e altos níveis de endemismo, encontrando-se sob intensa pressão antrópica. O presente estudo analisou a distribuição espacial de espécies ameaçadas de extinção em remanescentes intraurbanos de Poços de Caldas (MG), identificando os impactos da antropização e delimitando áreas prioritárias para conservação. Foram utilizados dados do Herbário AFR, plataformas virtuais (</w:t>
      </w:r>
      <w:r>
        <w:rPr>
          <w:i/>
          <w:iCs/>
          <w:sz w:val="24"/>
          <w:szCs w:val="24"/>
          <w:rtl w:val="0"/>
        </w:rPr>
        <w:t>species</w:t>
      </w:r>
      <w:r>
        <w:rPr>
          <w:sz w:val="24"/>
          <w:szCs w:val="24"/>
          <w:rtl w:val="0"/>
        </w:rPr>
        <w:t>Link e Jabot) e monitoramentos da Fundação Jardim Botânico de Poços de Caldas</w:t>
      </w:r>
      <w:r>
        <w:rPr>
          <w:rFonts w:hint="default"/>
          <w:sz w:val="24"/>
          <w:szCs w:val="24"/>
          <w:rtl w:val="0"/>
          <w:lang w:val="pt-BR"/>
        </w:rPr>
        <w:t xml:space="preserve"> (FJBPC)</w:t>
      </w:r>
      <w:r>
        <w:rPr>
          <w:sz w:val="24"/>
          <w:szCs w:val="24"/>
          <w:rtl w:val="0"/>
        </w:rPr>
        <w:t>. Dentre 47 registros analisados, identificaram-se 13 espécies ameaçadas, das quais 10 são endêmicas do Brasil e três exclusivas do estado de Minas Gerais. Os principais vetores de pressão sobre essas áreas incluem a especulação imobiliária, mineração, silvicultura e o avanço de espécies exóticas invasoras. Diante desse cenário, torna-se imprescindível a criação de áreas de proteção efetiva para essa formação vegetacional singular</w:t>
      </w:r>
      <w:r>
        <w:rPr>
          <w:rFonts w:hint="default"/>
          <w:sz w:val="24"/>
          <w:szCs w:val="24"/>
          <w:rtl w:val="0"/>
          <w:lang w:val="pt-BR"/>
        </w:rPr>
        <w:t>.</w:t>
      </w:r>
    </w:p>
    <w:p w14:paraId="0000000E">
      <w:pPr>
        <w:jc w:val="both"/>
        <w:rPr>
          <w:b/>
          <w:bCs/>
          <w:sz w:val="24"/>
          <w:szCs w:val="24"/>
        </w:rPr>
      </w:pPr>
    </w:p>
    <w:p w14:paraId="0000000F">
      <w:pPr>
        <w:jc w:val="both"/>
        <w:rPr>
          <w:sz w:val="24"/>
          <w:szCs w:val="24"/>
        </w:rPr>
      </w:pPr>
      <w:r>
        <w:rPr>
          <w:b/>
          <w:bCs/>
          <w:sz w:val="24"/>
          <w:szCs w:val="24"/>
          <w:rtl w:val="0"/>
        </w:rPr>
        <w:t xml:space="preserve">Palavras-chave: </w:t>
      </w:r>
      <w:r>
        <w:rPr>
          <w:sz w:val="24"/>
          <w:szCs w:val="24"/>
          <w:rtl w:val="0"/>
        </w:rPr>
        <w:t>Impactos antrópicos; formações campestres; listas vermelhas; Mata Atlântica; monitoramento ambiental.</w:t>
      </w:r>
    </w:p>
    <w:p w14:paraId="00000010">
      <w:pPr>
        <w:jc w:val="both"/>
        <w:rPr>
          <w:sz w:val="28"/>
          <w:szCs w:val="28"/>
        </w:rPr>
      </w:pPr>
    </w:p>
    <w:p w14:paraId="00000011">
      <w:pPr>
        <w:jc w:val="both"/>
        <w:rPr>
          <w:b/>
          <w:bCs/>
          <w:sz w:val="28"/>
          <w:szCs w:val="28"/>
        </w:rPr>
      </w:pPr>
      <w:r>
        <w:rPr>
          <w:b/>
          <w:bCs/>
          <w:sz w:val="28"/>
          <w:szCs w:val="28"/>
          <w:rtl w:val="0"/>
        </w:rPr>
        <w:t>Introdução</w:t>
      </w:r>
    </w:p>
    <w:p w14:paraId="0000001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360" w:lineRule="auto"/>
        <w:ind w:left="0" w:right="0" w:firstLine="72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p>
    <w:p w14:paraId="6F6B382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360" w:lineRule="auto"/>
        <w:ind w:left="0" w:right="0" w:firstLine="720"/>
        <w:jc w:val="both"/>
        <w:rPr>
          <w:sz w:val="24"/>
          <w:szCs w:val="24"/>
          <w:rtl w:val="0"/>
        </w:rPr>
      </w:pPr>
      <w:r>
        <w:rPr>
          <w:sz w:val="24"/>
          <w:szCs w:val="24"/>
          <w:rtl w:val="0"/>
        </w:rPr>
        <w:t xml:space="preserve">Os campos de altitude são ecossistemas campestres  associados ao domínio da Mata Atlântica, geralmente localizados em áreas montanas e planálticas, reconhecidos por sua elevada riqueza florística, ocorrência de espécies endêmicas e vulnerabilidade a processos de degradação (Pinheiro </w:t>
      </w:r>
      <w:r>
        <w:rPr>
          <w:i/>
          <w:iCs/>
          <w:sz w:val="24"/>
          <w:szCs w:val="24"/>
          <w:rtl w:val="0"/>
        </w:rPr>
        <w:t>et al.</w:t>
      </w:r>
      <w:r>
        <w:rPr>
          <w:sz w:val="24"/>
          <w:szCs w:val="24"/>
          <w:rtl w:val="0"/>
        </w:rPr>
        <w:t xml:space="preserve">, 2023). No município de Poços de Caldas (MG), esses remanescentes persistem inclusive no perímetro urbano, formando ilhas de vegetação nativa submetidas a pressões crescentes, que indicam a expansão imobiliária, mineração, silvicultura, espécies exóticas e usos antrópicos incompatíveis com a conservação. Silva </w:t>
      </w:r>
      <w:r>
        <w:rPr>
          <w:i/>
          <w:iCs/>
          <w:sz w:val="24"/>
          <w:szCs w:val="24"/>
          <w:rtl w:val="0"/>
        </w:rPr>
        <w:t xml:space="preserve">et al. </w:t>
      </w:r>
      <w:r>
        <w:rPr>
          <w:sz w:val="24"/>
          <w:szCs w:val="24"/>
          <w:rtl w:val="0"/>
        </w:rPr>
        <w:t xml:space="preserve">(2025a) realizaram o mapeamento desses ambientes com acurácia superior a 95%, classificando-os como "hotspots intrabioma" por abrigarem comunidades especializadas de plantas, aves, mamíferos, anfíbios e répteis.  </w:t>
      </w:r>
    </w:p>
    <w:p w14:paraId="0000001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360" w:lineRule="auto"/>
        <w:ind w:left="0" w:right="0" w:firstLine="720"/>
        <w:jc w:val="both"/>
        <w:rPr>
          <w:sz w:val="24"/>
          <w:szCs w:val="24"/>
        </w:rPr>
      </w:pPr>
      <w:r>
        <w:rPr>
          <w:rFonts w:hint="default"/>
          <w:sz w:val="24"/>
          <w:szCs w:val="24"/>
          <w:rtl w:val="0"/>
          <w:lang w:val="pt-BR"/>
        </w:rPr>
        <w:t xml:space="preserve">A FJBPC, ao longo de mais de 15 anos, pesquisa e monitora os campos de altitude. Constata-se que, apesar de seu inquestionável valor ecológico, tais ambientes permanecem negligenciados nos instrumentos de ordenamento territorial, circunstância que acentua a fragilidade desses ecossistemas frente a processos de supressão vegetal e à extinção local de táxons ameaçados. </w:t>
      </w:r>
      <w:r>
        <w:rPr>
          <w:sz w:val="24"/>
          <w:szCs w:val="24"/>
          <w:rtl w:val="0"/>
        </w:rPr>
        <w:t xml:space="preserve">Registros provenientes de herbários, plataformas virtuais e monitoramentos de campo constituem fontes fundamentais para identificar a ocorrência dessas espécies e orientar medidas de conservação (Moraes </w:t>
      </w:r>
      <w:r>
        <w:rPr>
          <w:i/>
          <w:iCs/>
          <w:sz w:val="24"/>
          <w:szCs w:val="24"/>
          <w:rtl w:val="0"/>
        </w:rPr>
        <w:t>et al.</w:t>
      </w:r>
      <w:r>
        <w:rPr>
          <w:sz w:val="24"/>
          <w:szCs w:val="24"/>
          <w:rtl w:val="0"/>
        </w:rPr>
        <w:t xml:space="preserve">, 2014). </w:t>
      </w:r>
    </w:p>
    <w:p w14:paraId="0000001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360" w:lineRule="auto"/>
        <w:ind w:left="0" w:right="0" w:firstLine="720"/>
        <w:jc w:val="both"/>
        <w:rPr>
          <w:sz w:val="24"/>
          <w:szCs w:val="24"/>
        </w:rPr>
      </w:pPr>
      <w:r>
        <w:rPr>
          <w:sz w:val="24"/>
          <w:szCs w:val="24"/>
          <w:rtl w:val="0"/>
        </w:rPr>
        <w:t xml:space="preserve">Diante do exposto, este estudo teve como objetivo analisar a distribuição espacial das espécies ameaçadas de extinção associadas aos remanescentes intraurbanos de campo de altitude em  Poços de Caldas (MG), identificando áreas com maior concentração de registros e  para definição de áreas prioritárias de conservação. </w:t>
      </w:r>
    </w:p>
    <w:p w14:paraId="0000001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360" w:lineRule="auto"/>
        <w:ind w:left="0" w:right="0" w:firstLine="720"/>
        <w:jc w:val="both"/>
        <w:rPr>
          <w:sz w:val="24"/>
          <w:szCs w:val="24"/>
        </w:rPr>
      </w:pPr>
    </w:p>
    <w:p w14:paraId="0000001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360" w:lineRule="auto"/>
        <w:ind w:left="0" w:right="0" w:firstLine="0"/>
        <w:jc w:val="both"/>
        <w:rPr>
          <w:rFonts w:ascii="Times New Roman" w:hAnsi="Times New Roman" w:eastAsia="Times New Roman" w:cs="Times New Roman"/>
          <w:b/>
          <w:bCs/>
          <w:i w:val="0"/>
          <w:iCs w:val="0"/>
          <w:smallCaps w:val="0"/>
          <w:strike w:val="0"/>
          <w:color w:val="000000"/>
          <w:sz w:val="28"/>
          <w:szCs w:val="28"/>
          <w:u w:val="none"/>
          <w:shd w:val="clear" w:fill="auto"/>
          <w:vertAlign w:val="baseline"/>
        </w:rPr>
      </w:pPr>
      <w:r>
        <w:rPr>
          <w:rFonts w:ascii="Times New Roman" w:hAnsi="Times New Roman" w:eastAsia="Times New Roman" w:cs="Times New Roman"/>
          <w:b/>
          <w:bCs/>
          <w:i w:val="0"/>
          <w:iCs w:val="0"/>
          <w:smallCaps w:val="0"/>
          <w:strike w:val="0"/>
          <w:color w:val="000000"/>
          <w:sz w:val="28"/>
          <w:szCs w:val="28"/>
          <w:u w:val="none"/>
          <w:shd w:val="clear" w:fill="auto"/>
          <w:vertAlign w:val="baseline"/>
          <w:rtl w:val="0"/>
        </w:rPr>
        <w:t>Metodologia</w:t>
      </w:r>
    </w:p>
    <w:p w14:paraId="47A96770">
      <w:pPr>
        <w:spacing w:before="1" w:line="360" w:lineRule="auto"/>
        <w:ind w:firstLine="720"/>
        <w:jc w:val="both"/>
        <w:rPr>
          <w:sz w:val="24"/>
          <w:szCs w:val="24"/>
          <w:rtl w:val="0"/>
        </w:rPr>
      </w:pPr>
      <w:r>
        <w:rPr>
          <w:sz w:val="24"/>
          <w:szCs w:val="24"/>
          <w:rtl w:val="0"/>
        </w:rPr>
        <w:t xml:space="preserve">O estudo foi conduzido a partir da sistematização de registros de espécies ameaçadas associadas aos campos de altitude do perímetro urbano de Poços de Caldas (MG). Foram consultados dados do Herbário Anders Fredrik Regnell (AFR), da Fundação Jardim Botânico de Poços de Caldas, além das plataformas </w:t>
      </w:r>
      <w:r>
        <w:rPr>
          <w:i/>
          <w:iCs/>
          <w:sz w:val="24"/>
          <w:szCs w:val="24"/>
          <w:rtl w:val="0"/>
        </w:rPr>
        <w:t>species</w:t>
      </w:r>
      <w:r>
        <w:rPr>
          <w:sz w:val="24"/>
          <w:szCs w:val="24"/>
          <w:rtl w:val="0"/>
        </w:rPr>
        <w:t xml:space="preserve">Link e Jabot, considerando apenas registros vinculados a material testemunho e com informação geográfica compatível com os remanescentes analisados. A lista de espécies foi confrontada com a lista oficial de espécies ameaçadas do planalto de Poços de Caldas, atualizada pelo Herbário AFR  e revisada quanto à nomenclatura, forma de vida e endemismo com base na Flora e Funga do Brasil (Reflora, 2026). </w:t>
      </w:r>
    </w:p>
    <w:p w14:paraId="00000017">
      <w:pPr>
        <w:spacing w:before="1" w:line="360" w:lineRule="auto"/>
        <w:ind w:firstLine="720"/>
        <w:jc w:val="both"/>
        <w:rPr>
          <w:sz w:val="24"/>
          <w:szCs w:val="24"/>
        </w:rPr>
      </w:pPr>
      <w:r>
        <w:rPr>
          <w:sz w:val="24"/>
          <w:szCs w:val="24"/>
          <w:rtl w:val="0"/>
        </w:rPr>
        <w:t xml:space="preserve">As categorias de ameaça foram verificadas nas bases do Centro Nacional de Conservação da Flora (CNCFlora, 2026) e da União Internacional de Conservação da Natureza  (IUCN, 2026). Os registros foram espacializados no </w:t>
      </w:r>
      <w:r>
        <w:rPr>
          <w:i/>
          <w:iCs/>
          <w:sz w:val="24"/>
          <w:szCs w:val="24"/>
          <w:rtl w:val="0"/>
        </w:rPr>
        <w:t>software</w:t>
      </w:r>
      <w:r>
        <w:rPr>
          <w:sz w:val="24"/>
          <w:szCs w:val="24"/>
          <w:rtl w:val="0"/>
        </w:rPr>
        <w:t xml:space="preserve"> </w:t>
      </w:r>
      <w:r>
        <w:rPr>
          <w:i/>
          <w:iCs/>
          <w:sz w:val="24"/>
          <w:szCs w:val="24"/>
          <w:rtl w:val="0"/>
        </w:rPr>
        <w:t xml:space="preserve">QGIS versão 4.0.0 </w:t>
      </w:r>
      <w:r>
        <w:rPr>
          <w:sz w:val="24"/>
          <w:szCs w:val="24"/>
          <w:rtl w:val="0"/>
        </w:rPr>
        <w:t>por amostragem de ilhas de calor</w:t>
      </w:r>
      <w:r>
        <w:rPr>
          <w:i/>
          <w:iCs/>
          <w:sz w:val="24"/>
          <w:szCs w:val="24"/>
          <w:rtl w:val="0"/>
        </w:rPr>
        <w:t>,</w:t>
      </w:r>
      <w:r>
        <w:rPr>
          <w:sz w:val="24"/>
          <w:szCs w:val="24"/>
          <w:rtl w:val="0"/>
        </w:rPr>
        <w:t xml:space="preserve"> utilizando remanescentes de campo altitude mapeados por Silva e Botezelli (2024) dentro do perímetro urbano de Poços de Caldas como camada de referência. A definição das áreas prioritárias considerou a concentração de registros, o número de espécies ameaçadas por área, a presença de espécies endêmicas e criticamente ameaçadas, bem como informações de campo da FJBPC sobre pressões antrópicas, incluindo urbanização, mineração, silvicultura, espécies invasora</w:t>
      </w:r>
      <w:r>
        <w:rPr>
          <w:rFonts w:hint="default"/>
          <w:sz w:val="24"/>
          <w:szCs w:val="24"/>
          <w:rtl w:val="0"/>
          <w:lang w:val="pt-BR"/>
        </w:rPr>
        <w:t xml:space="preserve">s, criação de animais doméstico de forma ilegal e </w:t>
      </w:r>
      <w:r>
        <w:rPr>
          <w:sz w:val="24"/>
          <w:szCs w:val="24"/>
          <w:rtl w:val="0"/>
        </w:rPr>
        <w:t>motocros</w:t>
      </w:r>
      <w:r>
        <w:rPr>
          <w:rFonts w:hint="default"/>
          <w:sz w:val="24"/>
          <w:szCs w:val="24"/>
          <w:rtl w:val="0"/>
          <w:lang w:val="pt-BR"/>
        </w:rPr>
        <w:t>s.</w:t>
      </w:r>
      <w:r>
        <w:rPr>
          <w:sz w:val="24"/>
          <w:szCs w:val="24"/>
          <w:rtl w:val="0"/>
        </w:rPr>
        <w:t xml:space="preserve"> </w:t>
      </w:r>
    </w:p>
    <w:p w14:paraId="00000018">
      <w:pPr>
        <w:spacing w:before="1" w:line="360" w:lineRule="auto"/>
        <w:jc w:val="both"/>
        <w:rPr>
          <w:sz w:val="24"/>
          <w:szCs w:val="24"/>
        </w:rPr>
      </w:pPr>
    </w:p>
    <w:p w14:paraId="00000019">
      <w:pPr>
        <w:spacing w:before="1" w:line="360" w:lineRule="auto"/>
        <w:jc w:val="both"/>
        <w:rPr>
          <w:b/>
          <w:bCs/>
          <w:sz w:val="28"/>
          <w:szCs w:val="28"/>
        </w:rPr>
      </w:pPr>
      <w:r>
        <w:rPr>
          <w:b/>
          <w:bCs/>
          <w:sz w:val="28"/>
          <w:szCs w:val="28"/>
          <w:rtl w:val="0"/>
        </w:rPr>
        <w:t>Resultados e Discussão</w:t>
      </w:r>
    </w:p>
    <w:p w14:paraId="0000001B">
      <w:pPr>
        <w:spacing w:line="360" w:lineRule="auto"/>
        <w:ind w:firstLine="720"/>
        <w:jc w:val="both"/>
        <w:rPr>
          <w:color w:val="0F1115"/>
          <w:sz w:val="24"/>
          <w:szCs w:val="24"/>
          <w:highlight w:val="white"/>
        </w:rPr>
      </w:pPr>
      <w:r>
        <w:rPr>
          <w:color w:val="0F1115"/>
          <w:sz w:val="24"/>
          <w:szCs w:val="24"/>
          <w:highlight w:val="white"/>
          <w:rtl w:val="0"/>
        </w:rPr>
        <w:t>Dentre os 47 registros analisados de espécimes ameaçados de extinção em áreas de campo de altitude, foram encontradas 13 espécies (Tabela 1), sendo 10 endêmicas do Brasil. Foram identificadas três espécies criticamente em perigo (CR)</w:t>
      </w:r>
      <w:r>
        <w:rPr>
          <w:rFonts w:hint="default"/>
          <w:color w:val="0F1115"/>
          <w:sz w:val="24"/>
          <w:szCs w:val="24"/>
          <w:highlight w:val="white"/>
          <w:rtl w:val="0"/>
          <w:lang w:val="pt-BR"/>
        </w:rPr>
        <w:t>,</w:t>
      </w:r>
      <w:r>
        <w:rPr>
          <w:color w:val="0F1115"/>
          <w:sz w:val="24"/>
          <w:szCs w:val="24"/>
          <w:highlight w:val="white"/>
          <w:rtl w:val="0"/>
        </w:rPr>
        <w:t xml:space="preserve"> cinco espécies em perigo (EN) e cinco espécies vulneráveis (VU)</w:t>
      </w:r>
      <w:r>
        <w:rPr>
          <w:rFonts w:hint="default"/>
          <w:color w:val="0F1115"/>
          <w:sz w:val="24"/>
          <w:szCs w:val="24"/>
          <w:highlight w:val="white"/>
          <w:rtl w:val="0"/>
          <w:lang w:val="pt-BR"/>
        </w:rPr>
        <w:t xml:space="preserve"> apresentados na tabela 1</w:t>
      </w:r>
      <w:r>
        <w:rPr>
          <w:color w:val="0F1115"/>
          <w:sz w:val="24"/>
          <w:szCs w:val="24"/>
          <w:highlight w:val="white"/>
          <w:rtl w:val="0"/>
        </w:rPr>
        <w:t xml:space="preserve">. As três espécies endêmicas de Minas Gerais são: </w:t>
      </w:r>
      <w:r>
        <w:rPr>
          <w:i/>
          <w:iCs/>
          <w:color w:val="0F1115"/>
          <w:sz w:val="24"/>
          <w:szCs w:val="24"/>
          <w:highlight w:val="white"/>
          <w:rtl w:val="0"/>
        </w:rPr>
        <w:t>A. fiebrigii, M. thomista e Z. irwiniana</w:t>
      </w:r>
      <w:r>
        <w:rPr>
          <w:color w:val="0F1115"/>
          <w:sz w:val="24"/>
          <w:szCs w:val="24"/>
          <w:highlight w:val="white"/>
          <w:rtl w:val="0"/>
        </w:rPr>
        <w:t xml:space="preserve">. As espécies </w:t>
      </w:r>
      <w:r>
        <w:rPr>
          <w:i/>
          <w:iCs/>
          <w:color w:val="0F1115"/>
          <w:sz w:val="24"/>
          <w:szCs w:val="24"/>
          <w:highlight w:val="white"/>
          <w:rtl w:val="0"/>
        </w:rPr>
        <w:t>Agalinis ramulifera</w:t>
      </w:r>
      <w:r>
        <w:rPr>
          <w:color w:val="0F1115"/>
          <w:sz w:val="24"/>
          <w:szCs w:val="24"/>
          <w:highlight w:val="white"/>
          <w:rtl w:val="0"/>
        </w:rPr>
        <w:t xml:space="preserve"> (EN), </w:t>
      </w:r>
      <w:r>
        <w:rPr>
          <w:i/>
          <w:iCs/>
          <w:color w:val="0F1115"/>
          <w:sz w:val="24"/>
          <w:szCs w:val="24"/>
          <w:highlight w:val="white"/>
          <w:rtl w:val="0"/>
        </w:rPr>
        <w:t>Baccharis lychnophora</w:t>
      </w:r>
      <w:r>
        <w:rPr>
          <w:color w:val="0F1115"/>
          <w:sz w:val="24"/>
          <w:szCs w:val="24"/>
          <w:highlight w:val="white"/>
          <w:rtl w:val="0"/>
        </w:rPr>
        <w:t xml:space="preserve"> (VU), </w:t>
      </w:r>
      <w:r>
        <w:rPr>
          <w:i/>
          <w:iCs/>
          <w:color w:val="0F1115"/>
          <w:sz w:val="24"/>
          <w:szCs w:val="24"/>
          <w:highlight w:val="white"/>
          <w:rtl w:val="0"/>
        </w:rPr>
        <w:t>Brachystele camporum</w:t>
      </w:r>
      <w:r>
        <w:rPr>
          <w:color w:val="0F1115"/>
          <w:sz w:val="24"/>
          <w:szCs w:val="24"/>
          <w:highlight w:val="white"/>
          <w:rtl w:val="0"/>
        </w:rPr>
        <w:t xml:space="preserve"> (VU) e </w:t>
      </w:r>
      <w:r>
        <w:rPr>
          <w:i/>
          <w:iCs/>
          <w:color w:val="0F1115"/>
          <w:sz w:val="24"/>
          <w:szCs w:val="24"/>
          <w:highlight w:val="white"/>
          <w:rtl w:val="0"/>
        </w:rPr>
        <w:t>Cheilanthes regnelliana</w:t>
      </w:r>
      <w:r>
        <w:rPr>
          <w:color w:val="0F1115"/>
          <w:sz w:val="24"/>
          <w:szCs w:val="24"/>
          <w:highlight w:val="white"/>
          <w:rtl w:val="0"/>
        </w:rPr>
        <w:t xml:space="preserve"> Mett. (EN) não foram incluídas na listagem principal, pois os registros não estão localizados no perímetro urbano de Poços de Caldas, ocorrendo em áreas de campo de altitude na zona rural do município (Silva </w:t>
      </w:r>
      <w:r>
        <w:rPr>
          <w:i/>
          <w:iCs/>
          <w:color w:val="0F1115"/>
          <w:sz w:val="24"/>
          <w:szCs w:val="24"/>
          <w:highlight w:val="white"/>
          <w:rtl w:val="0"/>
        </w:rPr>
        <w:t>et al.</w:t>
      </w:r>
      <w:r>
        <w:rPr>
          <w:color w:val="0F1115"/>
          <w:sz w:val="24"/>
          <w:szCs w:val="24"/>
          <w:highlight w:val="white"/>
          <w:rtl w:val="0"/>
        </w:rPr>
        <w:t>, 2025b).</w:t>
      </w:r>
    </w:p>
    <w:p w14:paraId="0000001C">
      <w:pPr>
        <w:jc w:val="both"/>
        <w:rPr>
          <w:b/>
          <w:bCs/>
          <w:color w:val="0F1115"/>
          <w:sz w:val="20"/>
          <w:szCs w:val="20"/>
          <w:highlight w:val="white"/>
        </w:rPr>
      </w:pPr>
      <w:r>
        <w:rPr>
          <w:b/>
          <w:bCs/>
          <w:color w:val="0F1115"/>
          <w:sz w:val="20"/>
          <w:szCs w:val="20"/>
          <w:highlight w:val="white"/>
          <w:rtl w:val="0"/>
        </w:rPr>
        <w:t xml:space="preserve">Tabela 1. Lista das espécies ameaçadas de extinção encontradas dentro do perímetro urbano de Poços de Caldas (MG). </w:t>
      </w:r>
    </w:p>
    <w:sdt>
      <w:sdtPr>
        <w:tag w:val="goog_rdk_0"/>
        <w:id w:val="1730055087"/>
        <w:lock w:val="contentLocked"/>
      </w:sdtPr>
      <w:sdtContent>
        <w:tbl>
          <w:tblPr>
            <w:tblStyle w:val="13"/>
            <w:tblW w:w="9240" w:type="dxa"/>
            <w:tblInd w:w="4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604"/>
            <w:gridCol w:w="4517"/>
            <w:gridCol w:w="1146"/>
            <w:gridCol w:w="1973"/>
          </w:tblGrid>
          <w:tr w14:paraId="51E7C4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474" w:hRule="atLeast"/>
            </w:trPr>
            <w:tc>
              <w:tcPr>
                <w:tcW w:w="1604" w:type="dxa"/>
                <w:tcBorders>
                  <w:top w:val="single" w:color="000000" w:sz="8" w:space="0"/>
                  <w:left w:val="nil"/>
                  <w:bottom w:val="single" w:color="000000" w:sz="8" w:space="0"/>
                  <w:right w:val="nil"/>
                </w:tcBorders>
                <w:tcMar>
                  <w:top w:w="100" w:type="dxa"/>
                  <w:left w:w="100" w:type="dxa"/>
                  <w:bottom w:w="100" w:type="dxa"/>
                  <w:right w:w="100" w:type="dxa"/>
                </w:tcMar>
                <w:vAlign w:val="top"/>
              </w:tcPr>
              <w:p w14:paraId="0000001D">
                <w:pPr>
                  <w:jc w:val="center"/>
                  <w:rPr>
                    <w:color w:val="0F1115"/>
                    <w:sz w:val="20"/>
                    <w:szCs w:val="20"/>
                    <w:highlight w:val="white"/>
                  </w:rPr>
                </w:pPr>
                <w:r>
                  <w:rPr>
                    <w:color w:val="0F1115"/>
                    <w:sz w:val="20"/>
                    <w:szCs w:val="20"/>
                    <w:highlight w:val="white"/>
                    <w:rtl w:val="0"/>
                  </w:rPr>
                  <w:t>Família</w:t>
                </w:r>
              </w:p>
            </w:tc>
            <w:tc>
              <w:tcPr>
                <w:tcW w:w="4517" w:type="dxa"/>
                <w:tcBorders>
                  <w:top w:val="single" w:color="000000" w:sz="8" w:space="0"/>
                  <w:left w:val="nil"/>
                  <w:bottom w:val="single" w:color="000000" w:sz="8" w:space="0"/>
                  <w:right w:val="nil"/>
                </w:tcBorders>
                <w:tcMar>
                  <w:top w:w="100" w:type="dxa"/>
                  <w:left w:w="100" w:type="dxa"/>
                  <w:bottom w:w="100" w:type="dxa"/>
                  <w:right w:w="100" w:type="dxa"/>
                </w:tcMar>
                <w:vAlign w:val="top"/>
              </w:tcPr>
              <w:p w14:paraId="0000001E">
                <w:pPr>
                  <w:jc w:val="center"/>
                  <w:rPr>
                    <w:color w:val="0F1115"/>
                    <w:sz w:val="20"/>
                    <w:szCs w:val="20"/>
                    <w:highlight w:val="white"/>
                  </w:rPr>
                </w:pPr>
                <w:r>
                  <w:rPr>
                    <w:color w:val="0F1115"/>
                    <w:sz w:val="20"/>
                    <w:szCs w:val="20"/>
                    <w:highlight w:val="white"/>
                    <w:rtl w:val="0"/>
                  </w:rPr>
                  <w:t>Táxon</w:t>
                </w:r>
              </w:p>
            </w:tc>
            <w:tc>
              <w:tcPr>
                <w:tcW w:w="1146" w:type="dxa"/>
                <w:tcBorders>
                  <w:top w:val="single" w:color="000000" w:sz="8" w:space="0"/>
                  <w:left w:val="nil"/>
                  <w:bottom w:val="single" w:color="000000" w:sz="8" w:space="0"/>
                  <w:right w:val="nil"/>
                </w:tcBorders>
                <w:tcMar>
                  <w:top w:w="100" w:type="dxa"/>
                  <w:left w:w="100" w:type="dxa"/>
                  <w:bottom w:w="100" w:type="dxa"/>
                  <w:right w:w="100" w:type="dxa"/>
                </w:tcMar>
                <w:vAlign w:val="top"/>
              </w:tcPr>
              <w:p w14:paraId="0000001F">
                <w:pPr>
                  <w:jc w:val="center"/>
                  <w:rPr>
                    <w:color w:val="0F1115"/>
                    <w:sz w:val="20"/>
                    <w:szCs w:val="20"/>
                    <w:highlight w:val="white"/>
                  </w:rPr>
                </w:pPr>
                <w:r>
                  <w:rPr>
                    <w:color w:val="0F1115"/>
                    <w:sz w:val="20"/>
                    <w:szCs w:val="20"/>
                    <w:highlight w:val="white"/>
                    <w:rtl w:val="0"/>
                  </w:rPr>
                  <w:t>Categoria</w:t>
                </w:r>
              </w:p>
              <w:p w14:paraId="00000020">
                <w:pPr>
                  <w:jc w:val="center"/>
                  <w:rPr>
                    <w:color w:val="0F1115"/>
                    <w:sz w:val="20"/>
                    <w:szCs w:val="20"/>
                    <w:highlight w:val="white"/>
                  </w:rPr>
                </w:pPr>
                <w:r>
                  <w:rPr>
                    <w:color w:val="0F1115"/>
                    <w:sz w:val="20"/>
                    <w:szCs w:val="20"/>
                    <w:highlight w:val="white"/>
                    <w:rtl w:val="0"/>
                  </w:rPr>
                  <w:t>de ameaça</w:t>
                </w:r>
              </w:p>
            </w:tc>
            <w:tc>
              <w:tcPr>
                <w:tcW w:w="1973" w:type="dxa"/>
                <w:tcBorders>
                  <w:top w:val="single" w:color="000000" w:sz="8" w:space="0"/>
                  <w:left w:val="nil"/>
                  <w:bottom w:val="single" w:color="000000" w:sz="8" w:space="0"/>
                  <w:right w:val="nil"/>
                </w:tcBorders>
                <w:tcMar>
                  <w:top w:w="100" w:type="dxa"/>
                  <w:left w:w="100" w:type="dxa"/>
                  <w:bottom w:w="100" w:type="dxa"/>
                  <w:right w:w="100" w:type="dxa"/>
                </w:tcMar>
                <w:vAlign w:val="top"/>
              </w:tcPr>
              <w:p w14:paraId="00000021">
                <w:pPr>
                  <w:jc w:val="center"/>
                  <w:rPr>
                    <w:color w:val="0F1115"/>
                    <w:sz w:val="20"/>
                    <w:szCs w:val="20"/>
                    <w:highlight w:val="white"/>
                  </w:rPr>
                </w:pPr>
                <w:r>
                  <w:rPr>
                    <w:color w:val="0F1115"/>
                    <w:sz w:val="20"/>
                    <w:szCs w:val="20"/>
                    <w:highlight w:val="white"/>
                    <w:rtl w:val="0"/>
                  </w:rPr>
                  <w:t>Forma</w:t>
                </w:r>
              </w:p>
              <w:p w14:paraId="00000022">
                <w:pPr>
                  <w:jc w:val="center"/>
                  <w:rPr>
                    <w:color w:val="0F1115"/>
                    <w:sz w:val="20"/>
                    <w:szCs w:val="20"/>
                    <w:highlight w:val="white"/>
                  </w:rPr>
                </w:pPr>
                <w:r>
                  <w:rPr>
                    <w:color w:val="0F1115"/>
                    <w:sz w:val="20"/>
                    <w:szCs w:val="20"/>
                    <w:highlight w:val="white"/>
                    <w:rtl w:val="0"/>
                  </w:rPr>
                  <w:t xml:space="preserve"> de vida</w:t>
                </w:r>
              </w:p>
            </w:tc>
          </w:tr>
          <w:tr w14:paraId="031BC1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90" w:hRule="atLeast"/>
            </w:trPr>
            <w:tc>
              <w:tcPr>
                <w:tcW w:w="1604" w:type="dxa"/>
                <w:tcBorders>
                  <w:top w:val="nil"/>
                  <w:left w:val="nil"/>
                  <w:bottom w:val="nil"/>
                  <w:right w:val="nil"/>
                </w:tcBorders>
                <w:tcMar>
                  <w:top w:w="100" w:type="dxa"/>
                  <w:left w:w="100" w:type="dxa"/>
                  <w:bottom w:w="100" w:type="dxa"/>
                  <w:right w:w="100" w:type="dxa"/>
                </w:tcMar>
                <w:vAlign w:val="top"/>
              </w:tcPr>
              <w:p w14:paraId="00000023">
                <w:pPr>
                  <w:spacing w:line="240" w:lineRule="auto"/>
                  <w:rPr>
                    <w:color w:val="0F1115"/>
                    <w:sz w:val="20"/>
                    <w:szCs w:val="20"/>
                    <w:highlight w:val="white"/>
                  </w:rPr>
                </w:pPr>
                <w:r>
                  <w:rPr>
                    <w:color w:val="0F1115"/>
                    <w:sz w:val="20"/>
                    <w:szCs w:val="20"/>
                    <w:highlight w:val="white"/>
                    <w:rtl w:val="0"/>
                  </w:rPr>
                  <w:t>Orchidaceae</w:t>
                </w:r>
              </w:p>
            </w:tc>
            <w:tc>
              <w:tcPr>
                <w:tcW w:w="4517" w:type="dxa"/>
                <w:tcBorders>
                  <w:top w:val="nil"/>
                  <w:left w:val="nil"/>
                  <w:bottom w:val="nil"/>
                  <w:right w:val="nil"/>
                </w:tcBorders>
                <w:tcMar>
                  <w:top w:w="100" w:type="dxa"/>
                  <w:left w:w="100" w:type="dxa"/>
                  <w:bottom w:w="100" w:type="dxa"/>
                  <w:right w:w="100" w:type="dxa"/>
                </w:tcMar>
                <w:vAlign w:val="top"/>
              </w:tcPr>
              <w:p w14:paraId="00000024">
                <w:pPr>
                  <w:spacing w:line="240" w:lineRule="auto"/>
                  <w:rPr>
                    <w:color w:val="0F1115"/>
                    <w:sz w:val="20"/>
                    <w:szCs w:val="20"/>
                    <w:highlight w:val="white"/>
                  </w:rPr>
                </w:pPr>
                <w:r>
                  <w:rPr>
                    <w:i/>
                    <w:iCs/>
                    <w:color w:val="0F1115"/>
                    <w:sz w:val="20"/>
                    <w:szCs w:val="20"/>
                    <w:highlight w:val="white"/>
                    <w:rtl w:val="0"/>
                  </w:rPr>
                  <w:t>Cyrtopodium lamellaticallosum</w:t>
                </w:r>
                <w:r>
                  <w:rPr>
                    <w:color w:val="0F1115"/>
                    <w:sz w:val="20"/>
                    <w:szCs w:val="20"/>
                    <w:highlight w:val="white"/>
                    <w:rtl w:val="0"/>
                  </w:rPr>
                  <w:t xml:space="preserve"> J.A.N.Bat. &amp; Bianch.</w:t>
                </w:r>
              </w:p>
            </w:tc>
            <w:tc>
              <w:tcPr>
                <w:tcW w:w="1146" w:type="dxa"/>
                <w:tcBorders>
                  <w:top w:val="nil"/>
                  <w:left w:val="nil"/>
                  <w:bottom w:val="nil"/>
                  <w:right w:val="nil"/>
                </w:tcBorders>
                <w:tcMar>
                  <w:top w:w="100" w:type="dxa"/>
                  <w:left w:w="100" w:type="dxa"/>
                  <w:bottom w:w="100" w:type="dxa"/>
                  <w:right w:w="100" w:type="dxa"/>
                </w:tcMar>
                <w:vAlign w:val="top"/>
              </w:tcPr>
              <w:p w14:paraId="00000025">
                <w:pPr>
                  <w:spacing w:line="240" w:lineRule="auto"/>
                  <w:jc w:val="center"/>
                  <w:rPr>
                    <w:color w:val="0F1115"/>
                    <w:sz w:val="20"/>
                    <w:szCs w:val="20"/>
                    <w:highlight w:val="white"/>
                  </w:rPr>
                </w:pPr>
                <w:r>
                  <w:rPr>
                    <w:color w:val="0F1115"/>
                    <w:sz w:val="20"/>
                    <w:szCs w:val="20"/>
                    <w:highlight w:val="white"/>
                    <w:rtl w:val="0"/>
                  </w:rPr>
                  <w:t>CR</w:t>
                </w:r>
              </w:p>
            </w:tc>
            <w:tc>
              <w:tcPr>
                <w:tcW w:w="1973" w:type="dxa"/>
                <w:tcBorders>
                  <w:top w:val="nil"/>
                  <w:left w:val="nil"/>
                  <w:bottom w:val="nil"/>
                  <w:right w:val="nil"/>
                </w:tcBorders>
                <w:tcMar>
                  <w:top w:w="100" w:type="dxa"/>
                  <w:left w:w="100" w:type="dxa"/>
                  <w:bottom w:w="100" w:type="dxa"/>
                  <w:right w:w="100" w:type="dxa"/>
                </w:tcMar>
                <w:vAlign w:val="top"/>
              </w:tcPr>
              <w:p w14:paraId="00000026">
                <w:pPr>
                  <w:spacing w:line="240" w:lineRule="auto"/>
                  <w:jc w:val="center"/>
                  <w:rPr>
                    <w:color w:val="0F1115"/>
                    <w:sz w:val="20"/>
                    <w:szCs w:val="20"/>
                    <w:highlight w:val="white"/>
                  </w:rPr>
                </w:pPr>
                <w:r>
                  <w:rPr>
                    <w:color w:val="0F1115"/>
                    <w:sz w:val="20"/>
                    <w:szCs w:val="20"/>
                    <w:highlight w:val="white"/>
                    <w:rtl w:val="0"/>
                  </w:rPr>
                  <w:t>Erva</w:t>
                </w:r>
              </w:p>
            </w:tc>
          </w:tr>
          <w:tr w14:paraId="6FCB80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62" w:hRule="atLeast"/>
            </w:trPr>
            <w:tc>
              <w:tcPr>
                <w:tcW w:w="1604" w:type="dxa"/>
                <w:tcBorders>
                  <w:top w:val="nil"/>
                  <w:left w:val="nil"/>
                  <w:bottom w:val="nil"/>
                  <w:right w:val="nil"/>
                </w:tcBorders>
                <w:tcMar>
                  <w:top w:w="100" w:type="dxa"/>
                  <w:left w:w="100" w:type="dxa"/>
                  <w:bottom w:w="100" w:type="dxa"/>
                  <w:right w:w="100" w:type="dxa"/>
                </w:tcMar>
                <w:vAlign w:val="top"/>
              </w:tcPr>
              <w:p w14:paraId="00000027">
                <w:pPr>
                  <w:spacing w:line="240" w:lineRule="auto"/>
                  <w:rPr>
                    <w:color w:val="0F1115"/>
                    <w:sz w:val="20"/>
                    <w:szCs w:val="20"/>
                    <w:highlight w:val="white"/>
                  </w:rPr>
                </w:pPr>
                <w:r>
                  <w:rPr>
                    <w:color w:val="0F1115"/>
                    <w:sz w:val="20"/>
                    <w:szCs w:val="20"/>
                    <w:highlight w:val="white"/>
                    <w:rtl w:val="0"/>
                  </w:rPr>
                  <w:t>Poaceae</w:t>
                </w:r>
              </w:p>
            </w:tc>
            <w:tc>
              <w:tcPr>
                <w:tcW w:w="4517" w:type="dxa"/>
                <w:tcBorders>
                  <w:top w:val="nil"/>
                  <w:left w:val="nil"/>
                  <w:bottom w:val="nil"/>
                  <w:right w:val="nil"/>
                </w:tcBorders>
                <w:tcMar>
                  <w:top w:w="100" w:type="dxa"/>
                  <w:left w:w="100" w:type="dxa"/>
                  <w:bottom w:w="100" w:type="dxa"/>
                  <w:right w:w="100" w:type="dxa"/>
                </w:tcMar>
                <w:vAlign w:val="top"/>
              </w:tcPr>
              <w:p w14:paraId="00000028">
                <w:pPr>
                  <w:spacing w:line="240" w:lineRule="auto"/>
                  <w:rPr>
                    <w:color w:val="0F1115"/>
                    <w:sz w:val="20"/>
                    <w:szCs w:val="20"/>
                    <w:highlight w:val="white"/>
                  </w:rPr>
                </w:pPr>
                <w:r>
                  <w:rPr>
                    <w:i/>
                    <w:iCs/>
                    <w:color w:val="0F1115"/>
                    <w:sz w:val="20"/>
                    <w:szCs w:val="20"/>
                    <w:highlight w:val="white"/>
                    <w:rtl w:val="0"/>
                  </w:rPr>
                  <w:t>Anthaenantiopsis fiebrigi</w:t>
                </w:r>
                <w:r>
                  <w:rPr>
                    <w:color w:val="0F1115"/>
                    <w:sz w:val="20"/>
                    <w:szCs w:val="20"/>
                    <w:highlight w:val="white"/>
                    <w:rtl w:val="0"/>
                  </w:rPr>
                  <w:t>i Parodi</w:t>
                </w:r>
              </w:p>
            </w:tc>
            <w:tc>
              <w:tcPr>
                <w:tcW w:w="1146" w:type="dxa"/>
                <w:tcBorders>
                  <w:top w:val="nil"/>
                  <w:left w:val="nil"/>
                  <w:bottom w:val="nil"/>
                  <w:right w:val="nil"/>
                </w:tcBorders>
                <w:tcMar>
                  <w:top w:w="100" w:type="dxa"/>
                  <w:left w:w="100" w:type="dxa"/>
                  <w:bottom w:w="100" w:type="dxa"/>
                  <w:right w:w="100" w:type="dxa"/>
                </w:tcMar>
                <w:vAlign w:val="top"/>
              </w:tcPr>
              <w:p w14:paraId="00000029">
                <w:pPr>
                  <w:spacing w:line="240" w:lineRule="auto"/>
                  <w:jc w:val="center"/>
                  <w:rPr>
                    <w:color w:val="0F1115"/>
                    <w:sz w:val="20"/>
                    <w:szCs w:val="20"/>
                    <w:highlight w:val="white"/>
                  </w:rPr>
                </w:pPr>
                <w:r>
                  <w:rPr>
                    <w:color w:val="0F1115"/>
                    <w:sz w:val="20"/>
                    <w:szCs w:val="20"/>
                    <w:highlight w:val="white"/>
                    <w:rtl w:val="0"/>
                  </w:rPr>
                  <w:t>CR</w:t>
                </w:r>
              </w:p>
            </w:tc>
            <w:tc>
              <w:tcPr>
                <w:tcW w:w="1973" w:type="dxa"/>
                <w:tcBorders>
                  <w:top w:val="nil"/>
                  <w:left w:val="nil"/>
                  <w:bottom w:val="nil"/>
                  <w:right w:val="nil"/>
                </w:tcBorders>
                <w:tcMar>
                  <w:top w:w="100" w:type="dxa"/>
                  <w:left w:w="100" w:type="dxa"/>
                  <w:bottom w:w="100" w:type="dxa"/>
                  <w:right w:w="100" w:type="dxa"/>
                </w:tcMar>
                <w:vAlign w:val="top"/>
              </w:tcPr>
              <w:p w14:paraId="0000002A">
                <w:pPr>
                  <w:spacing w:line="240" w:lineRule="auto"/>
                  <w:jc w:val="center"/>
                  <w:rPr>
                    <w:color w:val="0F1115"/>
                    <w:sz w:val="20"/>
                    <w:szCs w:val="20"/>
                    <w:highlight w:val="white"/>
                  </w:rPr>
                </w:pPr>
                <w:r>
                  <w:rPr>
                    <w:color w:val="0F1115"/>
                    <w:sz w:val="20"/>
                    <w:szCs w:val="20"/>
                    <w:highlight w:val="white"/>
                    <w:rtl w:val="0"/>
                  </w:rPr>
                  <w:t>Erva</w:t>
                </w:r>
              </w:p>
            </w:tc>
          </w:tr>
          <w:tr w14:paraId="7142D0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604" w:type="dxa"/>
                <w:tcBorders>
                  <w:top w:val="nil"/>
                  <w:left w:val="nil"/>
                  <w:bottom w:val="nil"/>
                  <w:right w:val="nil"/>
                </w:tcBorders>
                <w:tcMar>
                  <w:top w:w="100" w:type="dxa"/>
                  <w:left w:w="100" w:type="dxa"/>
                  <w:bottom w:w="100" w:type="dxa"/>
                  <w:right w:w="100" w:type="dxa"/>
                </w:tcMar>
                <w:vAlign w:val="top"/>
              </w:tcPr>
              <w:p w14:paraId="0000002B">
                <w:pPr>
                  <w:spacing w:line="240" w:lineRule="auto"/>
                  <w:rPr>
                    <w:color w:val="0F1115"/>
                    <w:sz w:val="20"/>
                    <w:szCs w:val="20"/>
                    <w:highlight w:val="white"/>
                  </w:rPr>
                </w:pPr>
                <w:r>
                  <w:rPr>
                    <w:color w:val="0F1115"/>
                    <w:sz w:val="20"/>
                    <w:szCs w:val="20"/>
                    <w:highlight w:val="white"/>
                    <w:rtl w:val="0"/>
                  </w:rPr>
                  <w:t>Poaceae</w:t>
                </w:r>
              </w:p>
            </w:tc>
            <w:tc>
              <w:tcPr>
                <w:tcW w:w="4517" w:type="dxa"/>
                <w:tcBorders>
                  <w:top w:val="nil"/>
                  <w:left w:val="nil"/>
                  <w:bottom w:val="nil"/>
                  <w:right w:val="nil"/>
                </w:tcBorders>
                <w:tcMar>
                  <w:top w:w="100" w:type="dxa"/>
                  <w:left w:w="100" w:type="dxa"/>
                  <w:bottom w:w="100" w:type="dxa"/>
                  <w:right w:w="100" w:type="dxa"/>
                </w:tcMar>
                <w:vAlign w:val="top"/>
              </w:tcPr>
              <w:p w14:paraId="0000002C">
                <w:pPr>
                  <w:spacing w:line="240" w:lineRule="auto"/>
                  <w:rPr>
                    <w:color w:val="0F1115"/>
                    <w:sz w:val="20"/>
                    <w:szCs w:val="20"/>
                    <w:highlight w:val="white"/>
                  </w:rPr>
                </w:pPr>
                <w:r>
                  <w:rPr>
                    <w:i/>
                    <w:iCs/>
                    <w:color w:val="0F1115"/>
                    <w:sz w:val="20"/>
                    <w:szCs w:val="20"/>
                    <w:highlight w:val="white"/>
                    <w:rtl w:val="0"/>
                  </w:rPr>
                  <w:t xml:space="preserve">Gymnopogon doellii </w:t>
                </w:r>
                <w:r>
                  <w:rPr>
                    <w:color w:val="0F1115"/>
                    <w:sz w:val="20"/>
                    <w:szCs w:val="20"/>
                    <w:highlight w:val="white"/>
                    <w:rtl w:val="0"/>
                  </w:rPr>
                  <w:t>Boechat &amp; Valls</w:t>
                </w:r>
              </w:p>
            </w:tc>
            <w:tc>
              <w:tcPr>
                <w:tcW w:w="1146" w:type="dxa"/>
                <w:tcBorders>
                  <w:top w:val="nil"/>
                  <w:left w:val="nil"/>
                  <w:bottom w:val="nil"/>
                  <w:right w:val="nil"/>
                </w:tcBorders>
                <w:tcMar>
                  <w:top w:w="100" w:type="dxa"/>
                  <w:left w:w="100" w:type="dxa"/>
                  <w:bottom w:w="100" w:type="dxa"/>
                  <w:right w:w="100" w:type="dxa"/>
                </w:tcMar>
                <w:vAlign w:val="top"/>
              </w:tcPr>
              <w:p w14:paraId="0000002D">
                <w:pPr>
                  <w:spacing w:line="240" w:lineRule="auto"/>
                  <w:jc w:val="center"/>
                  <w:rPr>
                    <w:color w:val="0F1115"/>
                    <w:sz w:val="20"/>
                    <w:szCs w:val="20"/>
                    <w:highlight w:val="white"/>
                  </w:rPr>
                </w:pPr>
                <w:r>
                  <w:rPr>
                    <w:color w:val="0F1115"/>
                    <w:sz w:val="20"/>
                    <w:szCs w:val="20"/>
                    <w:highlight w:val="white"/>
                    <w:rtl w:val="0"/>
                  </w:rPr>
                  <w:t>CR</w:t>
                </w:r>
              </w:p>
            </w:tc>
            <w:tc>
              <w:tcPr>
                <w:tcW w:w="1973" w:type="dxa"/>
                <w:tcBorders>
                  <w:top w:val="nil"/>
                  <w:left w:val="nil"/>
                  <w:bottom w:val="nil"/>
                  <w:right w:val="nil"/>
                </w:tcBorders>
                <w:tcMar>
                  <w:top w:w="100" w:type="dxa"/>
                  <w:left w:w="100" w:type="dxa"/>
                  <w:bottom w:w="100" w:type="dxa"/>
                  <w:right w:w="100" w:type="dxa"/>
                </w:tcMar>
                <w:vAlign w:val="top"/>
              </w:tcPr>
              <w:p w14:paraId="0000002E">
                <w:pPr>
                  <w:spacing w:line="240" w:lineRule="auto"/>
                  <w:jc w:val="center"/>
                  <w:rPr>
                    <w:color w:val="0F1115"/>
                    <w:sz w:val="20"/>
                    <w:szCs w:val="20"/>
                    <w:highlight w:val="white"/>
                  </w:rPr>
                </w:pPr>
                <w:r>
                  <w:rPr>
                    <w:color w:val="0F1115"/>
                    <w:sz w:val="20"/>
                    <w:szCs w:val="20"/>
                    <w:highlight w:val="white"/>
                    <w:rtl w:val="0"/>
                  </w:rPr>
                  <w:t>Erva</w:t>
                </w:r>
              </w:p>
            </w:tc>
          </w:tr>
          <w:tr w14:paraId="6E8EB8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90" w:hRule="atLeast"/>
            </w:trPr>
            <w:tc>
              <w:tcPr>
                <w:tcW w:w="1604" w:type="dxa"/>
                <w:tcBorders>
                  <w:top w:val="nil"/>
                  <w:left w:val="nil"/>
                  <w:bottom w:val="nil"/>
                  <w:right w:val="nil"/>
                </w:tcBorders>
                <w:tcMar>
                  <w:top w:w="100" w:type="dxa"/>
                  <w:left w:w="100" w:type="dxa"/>
                  <w:bottom w:w="100" w:type="dxa"/>
                  <w:right w:w="100" w:type="dxa"/>
                </w:tcMar>
                <w:vAlign w:val="top"/>
              </w:tcPr>
              <w:p w14:paraId="0000002F">
                <w:pPr>
                  <w:spacing w:line="240" w:lineRule="auto"/>
                  <w:rPr>
                    <w:color w:val="0F1115"/>
                    <w:sz w:val="20"/>
                    <w:szCs w:val="20"/>
                    <w:highlight w:val="white"/>
                  </w:rPr>
                </w:pPr>
                <w:r>
                  <w:rPr>
                    <w:color w:val="0F1115"/>
                    <w:sz w:val="20"/>
                    <w:szCs w:val="20"/>
                    <w:highlight w:val="white"/>
                    <w:rtl w:val="0"/>
                  </w:rPr>
                  <w:t>Asteraceae</w:t>
                </w:r>
              </w:p>
            </w:tc>
            <w:tc>
              <w:tcPr>
                <w:tcW w:w="4517" w:type="dxa"/>
                <w:tcBorders>
                  <w:top w:val="nil"/>
                  <w:left w:val="nil"/>
                  <w:bottom w:val="nil"/>
                  <w:right w:val="nil"/>
                </w:tcBorders>
                <w:tcMar>
                  <w:top w:w="100" w:type="dxa"/>
                  <w:left w:w="100" w:type="dxa"/>
                  <w:bottom w:w="100" w:type="dxa"/>
                  <w:right w:w="100" w:type="dxa"/>
                </w:tcMar>
                <w:vAlign w:val="top"/>
              </w:tcPr>
              <w:p w14:paraId="00000030">
                <w:pPr>
                  <w:spacing w:line="240" w:lineRule="auto"/>
                  <w:rPr>
                    <w:color w:val="0F1115"/>
                    <w:sz w:val="20"/>
                    <w:szCs w:val="20"/>
                    <w:highlight w:val="white"/>
                  </w:rPr>
                </w:pPr>
                <w:r>
                  <w:rPr>
                    <w:i/>
                    <w:iCs/>
                    <w:color w:val="0F1115"/>
                    <w:sz w:val="20"/>
                    <w:szCs w:val="20"/>
                    <w:highlight w:val="white"/>
                    <w:rtl w:val="0"/>
                  </w:rPr>
                  <w:t>Dasyphyllum leptacanthum</w:t>
                </w:r>
                <w:r>
                  <w:rPr>
                    <w:color w:val="0F1115"/>
                    <w:sz w:val="20"/>
                    <w:szCs w:val="20"/>
                    <w:highlight w:val="white"/>
                    <w:rtl w:val="0"/>
                  </w:rPr>
                  <w:t xml:space="preserve"> (Gardner) Cabrera</w:t>
                </w:r>
              </w:p>
            </w:tc>
            <w:tc>
              <w:tcPr>
                <w:tcW w:w="1146" w:type="dxa"/>
                <w:tcBorders>
                  <w:top w:val="nil"/>
                  <w:left w:val="nil"/>
                  <w:bottom w:val="nil"/>
                  <w:right w:val="nil"/>
                </w:tcBorders>
                <w:tcMar>
                  <w:top w:w="100" w:type="dxa"/>
                  <w:left w:w="100" w:type="dxa"/>
                  <w:bottom w:w="100" w:type="dxa"/>
                  <w:right w:w="100" w:type="dxa"/>
                </w:tcMar>
                <w:vAlign w:val="top"/>
              </w:tcPr>
              <w:p w14:paraId="00000031">
                <w:pPr>
                  <w:spacing w:line="240" w:lineRule="auto"/>
                  <w:jc w:val="center"/>
                  <w:rPr>
                    <w:color w:val="0F1115"/>
                    <w:sz w:val="20"/>
                    <w:szCs w:val="20"/>
                    <w:highlight w:val="white"/>
                  </w:rPr>
                </w:pPr>
                <w:r>
                  <w:rPr>
                    <w:color w:val="0F1115"/>
                    <w:sz w:val="20"/>
                    <w:szCs w:val="20"/>
                    <w:highlight w:val="white"/>
                    <w:rtl w:val="0"/>
                  </w:rPr>
                  <w:t>EN</w:t>
                </w:r>
              </w:p>
            </w:tc>
            <w:tc>
              <w:tcPr>
                <w:tcW w:w="1973" w:type="dxa"/>
                <w:tcBorders>
                  <w:top w:val="nil"/>
                  <w:left w:val="nil"/>
                  <w:bottom w:val="nil"/>
                  <w:right w:val="nil"/>
                </w:tcBorders>
                <w:tcMar>
                  <w:top w:w="100" w:type="dxa"/>
                  <w:left w:w="100" w:type="dxa"/>
                  <w:bottom w:w="100" w:type="dxa"/>
                  <w:right w:w="100" w:type="dxa"/>
                </w:tcMar>
                <w:vAlign w:val="top"/>
              </w:tcPr>
              <w:p w14:paraId="00000032">
                <w:pPr>
                  <w:spacing w:line="240" w:lineRule="auto"/>
                  <w:jc w:val="center"/>
                  <w:rPr>
                    <w:color w:val="0F1115"/>
                    <w:sz w:val="20"/>
                    <w:szCs w:val="20"/>
                    <w:highlight w:val="white"/>
                  </w:rPr>
                </w:pPr>
                <w:r>
                  <w:rPr>
                    <w:color w:val="0F1115"/>
                    <w:sz w:val="20"/>
                    <w:szCs w:val="20"/>
                    <w:highlight w:val="white"/>
                    <w:rtl w:val="0"/>
                  </w:rPr>
                  <w:t>Arbusto</w:t>
                </w:r>
              </w:p>
            </w:tc>
          </w:tr>
          <w:tr w14:paraId="2D70E4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604" w:type="dxa"/>
                <w:tcBorders>
                  <w:top w:val="nil"/>
                  <w:left w:val="nil"/>
                  <w:bottom w:val="nil"/>
                  <w:right w:val="nil"/>
                </w:tcBorders>
                <w:tcMar>
                  <w:top w:w="100" w:type="dxa"/>
                  <w:left w:w="100" w:type="dxa"/>
                  <w:bottom w:w="100" w:type="dxa"/>
                  <w:right w:w="100" w:type="dxa"/>
                </w:tcMar>
                <w:vAlign w:val="top"/>
              </w:tcPr>
              <w:p w14:paraId="00000033">
                <w:pPr>
                  <w:spacing w:line="240" w:lineRule="auto"/>
                  <w:rPr>
                    <w:color w:val="0F1115"/>
                    <w:sz w:val="20"/>
                    <w:szCs w:val="20"/>
                    <w:highlight w:val="white"/>
                  </w:rPr>
                </w:pPr>
                <w:r>
                  <w:rPr>
                    <w:color w:val="0F1115"/>
                    <w:sz w:val="20"/>
                    <w:szCs w:val="20"/>
                    <w:highlight w:val="white"/>
                    <w:rtl w:val="0"/>
                  </w:rPr>
                  <w:t>Asteraceae</w:t>
                </w:r>
              </w:p>
            </w:tc>
            <w:tc>
              <w:tcPr>
                <w:tcW w:w="4517" w:type="dxa"/>
                <w:tcBorders>
                  <w:top w:val="nil"/>
                  <w:left w:val="nil"/>
                  <w:bottom w:val="nil"/>
                  <w:right w:val="nil"/>
                </w:tcBorders>
                <w:tcMar>
                  <w:top w:w="100" w:type="dxa"/>
                  <w:left w:w="100" w:type="dxa"/>
                  <w:bottom w:w="100" w:type="dxa"/>
                  <w:right w:w="100" w:type="dxa"/>
                </w:tcMar>
                <w:vAlign w:val="top"/>
              </w:tcPr>
              <w:p w14:paraId="00000034">
                <w:pPr>
                  <w:spacing w:line="240" w:lineRule="auto"/>
                  <w:rPr>
                    <w:color w:val="0F1115"/>
                    <w:sz w:val="20"/>
                    <w:szCs w:val="20"/>
                    <w:highlight w:val="white"/>
                  </w:rPr>
                </w:pPr>
                <w:r>
                  <w:rPr>
                    <w:i/>
                    <w:iCs/>
                    <w:color w:val="0F1115"/>
                    <w:sz w:val="20"/>
                    <w:szCs w:val="20"/>
                    <w:highlight w:val="white"/>
                    <w:rtl w:val="0"/>
                  </w:rPr>
                  <w:t>Hoehnephytum almasense</w:t>
                </w:r>
                <w:r>
                  <w:rPr>
                    <w:color w:val="0F1115"/>
                    <w:sz w:val="20"/>
                    <w:szCs w:val="20"/>
                    <w:highlight w:val="white"/>
                    <w:rtl w:val="0"/>
                  </w:rPr>
                  <w:t xml:space="preserve"> D.J.N.Hind</w:t>
                </w:r>
              </w:p>
            </w:tc>
            <w:tc>
              <w:tcPr>
                <w:tcW w:w="1146" w:type="dxa"/>
                <w:tcBorders>
                  <w:top w:val="nil"/>
                  <w:left w:val="nil"/>
                  <w:bottom w:val="nil"/>
                  <w:right w:val="nil"/>
                </w:tcBorders>
                <w:tcMar>
                  <w:top w:w="100" w:type="dxa"/>
                  <w:left w:w="100" w:type="dxa"/>
                  <w:bottom w:w="100" w:type="dxa"/>
                  <w:right w:w="100" w:type="dxa"/>
                </w:tcMar>
                <w:vAlign w:val="top"/>
              </w:tcPr>
              <w:p w14:paraId="00000035">
                <w:pPr>
                  <w:spacing w:line="240" w:lineRule="auto"/>
                  <w:jc w:val="center"/>
                  <w:rPr>
                    <w:color w:val="0F1115"/>
                    <w:sz w:val="20"/>
                    <w:szCs w:val="20"/>
                    <w:highlight w:val="white"/>
                  </w:rPr>
                </w:pPr>
                <w:r>
                  <w:rPr>
                    <w:color w:val="0F1115"/>
                    <w:sz w:val="20"/>
                    <w:szCs w:val="20"/>
                    <w:highlight w:val="white"/>
                    <w:rtl w:val="0"/>
                  </w:rPr>
                  <w:t>EN</w:t>
                </w:r>
              </w:p>
            </w:tc>
            <w:tc>
              <w:tcPr>
                <w:tcW w:w="1973" w:type="dxa"/>
                <w:tcBorders>
                  <w:top w:val="nil"/>
                  <w:left w:val="nil"/>
                  <w:bottom w:val="nil"/>
                  <w:right w:val="nil"/>
                </w:tcBorders>
                <w:tcMar>
                  <w:top w:w="100" w:type="dxa"/>
                  <w:left w:w="100" w:type="dxa"/>
                  <w:bottom w:w="100" w:type="dxa"/>
                  <w:right w:w="100" w:type="dxa"/>
                </w:tcMar>
                <w:vAlign w:val="top"/>
              </w:tcPr>
              <w:p w14:paraId="00000036">
                <w:pPr>
                  <w:spacing w:line="240" w:lineRule="auto"/>
                  <w:jc w:val="center"/>
                  <w:rPr>
                    <w:color w:val="0F1115"/>
                    <w:sz w:val="20"/>
                    <w:szCs w:val="20"/>
                    <w:highlight w:val="white"/>
                  </w:rPr>
                </w:pPr>
                <w:r>
                  <w:rPr>
                    <w:color w:val="0F1115"/>
                    <w:sz w:val="20"/>
                    <w:szCs w:val="20"/>
                    <w:highlight w:val="white"/>
                    <w:rtl w:val="0"/>
                  </w:rPr>
                  <w:t>Arbusto/Subarbusto</w:t>
                </w:r>
              </w:p>
            </w:tc>
          </w:tr>
          <w:tr w14:paraId="29D11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604" w:type="dxa"/>
                <w:tcBorders>
                  <w:top w:val="nil"/>
                  <w:left w:val="nil"/>
                  <w:bottom w:val="nil"/>
                  <w:right w:val="nil"/>
                </w:tcBorders>
                <w:tcMar>
                  <w:top w:w="100" w:type="dxa"/>
                  <w:left w:w="100" w:type="dxa"/>
                  <w:bottom w:w="100" w:type="dxa"/>
                  <w:right w:w="100" w:type="dxa"/>
                </w:tcMar>
                <w:vAlign w:val="top"/>
              </w:tcPr>
              <w:p w14:paraId="00000037">
                <w:pPr>
                  <w:spacing w:line="240" w:lineRule="auto"/>
                  <w:rPr>
                    <w:color w:val="0F1115"/>
                    <w:sz w:val="20"/>
                    <w:szCs w:val="20"/>
                    <w:highlight w:val="white"/>
                  </w:rPr>
                </w:pPr>
                <w:r>
                  <w:rPr>
                    <w:color w:val="0F1115"/>
                    <w:sz w:val="20"/>
                    <w:szCs w:val="20"/>
                    <w:highlight w:val="white"/>
                    <w:rtl w:val="0"/>
                  </w:rPr>
                  <w:t>Bignoniaceae</w:t>
                </w:r>
              </w:p>
            </w:tc>
            <w:tc>
              <w:tcPr>
                <w:tcW w:w="4517" w:type="dxa"/>
                <w:tcBorders>
                  <w:top w:val="nil"/>
                  <w:left w:val="nil"/>
                  <w:bottom w:val="nil"/>
                  <w:right w:val="nil"/>
                </w:tcBorders>
                <w:tcMar>
                  <w:top w:w="100" w:type="dxa"/>
                  <w:left w:w="100" w:type="dxa"/>
                  <w:bottom w:w="100" w:type="dxa"/>
                  <w:right w:w="100" w:type="dxa"/>
                </w:tcMar>
                <w:vAlign w:val="top"/>
              </w:tcPr>
              <w:p w14:paraId="00000038">
                <w:pPr>
                  <w:spacing w:line="240" w:lineRule="auto"/>
                  <w:rPr>
                    <w:color w:val="0F1115"/>
                    <w:sz w:val="20"/>
                    <w:szCs w:val="20"/>
                    <w:highlight w:val="white"/>
                  </w:rPr>
                </w:pPr>
                <w:r>
                  <w:rPr>
                    <w:i/>
                    <w:iCs/>
                    <w:color w:val="0F1115"/>
                    <w:sz w:val="20"/>
                    <w:szCs w:val="20"/>
                    <w:highlight w:val="white"/>
                    <w:rtl w:val="0"/>
                  </w:rPr>
                  <w:t>Anemopaegma arvens</w:t>
                </w:r>
                <w:r>
                  <w:rPr>
                    <w:color w:val="0F1115"/>
                    <w:sz w:val="20"/>
                    <w:szCs w:val="20"/>
                    <w:highlight w:val="white"/>
                    <w:rtl w:val="0"/>
                  </w:rPr>
                  <w:t>e (Vell.) Stellfeld ex de Souza</w:t>
                </w:r>
              </w:p>
            </w:tc>
            <w:tc>
              <w:tcPr>
                <w:tcW w:w="1146" w:type="dxa"/>
                <w:tcBorders>
                  <w:top w:val="nil"/>
                  <w:left w:val="nil"/>
                  <w:bottom w:val="nil"/>
                  <w:right w:val="nil"/>
                </w:tcBorders>
                <w:tcMar>
                  <w:top w:w="100" w:type="dxa"/>
                  <w:left w:w="100" w:type="dxa"/>
                  <w:bottom w:w="100" w:type="dxa"/>
                  <w:right w:w="100" w:type="dxa"/>
                </w:tcMar>
                <w:vAlign w:val="top"/>
              </w:tcPr>
              <w:p w14:paraId="00000039">
                <w:pPr>
                  <w:spacing w:line="240" w:lineRule="auto"/>
                  <w:jc w:val="center"/>
                  <w:rPr>
                    <w:color w:val="0F1115"/>
                    <w:sz w:val="20"/>
                    <w:szCs w:val="20"/>
                    <w:highlight w:val="white"/>
                  </w:rPr>
                </w:pPr>
                <w:r>
                  <w:rPr>
                    <w:color w:val="0F1115"/>
                    <w:sz w:val="20"/>
                    <w:szCs w:val="20"/>
                    <w:highlight w:val="white"/>
                    <w:rtl w:val="0"/>
                  </w:rPr>
                  <w:t>EN</w:t>
                </w:r>
              </w:p>
            </w:tc>
            <w:tc>
              <w:tcPr>
                <w:tcW w:w="1973" w:type="dxa"/>
                <w:tcBorders>
                  <w:top w:val="nil"/>
                  <w:left w:val="nil"/>
                  <w:bottom w:val="nil"/>
                  <w:right w:val="nil"/>
                </w:tcBorders>
                <w:tcMar>
                  <w:top w:w="100" w:type="dxa"/>
                  <w:left w:w="100" w:type="dxa"/>
                  <w:bottom w:w="100" w:type="dxa"/>
                  <w:right w:w="100" w:type="dxa"/>
                </w:tcMar>
                <w:vAlign w:val="top"/>
              </w:tcPr>
              <w:p w14:paraId="0000003A">
                <w:pPr>
                  <w:spacing w:line="240" w:lineRule="auto"/>
                  <w:jc w:val="center"/>
                  <w:rPr>
                    <w:color w:val="0F1115"/>
                    <w:sz w:val="20"/>
                    <w:szCs w:val="20"/>
                    <w:highlight w:val="white"/>
                  </w:rPr>
                </w:pPr>
                <w:r>
                  <w:rPr>
                    <w:color w:val="0F1115"/>
                    <w:sz w:val="20"/>
                    <w:szCs w:val="20"/>
                    <w:highlight w:val="white"/>
                    <w:rtl w:val="0"/>
                  </w:rPr>
                  <w:t>Arbusto</w:t>
                </w:r>
              </w:p>
            </w:tc>
          </w:tr>
          <w:tr w14:paraId="465655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129" w:hRule="atLeast"/>
            </w:trPr>
            <w:tc>
              <w:tcPr>
                <w:tcW w:w="1604" w:type="dxa"/>
                <w:tcBorders>
                  <w:top w:val="nil"/>
                  <w:left w:val="nil"/>
                  <w:bottom w:val="nil"/>
                  <w:right w:val="nil"/>
                </w:tcBorders>
                <w:tcMar>
                  <w:top w:w="100" w:type="dxa"/>
                  <w:left w:w="100" w:type="dxa"/>
                  <w:bottom w:w="100" w:type="dxa"/>
                  <w:right w:w="100" w:type="dxa"/>
                </w:tcMar>
                <w:vAlign w:val="top"/>
              </w:tcPr>
              <w:p w14:paraId="0000003B">
                <w:pPr>
                  <w:spacing w:line="240" w:lineRule="auto"/>
                  <w:rPr>
                    <w:color w:val="0F1115"/>
                    <w:sz w:val="20"/>
                    <w:szCs w:val="20"/>
                    <w:highlight w:val="white"/>
                  </w:rPr>
                </w:pPr>
                <w:r>
                  <w:rPr>
                    <w:color w:val="0F1115"/>
                    <w:sz w:val="20"/>
                    <w:szCs w:val="20"/>
                    <w:highlight w:val="white"/>
                    <w:rtl w:val="0"/>
                  </w:rPr>
                  <w:t>Fabaceae</w:t>
                </w:r>
              </w:p>
            </w:tc>
            <w:tc>
              <w:tcPr>
                <w:tcW w:w="4517" w:type="dxa"/>
                <w:tcBorders>
                  <w:top w:val="nil"/>
                  <w:left w:val="nil"/>
                  <w:bottom w:val="nil"/>
                  <w:right w:val="nil"/>
                </w:tcBorders>
                <w:tcMar>
                  <w:top w:w="100" w:type="dxa"/>
                  <w:left w:w="100" w:type="dxa"/>
                  <w:bottom w:w="100" w:type="dxa"/>
                  <w:right w:w="100" w:type="dxa"/>
                </w:tcMar>
                <w:vAlign w:val="top"/>
              </w:tcPr>
              <w:p w14:paraId="0000003C">
                <w:pPr>
                  <w:spacing w:line="240" w:lineRule="auto"/>
                  <w:rPr>
                    <w:color w:val="0F1115"/>
                    <w:sz w:val="20"/>
                    <w:szCs w:val="20"/>
                    <w:highlight w:val="white"/>
                  </w:rPr>
                </w:pPr>
                <w:r>
                  <w:rPr>
                    <w:i/>
                    <w:iCs/>
                    <w:color w:val="0F1115"/>
                    <w:sz w:val="20"/>
                    <w:szCs w:val="20"/>
                    <w:highlight w:val="white"/>
                    <w:rtl w:val="0"/>
                  </w:rPr>
                  <w:t>Mimosa thomista</w:t>
                </w:r>
                <w:r>
                  <w:rPr>
                    <w:color w:val="0F1115"/>
                    <w:sz w:val="20"/>
                    <w:szCs w:val="20"/>
                    <w:highlight w:val="white"/>
                    <w:rtl w:val="0"/>
                  </w:rPr>
                  <w:t xml:space="preserve"> Barneby</w:t>
                </w:r>
              </w:p>
            </w:tc>
            <w:tc>
              <w:tcPr>
                <w:tcW w:w="1146" w:type="dxa"/>
                <w:tcBorders>
                  <w:top w:val="nil"/>
                  <w:left w:val="nil"/>
                  <w:bottom w:val="nil"/>
                  <w:right w:val="nil"/>
                </w:tcBorders>
                <w:tcMar>
                  <w:top w:w="100" w:type="dxa"/>
                  <w:left w:w="100" w:type="dxa"/>
                  <w:bottom w:w="100" w:type="dxa"/>
                  <w:right w:w="100" w:type="dxa"/>
                </w:tcMar>
                <w:vAlign w:val="top"/>
              </w:tcPr>
              <w:p w14:paraId="0000003D">
                <w:pPr>
                  <w:spacing w:line="240" w:lineRule="auto"/>
                  <w:jc w:val="center"/>
                  <w:rPr>
                    <w:color w:val="0F1115"/>
                    <w:sz w:val="20"/>
                    <w:szCs w:val="20"/>
                    <w:highlight w:val="white"/>
                  </w:rPr>
                </w:pPr>
                <w:r>
                  <w:rPr>
                    <w:color w:val="0F1115"/>
                    <w:sz w:val="20"/>
                    <w:szCs w:val="20"/>
                    <w:highlight w:val="white"/>
                    <w:rtl w:val="0"/>
                  </w:rPr>
                  <w:t>EN</w:t>
                </w:r>
              </w:p>
            </w:tc>
            <w:tc>
              <w:tcPr>
                <w:tcW w:w="1973" w:type="dxa"/>
                <w:tcBorders>
                  <w:top w:val="nil"/>
                  <w:left w:val="nil"/>
                  <w:bottom w:val="nil"/>
                  <w:right w:val="nil"/>
                </w:tcBorders>
                <w:tcMar>
                  <w:top w:w="100" w:type="dxa"/>
                  <w:left w:w="100" w:type="dxa"/>
                  <w:bottom w:w="100" w:type="dxa"/>
                  <w:right w:w="100" w:type="dxa"/>
                </w:tcMar>
                <w:vAlign w:val="top"/>
              </w:tcPr>
              <w:p w14:paraId="0000003E">
                <w:pPr>
                  <w:spacing w:line="240" w:lineRule="auto"/>
                  <w:jc w:val="center"/>
                  <w:rPr>
                    <w:color w:val="0F1115"/>
                    <w:sz w:val="20"/>
                    <w:szCs w:val="20"/>
                    <w:highlight w:val="white"/>
                  </w:rPr>
                </w:pPr>
                <w:r>
                  <w:rPr>
                    <w:color w:val="0F1115"/>
                    <w:sz w:val="20"/>
                    <w:szCs w:val="20"/>
                    <w:highlight w:val="white"/>
                    <w:rtl w:val="0"/>
                  </w:rPr>
                  <w:t>Subarbusto</w:t>
                </w:r>
              </w:p>
            </w:tc>
          </w:tr>
          <w:tr w14:paraId="7C30F5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604" w:type="dxa"/>
                <w:tcBorders>
                  <w:top w:val="nil"/>
                  <w:left w:val="nil"/>
                  <w:bottom w:val="nil"/>
                  <w:right w:val="nil"/>
                </w:tcBorders>
                <w:tcMar>
                  <w:top w:w="100" w:type="dxa"/>
                  <w:left w:w="100" w:type="dxa"/>
                  <w:bottom w:w="100" w:type="dxa"/>
                  <w:right w:w="100" w:type="dxa"/>
                </w:tcMar>
                <w:vAlign w:val="top"/>
              </w:tcPr>
              <w:p w14:paraId="0000003F">
                <w:pPr>
                  <w:spacing w:line="240" w:lineRule="auto"/>
                  <w:rPr>
                    <w:color w:val="0F1115"/>
                    <w:sz w:val="20"/>
                    <w:szCs w:val="20"/>
                    <w:highlight w:val="white"/>
                  </w:rPr>
                </w:pPr>
                <w:r>
                  <w:rPr>
                    <w:color w:val="0F1115"/>
                    <w:sz w:val="20"/>
                    <w:szCs w:val="20"/>
                    <w:highlight w:val="white"/>
                    <w:rtl w:val="0"/>
                  </w:rPr>
                  <w:t>Poaceae</w:t>
                </w:r>
              </w:p>
            </w:tc>
            <w:tc>
              <w:tcPr>
                <w:tcW w:w="4517" w:type="dxa"/>
                <w:tcBorders>
                  <w:top w:val="nil"/>
                  <w:left w:val="nil"/>
                  <w:bottom w:val="nil"/>
                  <w:right w:val="nil"/>
                </w:tcBorders>
                <w:tcMar>
                  <w:top w:w="100" w:type="dxa"/>
                  <w:left w:w="100" w:type="dxa"/>
                  <w:bottom w:w="100" w:type="dxa"/>
                  <w:right w:w="100" w:type="dxa"/>
                </w:tcMar>
                <w:vAlign w:val="top"/>
              </w:tcPr>
              <w:p w14:paraId="00000040">
                <w:pPr>
                  <w:spacing w:line="240" w:lineRule="auto"/>
                  <w:rPr>
                    <w:color w:val="0F1115"/>
                    <w:sz w:val="20"/>
                    <w:szCs w:val="20"/>
                    <w:highlight w:val="white"/>
                  </w:rPr>
                </w:pPr>
                <w:r>
                  <w:rPr>
                    <w:i/>
                    <w:iCs/>
                    <w:color w:val="0F1115"/>
                    <w:sz w:val="20"/>
                    <w:szCs w:val="20"/>
                    <w:highlight w:val="white"/>
                    <w:rtl w:val="0"/>
                  </w:rPr>
                  <w:t>Axonopus monticola</w:t>
                </w:r>
                <w:r>
                  <w:rPr>
                    <w:color w:val="0F1115"/>
                    <w:sz w:val="20"/>
                    <w:szCs w:val="20"/>
                    <w:highlight w:val="white"/>
                    <w:rtl w:val="0"/>
                  </w:rPr>
                  <w:t xml:space="preserve"> G.A. Black</w:t>
                </w:r>
              </w:p>
            </w:tc>
            <w:tc>
              <w:tcPr>
                <w:tcW w:w="1146" w:type="dxa"/>
                <w:tcBorders>
                  <w:top w:val="nil"/>
                  <w:left w:val="nil"/>
                  <w:bottom w:val="nil"/>
                  <w:right w:val="nil"/>
                </w:tcBorders>
                <w:tcMar>
                  <w:top w:w="100" w:type="dxa"/>
                  <w:left w:w="100" w:type="dxa"/>
                  <w:bottom w:w="100" w:type="dxa"/>
                  <w:right w:w="100" w:type="dxa"/>
                </w:tcMar>
                <w:vAlign w:val="top"/>
              </w:tcPr>
              <w:p w14:paraId="00000041">
                <w:pPr>
                  <w:spacing w:line="240" w:lineRule="auto"/>
                  <w:jc w:val="center"/>
                  <w:rPr>
                    <w:color w:val="0F1115"/>
                    <w:sz w:val="20"/>
                    <w:szCs w:val="20"/>
                    <w:highlight w:val="white"/>
                  </w:rPr>
                </w:pPr>
                <w:r>
                  <w:rPr>
                    <w:color w:val="0F1115"/>
                    <w:sz w:val="20"/>
                    <w:szCs w:val="20"/>
                    <w:highlight w:val="white"/>
                    <w:rtl w:val="0"/>
                  </w:rPr>
                  <w:t>EN</w:t>
                </w:r>
              </w:p>
            </w:tc>
            <w:tc>
              <w:tcPr>
                <w:tcW w:w="1973" w:type="dxa"/>
                <w:tcBorders>
                  <w:top w:val="nil"/>
                  <w:left w:val="nil"/>
                  <w:bottom w:val="nil"/>
                  <w:right w:val="nil"/>
                </w:tcBorders>
                <w:tcMar>
                  <w:top w:w="100" w:type="dxa"/>
                  <w:left w:w="100" w:type="dxa"/>
                  <w:bottom w:w="100" w:type="dxa"/>
                  <w:right w:w="100" w:type="dxa"/>
                </w:tcMar>
                <w:vAlign w:val="top"/>
              </w:tcPr>
              <w:p w14:paraId="00000042">
                <w:pPr>
                  <w:spacing w:line="240" w:lineRule="auto"/>
                  <w:jc w:val="center"/>
                  <w:rPr>
                    <w:color w:val="0F1115"/>
                    <w:sz w:val="20"/>
                    <w:szCs w:val="20"/>
                    <w:highlight w:val="white"/>
                  </w:rPr>
                </w:pPr>
                <w:r>
                  <w:rPr>
                    <w:color w:val="0F1115"/>
                    <w:sz w:val="20"/>
                    <w:szCs w:val="20"/>
                    <w:highlight w:val="white"/>
                    <w:rtl w:val="0"/>
                  </w:rPr>
                  <w:t>Erva</w:t>
                </w:r>
              </w:p>
            </w:tc>
          </w:tr>
          <w:tr w14:paraId="6F0C23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604" w:type="dxa"/>
                <w:tcBorders>
                  <w:top w:val="nil"/>
                  <w:left w:val="nil"/>
                  <w:bottom w:val="nil"/>
                  <w:right w:val="nil"/>
                </w:tcBorders>
                <w:tcMar>
                  <w:top w:w="100" w:type="dxa"/>
                  <w:left w:w="100" w:type="dxa"/>
                  <w:bottom w:w="100" w:type="dxa"/>
                  <w:right w:w="100" w:type="dxa"/>
                </w:tcMar>
                <w:vAlign w:val="top"/>
              </w:tcPr>
              <w:p w14:paraId="00000043">
                <w:pPr>
                  <w:spacing w:line="240" w:lineRule="auto"/>
                  <w:rPr>
                    <w:color w:val="0F1115"/>
                    <w:sz w:val="20"/>
                    <w:szCs w:val="20"/>
                    <w:highlight w:val="white"/>
                  </w:rPr>
                </w:pPr>
                <w:r>
                  <w:rPr>
                    <w:color w:val="0F1115"/>
                    <w:sz w:val="20"/>
                    <w:szCs w:val="20"/>
                    <w:highlight w:val="white"/>
                    <w:rtl w:val="0"/>
                  </w:rPr>
                  <w:t>Amaryllidaceae</w:t>
                </w:r>
              </w:p>
            </w:tc>
            <w:tc>
              <w:tcPr>
                <w:tcW w:w="4517" w:type="dxa"/>
                <w:tcBorders>
                  <w:top w:val="nil"/>
                  <w:left w:val="nil"/>
                  <w:bottom w:val="nil"/>
                  <w:right w:val="nil"/>
                </w:tcBorders>
                <w:tcMar>
                  <w:top w:w="100" w:type="dxa"/>
                  <w:left w:w="100" w:type="dxa"/>
                  <w:bottom w:w="100" w:type="dxa"/>
                  <w:right w:w="100" w:type="dxa"/>
                </w:tcMar>
                <w:vAlign w:val="top"/>
              </w:tcPr>
              <w:p w14:paraId="00000044">
                <w:pPr>
                  <w:spacing w:line="240" w:lineRule="auto"/>
                  <w:rPr>
                    <w:color w:val="0F1115"/>
                    <w:sz w:val="20"/>
                    <w:szCs w:val="20"/>
                    <w:highlight w:val="white"/>
                  </w:rPr>
                </w:pPr>
                <w:r>
                  <w:rPr>
                    <w:i/>
                    <w:iCs/>
                    <w:color w:val="0F1115"/>
                    <w:sz w:val="20"/>
                    <w:szCs w:val="20"/>
                    <w:highlight w:val="white"/>
                    <w:rtl w:val="0"/>
                  </w:rPr>
                  <w:t>Hippeastrum morelianum</w:t>
                </w:r>
                <w:r>
                  <w:rPr>
                    <w:color w:val="0F1115"/>
                    <w:sz w:val="20"/>
                    <w:szCs w:val="20"/>
                    <w:highlight w:val="white"/>
                    <w:rtl w:val="0"/>
                  </w:rPr>
                  <w:t xml:space="preserve"> Lem.</w:t>
                </w:r>
              </w:p>
            </w:tc>
            <w:tc>
              <w:tcPr>
                <w:tcW w:w="1146" w:type="dxa"/>
                <w:tcBorders>
                  <w:top w:val="nil"/>
                  <w:left w:val="nil"/>
                  <w:bottom w:val="nil"/>
                  <w:right w:val="nil"/>
                </w:tcBorders>
                <w:tcMar>
                  <w:top w:w="100" w:type="dxa"/>
                  <w:left w:w="100" w:type="dxa"/>
                  <w:bottom w:w="100" w:type="dxa"/>
                  <w:right w:w="100" w:type="dxa"/>
                </w:tcMar>
                <w:vAlign w:val="top"/>
              </w:tcPr>
              <w:p w14:paraId="00000045">
                <w:pPr>
                  <w:spacing w:line="240" w:lineRule="auto"/>
                  <w:jc w:val="center"/>
                  <w:rPr>
                    <w:color w:val="0F1115"/>
                    <w:sz w:val="20"/>
                    <w:szCs w:val="20"/>
                    <w:highlight w:val="white"/>
                  </w:rPr>
                </w:pPr>
                <w:r>
                  <w:rPr>
                    <w:color w:val="0F1115"/>
                    <w:sz w:val="20"/>
                    <w:szCs w:val="20"/>
                    <w:highlight w:val="white"/>
                    <w:rtl w:val="0"/>
                  </w:rPr>
                  <w:t>VU</w:t>
                </w:r>
              </w:p>
            </w:tc>
            <w:tc>
              <w:tcPr>
                <w:tcW w:w="1973" w:type="dxa"/>
                <w:tcBorders>
                  <w:top w:val="nil"/>
                  <w:left w:val="nil"/>
                  <w:bottom w:val="nil"/>
                  <w:right w:val="nil"/>
                </w:tcBorders>
                <w:tcMar>
                  <w:top w:w="100" w:type="dxa"/>
                  <w:left w:w="100" w:type="dxa"/>
                  <w:bottom w:w="100" w:type="dxa"/>
                  <w:right w:w="100" w:type="dxa"/>
                </w:tcMar>
                <w:vAlign w:val="top"/>
              </w:tcPr>
              <w:p w14:paraId="00000046">
                <w:pPr>
                  <w:spacing w:line="240" w:lineRule="auto"/>
                  <w:jc w:val="center"/>
                  <w:rPr>
                    <w:color w:val="0F1115"/>
                    <w:sz w:val="20"/>
                    <w:szCs w:val="20"/>
                    <w:highlight w:val="white"/>
                  </w:rPr>
                </w:pPr>
                <w:r>
                  <w:rPr>
                    <w:color w:val="0F1115"/>
                    <w:sz w:val="20"/>
                    <w:szCs w:val="20"/>
                    <w:highlight w:val="white"/>
                    <w:rtl w:val="0"/>
                  </w:rPr>
                  <w:t>Erva</w:t>
                </w:r>
              </w:p>
            </w:tc>
          </w:tr>
          <w:tr w14:paraId="03EA8A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604" w:type="dxa"/>
                <w:tcBorders>
                  <w:top w:val="nil"/>
                  <w:left w:val="nil"/>
                  <w:bottom w:val="nil"/>
                  <w:right w:val="nil"/>
                </w:tcBorders>
                <w:tcMar>
                  <w:top w:w="100" w:type="dxa"/>
                  <w:left w:w="100" w:type="dxa"/>
                  <w:bottom w:w="100" w:type="dxa"/>
                  <w:right w:w="100" w:type="dxa"/>
                </w:tcMar>
                <w:vAlign w:val="top"/>
              </w:tcPr>
              <w:p w14:paraId="00000047">
                <w:pPr>
                  <w:spacing w:line="240" w:lineRule="auto"/>
                  <w:rPr>
                    <w:color w:val="0F1115"/>
                    <w:sz w:val="20"/>
                    <w:szCs w:val="20"/>
                    <w:highlight w:val="white"/>
                  </w:rPr>
                </w:pPr>
                <w:r>
                  <w:rPr>
                    <w:color w:val="0F1115"/>
                    <w:sz w:val="20"/>
                    <w:szCs w:val="20"/>
                    <w:highlight w:val="white"/>
                    <w:rtl w:val="0"/>
                  </w:rPr>
                  <w:t>Amaryllidaceae</w:t>
                </w:r>
              </w:p>
            </w:tc>
            <w:tc>
              <w:tcPr>
                <w:tcW w:w="4517" w:type="dxa"/>
                <w:tcBorders>
                  <w:top w:val="nil"/>
                  <w:left w:val="nil"/>
                  <w:bottom w:val="nil"/>
                  <w:right w:val="nil"/>
                </w:tcBorders>
                <w:tcMar>
                  <w:top w:w="100" w:type="dxa"/>
                  <w:left w:w="100" w:type="dxa"/>
                  <w:bottom w:w="100" w:type="dxa"/>
                  <w:right w:w="100" w:type="dxa"/>
                </w:tcMar>
                <w:vAlign w:val="top"/>
              </w:tcPr>
              <w:p w14:paraId="00000048">
                <w:pPr>
                  <w:spacing w:line="240" w:lineRule="auto"/>
                  <w:rPr>
                    <w:color w:val="0F1115"/>
                    <w:sz w:val="20"/>
                    <w:szCs w:val="20"/>
                    <w:highlight w:val="white"/>
                  </w:rPr>
                </w:pPr>
                <w:r>
                  <w:rPr>
                    <w:i/>
                    <w:iCs/>
                    <w:color w:val="0F1115"/>
                    <w:sz w:val="20"/>
                    <w:szCs w:val="20"/>
                    <w:highlight w:val="white"/>
                    <w:rtl w:val="0"/>
                  </w:rPr>
                  <w:t>Zephyranthes irwiniana</w:t>
                </w:r>
                <w:r>
                  <w:rPr>
                    <w:color w:val="0F1115"/>
                    <w:sz w:val="20"/>
                    <w:szCs w:val="20"/>
                    <w:highlight w:val="white"/>
                    <w:rtl w:val="0"/>
                  </w:rPr>
                  <w:t xml:space="preserve"> (Ravenna) Nic.García</w:t>
                </w:r>
              </w:p>
            </w:tc>
            <w:tc>
              <w:tcPr>
                <w:tcW w:w="1146" w:type="dxa"/>
                <w:tcBorders>
                  <w:top w:val="nil"/>
                  <w:left w:val="nil"/>
                  <w:bottom w:val="nil"/>
                  <w:right w:val="nil"/>
                </w:tcBorders>
                <w:tcMar>
                  <w:top w:w="100" w:type="dxa"/>
                  <w:left w:w="100" w:type="dxa"/>
                  <w:bottom w:w="100" w:type="dxa"/>
                  <w:right w:w="100" w:type="dxa"/>
                </w:tcMar>
                <w:vAlign w:val="top"/>
              </w:tcPr>
              <w:p w14:paraId="00000049">
                <w:pPr>
                  <w:spacing w:line="240" w:lineRule="auto"/>
                  <w:jc w:val="center"/>
                  <w:rPr>
                    <w:color w:val="0F1115"/>
                    <w:sz w:val="20"/>
                    <w:szCs w:val="20"/>
                    <w:highlight w:val="white"/>
                  </w:rPr>
                </w:pPr>
                <w:r>
                  <w:rPr>
                    <w:color w:val="0F1115"/>
                    <w:sz w:val="20"/>
                    <w:szCs w:val="20"/>
                    <w:highlight w:val="white"/>
                    <w:rtl w:val="0"/>
                  </w:rPr>
                  <w:t>VU</w:t>
                </w:r>
              </w:p>
            </w:tc>
            <w:tc>
              <w:tcPr>
                <w:tcW w:w="1973" w:type="dxa"/>
                <w:tcBorders>
                  <w:top w:val="nil"/>
                  <w:left w:val="nil"/>
                  <w:bottom w:val="nil"/>
                  <w:right w:val="nil"/>
                </w:tcBorders>
                <w:tcMar>
                  <w:top w:w="100" w:type="dxa"/>
                  <w:left w:w="100" w:type="dxa"/>
                  <w:bottom w:w="100" w:type="dxa"/>
                  <w:right w:w="100" w:type="dxa"/>
                </w:tcMar>
                <w:vAlign w:val="top"/>
              </w:tcPr>
              <w:p w14:paraId="0000004A">
                <w:pPr>
                  <w:spacing w:line="240" w:lineRule="auto"/>
                  <w:jc w:val="center"/>
                  <w:rPr>
                    <w:color w:val="0F1115"/>
                    <w:sz w:val="20"/>
                    <w:szCs w:val="20"/>
                    <w:highlight w:val="white"/>
                  </w:rPr>
                </w:pPr>
                <w:r>
                  <w:rPr>
                    <w:color w:val="0F1115"/>
                    <w:sz w:val="20"/>
                    <w:szCs w:val="20"/>
                    <w:highlight w:val="white"/>
                    <w:rtl w:val="0"/>
                  </w:rPr>
                  <w:t>Erva</w:t>
                </w:r>
              </w:p>
            </w:tc>
          </w:tr>
          <w:tr w14:paraId="1C7A81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604" w:type="dxa"/>
                <w:tcBorders>
                  <w:top w:val="nil"/>
                  <w:left w:val="nil"/>
                  <w:bottom w:val="nil"/>
                  <w:right w:val="nil"/>
                </w:tcBorders>
                <w:tcMar>
                  <w:top w:w="100" w:type="dxa"/>
                  <w:left w:w="100" w:type="dxa"/>
                  <w:bottom w:w="100" w:type="dxa"/>
                  <w:right w:w="100" w:type="dxa"/>
                </w:tcMar>
                <w:vAlign w:val="top"/>
              </w:tcPr>
              <w:p w14:paraId="0000004B">
                <w:pPr>
                  <w:spacing w:line="240" w:lineRule="auto"/>
                  <w:rPr>
                    <w:color w:val="0F1115"/>
                    <w:sz w:val="20"/>
                    <w:szCs w:val="20"/>
                    <w:highlight w:val="white"/>
                  </w:rPr>
                </w:pPr>
                <w:r>
                  <w:rPr>
                    <w:color w:val="0F1115"/>
                    <w:sz w:val="20"/>
                    <w:szCs w:val="20"/>
                    <w:highlight w:val="white"/>
                    <w:rtl w:val="0"/>
                  </w:rPr>
                  <w:t>Fabaceae</w:t>
                </w:r>
              </w:p>
            </w:tc>
            <w:tc>
              <w:tcPr>
                <w:tcW w:w="4517" w:type="dxa"/>
                <w:tcBorders>
                  <w:top w:val="nil"/>
                  <w:left w:val="nil"/>
                  <w:bottom w:val="nil"/>
                  <w:right w:val="nil"/>
                </w:tcBorders>
                <w:tcMar>
                  <w:top w:w="100" w:type="dxa"/>
                  <w:left w:w="100" w:type="dxa"/>
                  <w:bottom w:w="100" w:type="dxa"/>
                  <w:right w:w="100" w:type="dxa"/>
                </w:tcMar>
                <w:vAlign w:val="top"/>
              </w:tcPr>
              <w:p w14:paraId="0000004C">
                <w:pPr>
                  <w:spacing w:line="240" w:lineRule="auto"/>
                  <w:rPr>
                    <w:color w:val="0F1115"/>
                    <w:sz w:val="20"/>
                    <w:szCs w:val="20"/>
                    <w:highlight w:val="white"/>
                  </w:rPr>
                </w:pPr>
                <w:r>
                  <w:rPr>
                    <w:i/>
                    <w:iCs/>
                    <w:color w:val="0F1115"/>
                    <w:sz w:val="20"/>
                    <w:szCs w:val="20"/>
                    <w:highlight w:val="white"/>
                    <w:rtl w:val="0"/>
                  </w:rPr>
                  <w:t>Mimosa paucifolia</w:t>
                </w:r>
                <w:r>
                  <w:rPr>
                    <w:color w:val="0F1115"/>
                    <w:sz w:val="20"/>
                    <w:szCs w:val="20"/>
                    <w:highlight w:val="white"/>
                    <w:rtl w:val="0"/>
                  </w:rPr>
                  <w:t xml:space="preserve"> Benth.</w:t>
                </w:r>
              </w:p>
            </w:tc>
            <w:tc>
              <w:tcPr>
                <w:tcW w:w="1146" w:type="dxa"/>
                <w:tcBorders>
                  <w:top w:val="nil"/>
                  <w:left w:val="nil"/>
                  <w:bottom w:val="nil"/>
                  <w:right w:val="nil"/>
                </w:tcBorders>
                <w:tcMar>
                  <w:top w:w="100" w:type="dxa"/>
                  <w:left w:w="100" w:type="dxa"/>
                  <w:bottom w:w="100" w:type="dxa"/>
                  <w:right w:w="100" w:type="dxa"/>
                </w:tcMar>
                <w:vAlign w:val="top"/>
              </w:tcPr>
              <w:p w14:paraId="0000004D">
                <w:pPr>
                  <w:spacing w:line="240" w:lineRule="auto"/>
                  <w:jc w:val="center"/>
                  <w:rPr>
                    <w:color w:val="0F1115"/>
                    <w:sz w:val="20"/>
                    <w:szCs w:val="20"/>
                    <w:highlight w:val="white"/>
                  </w:rPr>
                </w:pPr>
                <w:r>
                  <w:rPr>
                    <w:color w:val="0F1115"/>
                    <w:sz w:val="20"/>
                    <w:szCs w:val="20"/>
                    <w:highlight w:val="white"/>
                    <w:rtl w:val="0"/>
                  </w:rPr>
                  <w:t>VU</w:t>
                </w:r>
              </w:p>
            </w:tc>
            <w:tc>
              <w:tcPr>
                <w:tcW w:w="1973" w:type="dxa"/>
                <w:tcBorders>
                  <w:top w:val="nil"/>
                  <w:left w:val="nil"/>
                  <w:bottom w:val="nil"/>
                  <w:right w:val="nil"/>
                </w:tcBorders>
                <w:tcMar>
                  <w:top w:w="100" w:type="dxa"/>
                  <w:left w:w="100" w:type="dxa"/>
                  <w:bottom w:w="100" w:type="dxa"/>
                  <w:right w:w="100" w:type="dxa"/>
                </w:tcMar>
                <w:vAlign w:val="top"/>
              </w:tcPr>
              <w:p w14:paraId="0000004E">
                <w:pPr>
                  <w:spacing w:line="240" w:lineRule="auto"/>
                  <w:jc w:val="center"/>
                  <w:rPr>
                    <w:color w:val="0F1115"/>
                    <w:sz w:val="20"/>
                    <w:szCs w:val="20"/>
                    <w:highlight w:val="white"/>
                  </w:rPr>
                </w:pPr>
                <w:r>
                  <w:rPr>
                    <w:color w:val="0F1115"/>
                    <w:sz w:val="20"/>
                    <w:szCs w:val="20"/>
                    <w:highlight w:val="white"/>
                    <w:rtl w:val="0"/>
                  </w:rPr>
                  <w:t>Erva./Subarbusto</w:t>
                </w:r>
              </w:p>
            </w:tc>
          </w:tr>
          <w:tr w14:paraId="14015E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90" w:hRule="atLeast"/>
            </w:trPr>
            <w:tc>
              <w:tcPr>
                <w:tcW w:w="1604" w:type="dxa"/>
                <w:tcBorders>
                  <w:top w:val="nil"/>
                  <w:left w:val="nil"/>
                  <w:bottom w:val="nil"/>
                  <w:right w:val="nil"/>
                </w:tcBorders>
                <w:tcMar>
                  <w:top w:w="100" w:type="dxa"/>
                  <w:left w:w="100" w:type="dxa"/>
                  <w:bottom w:w="100" w:type="dxa"/>
                  <w:right w:w="100" w:type="dxa"/>
                </w:tcMar>
                <w:vAlign w:val="top"/>
              </w:tcPr>
              <w:p w14:paraId="0000004F">
                <w:pPr>
                  <w:spacing w:line="240" w:lineRule="auto"/>
                  <w:rPr>
                    <w:color w:val="0F1115"/>
                    <w:sz w:val="20"/>
                    <w:szCs w:val="20"/>
                    <w:highlight w:val="white"/>
                  </w:rPr>
                </w:pPr>
                <w:r>
                  <w:rPr>
                    <w:color w:val="0F1115"/>
                    <w:sz w:val="20"/>
                    <w:szCs w:val="20"/>
                    <w:highlight w:val="white"/>
                    <w:rtl w:val="0"/>
                  </w:rPr>
                  <w:t>Lythraceae</w:t>
                </w:r>
              </w:p>
            </w:tc>
            <w:tc>
              <w:tcPr>
                <w:tcW w:w="4517" w:type="dxa"/>
                <w:tcBorders>
                  <w:top w:val="nil"/>
                  <w:left w:val="nil"/>
                  <w:bottom w:val="nil"/>
                  <w:right w:val="nil"/>
                </w:tcBorders>
                <w:tcMar>
                  <w:top w:w="100" w:type="dxa"/>
                  <w:left w:w="100" w:type="dxa"/>
                  <w:bottom w:w="100" w:type="dxa"/>
                  <w:right w:w="100" w:type="dxa"/>
                </w:tcMar>
                <w:vAlign w:val="top"/>
              </w:tcPr>
              <w:p w14:paraId="00000050">
                <w:pPr>
                  <w:spacing w:line="240" w:lineRule="auto"/>
                  <w:rPr>
                    <w:color w:val="0F1115"/>
                    <w:sz w:val="20"/>
                    <w:szCs w:val="20"/>
                    <w:highlight w:val="white"/>
                  </w:rPr>
                </w:pPr>
                <w:r>
                  <w:rPr>
                    <w:i/>
                    <w:iCs/>
                    <w:color w:val="0F1115"/>
                    <w:sz w:val="20"/>
                    <w:szCs w:val="20"/>
                    <w:highlight w:val="white"/>
                    <w:rtl w:val="0"/>
                  </w:rPr>
                  <w:t>Diplusodon villosissimus</w:t>
                </w:r>
                <w:r>
                  <w:rPr>
                    <w:color w:val="0F1115"/>
                    <w:sz w:val="20"/>
                    <w:szCs w:val="20"/>
                    <w:highlight w:val="white"/>
                    <w:rtl w:val="0"/>
                  </w:rPr>
                  <w:t xml:space="preserve"> Pohl</w:t>
                </w:r>
              </w:p>
            </w:tc>
            <w:tc>
              <w:tcPr>
                <w:tcW w:w="1146" w:type="dxa"/>
                <w:tcBorders>
                  <w:top w:val="nil"/>
                  <w:left w:val="nil"/>
                  <w:bottom w:val="nil"/>
                  <w:right w:val="nil"/>
                </w:tcBorders>
                <w:tcMar>
                  <w:top w:w="100" w:type="dxa"/>
                  <w:left w:w="100" w:type="dxa"/>
                  <w:bottom w:w="100" w:type="dxa"/>
                  <w:right w:w="100" w:type="dxa"/>
                </w:tcMar>
                <w:vAlign w:val="top"/>
              </w:tcPr>
              <w:p w14:paraId="00000051">
                <w:pPr>
                  <w:spacing w:line="240" w:lineRule="auto"/>
                  <w:jc w:val="center"/>
                  <w:rPr>
                    <w:color w:val="0F1115"/>
                    <w:sz w:val="20"/>
                    <w:szCs w:val="20"/>
                    <w:highlight w:val="white"/>
                  </w:rPr>
                </w:pPr>
                <w:r>
                  <w:rPr>
                    <w:color w:val="0F1115"/>
                    <w:sz w:val="20"/>
                    <w:szCs w:val="20"/>
                    <w:highlight w:val="white"/>
                    <w:rtl w:val="0"/>
                  </w:rPr>
                  <w:t>VU</w:t>
                </w:r>
              </w:p>
            </w:tc>
            <w:tc>
              <w:tcPr>
                <w:tcW w:w="1973" w:type="dxa"/>
                <w:tcBorders>
                  <w:top w:val="nil"/>
                  <w:left w:val="nil"/>
                  <w:bottom w:val="nil"/>
                  <w:right w:val="nil"/>
                </w:tcBorders>
                <w:tcMar>
                  <w:top w:w="100" w:type="dxa"/>
                  <w:left w:w="100" w:type="dxa"/>
                  <w:bottom w:w="100" w:type="dxa"/>
                  <w:right w:w="100" w:type="dxa"/>
                </w:tcMar>
                <w:vAlign w:val="top"/>
              </w:tcPr>
              <w:p w14:paraId="00000052">
                <w:pPr>
                  <w:spacing w:line="240" w:lineRule="auto"/>
                  <w:jc w:val="center"/>
                  <w:rPr>
                    <w:color w:val="0F1115"/>
                    <w:sz w:val="20"/>
                    <w:szCs w:val="20"/>
                    <w:highlight w:val="white"/>
                  </w:rPr>
                </w:pPr>
                <w:r>
                  <w:rPr>
                    <w:color w:val="0F1115"/>
                    <w:sz w:val="20"/>
                    <w:szCs w:val="20"/>
                    <w:highlight w:val="white"/>
                    <w:rtl w:val="0"/>
                  </w:rPr>
                  <w:t>Subarbusto</w:t>
                </w:r>
              </w:p>
            </w:tc>
          </w:tr>
          <w:tr w14:paraId="5EFFCE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04" w:hRule="atLeast"/>
            </w:trPr>
            <w:tc>
              <w:tcPr>
                <w:tcW w:w="1604" w:type="dxa"/>
                <w:tcBorders>
                  <w:top w:val="nil"/>
                  <w:left w:val="nil"/>
                  <w:bottom w:val="single" w:color="000000" w:sz="8" w:space="0"/>
                  <w:right w:val="nil"/>
                </w:tcBorders>
                <w:tcMar>
                  <w:top w:w="100" w:type="dxa"/>
                  <w:left w:w="100" w:type="dxa"/>
                  <w:bottom w:w="100" w:type="dxa"/>
                  <w:right w:w="100" w:type="dxa"/>
                </w:tcMar>
                <w:vAlign w:val="top"/>
              </w:tcPr>
              <w:p w14:paraId="00000053">
                <w:pPr>
                  <w:spacing w:line="240" w:lineRule="auto"/>
                  <w:rPr>
                    <w:color w:val="0F1115"/>
                    <w:sz w:val="20"/>
                    <w:szCs w:val="20"/>
                    <w:highlight w:val="white"/>
                  </w:rPr>
                </w:pPr>
                <w:r>
                  <w:rPr>
                    <w:color w:val="0F1115"/>
                    <w:sz w:val="20"/>
                    <w:szCs w:val="20"/>
                    <w:highlight w:val="white"/>
                    <w:rtl w:val="0"/>
                  </w:rPr>
                  <w:t>Orchidaceae</w:t>
                </w:r>
              </w:p>
            </w:tc>
            <w:tc>
              <w:tcPr>
                <w:tcW w:w="4517" w:type="dxa"/>
                <w:tcBorders>
                  <w:top w:val="nil"/>
                  <w:left w:val="nil"/>
                  <w:bottom w:val="single" w:color="000000" w:sz="8" w:space="0"/>
                  <w:right w:val="nil"/>
                </w:tcBorders>
                <w:tcMar>
                  <w:top w:w="100" w:type="dxa"/>
                  <w:left w:w="100" w:type="dxa"/>
                  <w:bottom w:w="100" w:type="dxa"/>
                  <w:right w:w="100" w:type="dxa"/>
                </w:tcMar>
                <w:vAlign w:val="top"/>
              </w:tcPr>
              <w:p w14:paraId="00000054">
                <w:pPr>
                  <w:spacing w:line="240" w:lineRule="auto"/>
                  <w:rPr>
                    <w:color w:val="0F1115"/>
                    <w:sz w:val="20"/>
                    <w:szCs w:val="20"/>
                    <w:highlight w:val="white"/>
                  </w:rPr>
                </w:pPr>
                <w:r>
                  <w:rPr>
                    <w:i/>
                    <w:iCs/>
                    <w:color w:val="0F1115"/>
                    <w:sz w:val="20"/>
                    <w:szCs w:val="20"/>
                    <w:highlight w:val="white"/>
                    <w:rtl w:val="0"/>
                  </w:rPr>
                  <w:t>Habenaria achalensis</w:t>
                </w:r>
                <w:r>
                  <w:rPr>
                    <w:color w:val="0F1115"/>
                    <w:sz w:val="20"/>
                    <w:szCs w:val="20"/>
                    <w:highlight w:val="white"/>
                    <w:rtl w:val="0"/>
                  </w:rPr>
                  <w:t xml:space="preserve"> Kraenzl.</w:t>
                </w:r>
              </w:p>
            </w:tc>
            <w:tc>
              <w:tcPr>
                <w:tcW w:w="1146" w:type="dxa"/>
                <w:tcBorders>
                  <w:top w:val="nil"/>
                  <w:left w:val="nil"/>
                  <w:bottom w:val="single" w:color="000000" w:sz="8" w:space="0"/>
                  <w:right w:val="nil"/>
                </w:tcBorders>
                <w:tcMar>
                  <w:top w:w="100" w:type="dxa"/>
                  <w:left w:w="100" w:type="dxa"/>
                  <w:bottom w:w="100" w:type="dxa"/>
                  <w:right w:w="100" w:type="dxa"/>
                </w:tcMar>
                <w:vAlign w:val="top"/>
              </w:tcPr>
              <w:p w14:paraId="00000055">
                <w:pPr>
                  <w:spacing w:line="240" w:lineRule="auto"/>
                  <w:jc w:val="center"/>
                  <w:rPr>
                    <w:color w:val="0F1115"/>
                    <w:sz w:val="20"/>
                    <w:szCs w:val="20"/>
                    <w:highlight w:val="white"/>
                  </w:rPr>
                </w:pPr>
                <w:r>
                  <w:rPr>
                    <w:color w:val="0F1115"/>
                    <w:sz w:val="20"/>
                    <w:szCs w:val="20"/>
                    <w:highlight w:val="white"/>
                    <w:rtl w:val="0"/>
                  </w:rPr>
                  <w:t>VU</w:t>
                </w:r>
              </w:p>
            </w:tc>
            <w:tc>
              <w:tcPr>
                <w:tcW w:w="1973" w:type="dxa"/>
                <w:tcBorders>
                  <w:top w:val="nil"/>
                  <w:left w:val="nil"/>
                  <w:bottom w:val="single" w:color="000000" w:sz="8" w:space="0"/>
                  <w:right w:val="nil"/>
                </w:tcBorders>
                <w:tcMar>
                  <w:top w:w="100" w:type="dxa"/>
                  <w:left w:w="100" w:type="dxa"/>
                  <w:bottom w:w="100" w:type="dxa"/>
                  <w:right w:w="100" w:type="dxa"/>
                </w:tcMar>
                <w:vAlign w:val="top"/>
              </w:tcPr>
              <w:p w14:paraId="00000056">
                <w:pPr>
                  <w:spacing w:line="240" w:lineRule="auto"/>
                  <w:jc w:val="center"/>
                  <w:rPr>
                    <w:color w:val="0F1115"/>
                    <w:sz w:val="20"/>
                    <w:szCs w:val="20"/>
                    <w:highlight w:val="white"/>
                  </w:rPr>
                </w:pPr>
                <w:r>
                  <w:rPr>
                    <w:color w:val="0F1115"/>
                    <w:sz w:val="20"/>
                    <w:szCs w:val="20"/>
                    <w:highlight w:val="white"/>
                    <w:rtl w:val="0"/>
                  </w:rPr>
                  <w:t>Erva</w:t>
                </w:r>
              </w:p>
            </w:tc>
          </w:tr>
        </w:tbl>
      </w:sdtContent>
    </w:sdt>
    <w:p w14:paraId="00000057">
      <w:pPr>
        <w:jc w:val="both"/>
        <w:rPr>
          <w:color w:val="0F1115"/>
          <w:sz w:val="20"/>
          <w:szCs w:val="20"/>
          <w:highlight w:val="white"/>
        </w:rPr>
      </w:pPr>
      <w:r>
        <w:rPr>
          <w:color w:val="0F1115"/>
          <w:sz w:val="20"/>
          <w:szCs w:val="20"/>
          <w:highlight w:val="white"/>
          <w:rtl w:val="0"/>
        </w:rPr>
        <w:t>Classificação do status de conservação: Criticamente em Perigo (CR) - Em Perigo (EN) - Vulnerável (VU). Fonte: Autores, 2026.</w:t>
      </w:r>
    </w:p>
    <w:p w14:paraId="00000058">
      <w:pPr>
        <w:jc w:val="both"/>
        <w:rPr>
          <w:color w:val="0F1115"/>
          <w:sz w:val="20"/>
          <w:szCs w:val="20"/>
          <w:highlight w:val="white"/>
        </w:rPr>
      </w:pPr>
    </w:p>
    <w:p w14:paraId="00000059">
      <w:pPr>
        <w:spacing w:line="360" w:lineRule="auto"/>
        <w:jc w:val="both"/>
        <w:rPr>
          <w:b/>
          <w:bCs/>
          <w:color w:val="0F1115"/>
          <w:sz w:val="24"/>
          <w:szCs w:val="24"/>
          <w:highlight w:val="white"/>
        </w:rPr>
      </w:pPr>
      <w:r>
        <w:rPr>
          <w:b/>
          <w:bCs/>
          <w:color w:val="0F1115"/>
          <w:sz w:val="24"/>
          <w:szCs w:val="24"/>
          <w:highlight w:val="white"/>
          <w:rtl w:val="0"/>
        </w:rPr>
        <w:t>Distribuição e áreas estratégicas para conservação</w:t>
      </w:r>
    </w:p>
    <w:p w14:paraId="3F8C3FC4">
      <w:pPr>
        <w:spacing w:line="360" w:lineRule="auto"/>
        <w:ind w:firstLine="720"/>
        <w:jc w:val="both"/>
        <w:rPr>
          <w:color w:val="0F1115"/>
          <w:sz w:val="24"/>
          <w:szCs w:val="24"/>
          <w:highlight w:val="white"/>
          <w:rtl w:val="0"/>
        </w:rPr>
      </w:pPr>
      <w:r>
        <w:rPr>
          <w:color w:val="0F1115"/>
          <w:sz w:val="24"/>
          <w:szCs w:val="24"/>
          <w:highlight w:val="white"/>
          <w:rtl w:val="0"/>
        </w:rPr>
        <w:t>As áreas com maior concentração de registros e riqueza de espécies ameaçadas foram: Sub-bacia do Ribeirão Vai-e-Volta (sete registros, quatro espécies), Campo do Chapéu (seis registros, quatro espécies) e Campo do Maria Imaculada (quatro registros, duas espécies) (Figura 1). Essas áreas são prioritárias para conservação, conforme dados de campo da FJBPC e de Pinheiro</w:t>
      </w:r>
      <w:r>
        <w:rPr>
          <w:i/>
          <w:iCs/>
          <w:color w:val="0F1115"/>
          <w:sz w:val="24"/>
          <w:szCs w:val="24"/>
          <w:highlight w:val="white"/>
          <w:rtl w:val="0"/>
        </w:rPr>
        <w:t xml:space="preserve"> et al.</w:t>
      </w:r>
      <w:r>
        <w:rPr>
          <w:color w:val="0F1115"/>
          <w:sz w:val="24"/>
          <w:szCs w:val="24"/>
          <w:highlight w:val="white"/>
          <w:rtl w:val="0"/>
        </w:rPr>
        <w:t xml:space="preserve"> (2023) e Silva e Botezelli (2024), que indicam a necessidade de proteção efetiva dos campos de altitude em Poços de Caldas. Esses remanescentes devem ser prioritários por reunirem maior número de registros, espécies ameaçadas em categorias elevadas de risco e táxons endêmicos. </w:t>
      </w:r>
    </w:p>
    <w:p w14:paraId="0000005A">
      <w:pPr>
        <w:spacing w:line="360" w:lineRule="auto"/>
        <w:ind w:firstLine="720" w:firstLineChars="0"/>
        <w:jc w:val="both"/>
        <w:rPr>
          <w:color w:val="0F1115"/>
          <w:sz w:val="24"/>
          <w:szCs w:val="24"/>
          <w:highlight w:val="white"/>
        </w:rPr>
      </w:pPr>
      <w:r>
        <w:rPr>
          <w:color w:val="0F1115"/>
          <w:sz w:val="24"/>
          <w:szCs w:val="24"/>
          <w:highlight w:val="white"/>
          <w:rtl w:val="0"/>
        </w:rPr>
        <w:t>Espécies ameaçadas ocorrem em diferentes regiões do município, mas os maiores remanescentes e a maior concentração de registros localizam-se na porção oeste, com tendência à zona sul. Registros de espécies ameaçadas ocorrem em todas as regiões da cidade. Na zona sul, há campos alagados com ocorrência de</w:t>
      </w:r>
      <w:r>
        <w:rPr>
          <w:i/>
          <w:iCs/>
          <w:color w:val="0F1115"/>
          <w:sz w:val="24"/>
          <w:szCs w:val="24"/>
          <w:highlight w:val="white"/>
          <w:rtl w:val="0"/>
        </w:rPr>
        <w:t xml:space="preserve"> H. achalensis.</w:t>
      </w:r>
      <w:r>
        <w:rPr>
          <w:color w:val="0F1115"/>
          <w:sz w:val="24"/>
          <w:szCs w:val="24"/>
          <w:highlight w:val="white"/>
          <w:rtl w:val="0"/>
        </w:rPr>
        <w:t xml:space="preserve"> Na zona leste, remanescentes menores abrigam espécies como</w:t>
      </w:r>
      <w:r>
        <w:rPr>
          <w:i/>
          <w:iCs/>
          <w:color w:val="0F1115"/>
          <w:sz w:val="24"/>
          <w:szCs w:val="24"/>
          <w:highlight w:val="white"/>
          <w:rtl w:val="0"/>
        </w:rPr>
        <w:t xml:space="preserve"> A. arvense </w:t>
      </w:r>
      <w:r>
        <w:rPr>
          <w:color w:val="0F1115"/>
          <w:sz w:val="24"/>
          <w:szCs w:val="24"/>
          <w:highlight w:val="white"/>
          <w:rtl w:val="0"/>
        </w:rPr>
        <w:t>sendo a espécie com maior distribuição e número de registros.</w:t>
      </w:r>
    </w:p>
    <w:p w14:paraId="0000005B">
      <w:pPr>
        <w:spacing w:line="240" w:lineRule="auto"/>
        <w:ind w:left="0" w:firstLine="0"/>
        <w:jc w:val="both"/>
        <w:rPr>
          <w:b/>
          <w:bCs/>
          <w:color w:val="0F1115"/>
          <w:sz w:val="20"/>
          <w:szCs w:val="20"/>
          <w:highlight w:val="white"/>
        </w:rPr>
      </w:pPr>
      <w:r>
        <w:rPr>
          <w:b/>
          <w:bCs/>
          <w:color w:val="0F1115"/>
          <w:sz w:val="20"/>
          <w:szCs w:val="20"/>
          <w:highlight w:val="white"/>
          <w:rtl w:val="0"/>
        </w:rPr>
        <w:t>Figura 1. Mapa de calor da densidade de registros de espécies da flora ameaçadas de extinção em remanescentes de campo de altitude inseridos no perímetro urbano de Poços de Caldas (MG).</w:t>
      </w:r>
    </w:p>
    <w:p w14:paraId="0000005C">
      <w:pPr>
        <w:spacing w:line="360" w:lineRule="auto"/>
        <w:jc w:val="both"/>
        <w:rPr>
          <w:color w:val="0F1115"/>
          <w:sz w:val="24"/>
          <w:szCs w:val="24"/>
          <w:highlight w:val="white"/>
        </w:rPr>
      </w:pPr>
      <w:r>
        <w:rPr>
          <w:color w:val="0F1115"/>
          <w:sz w:val="24"/>
          <w:szCs w:val="24"/>
          <w:highlight w:val="white"/>
        </w:rPr>
        <w:drawing>
          <wp:inline distT="114300" distB="114300" distL="114300" distR="114300">
            <wp:extent cx="5760085" cy="299656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3" name="image3.png"/>
                    <pic:cNvPicPr preferRelativeResize="0"/>
                  </pic:nvPicPr>
                  <pic:blipFill>
                    <a:blip r:embed="rId7"/>
                    <a:srcRect l="1511" t="18323" r="1528" b="13127"/>
                    <a:stretch>
                      <a:fillRect/>
                    </a:stretch>
                  </pic:blipFill>
                  <pic:spPr>
                    <a:xfrm>
                      <a:off x="0" y="0"/>
                      <a:ext cx="5760085" cy="2996565"/>
                    </a:xfrm>
                    <a:prstGeom prst="rect">
                      <a:avLst/>
                    </a:prstGeom>
                  </pic:spPr>
                </pic:pic>
              </a:graphicData>
            </a:graphic>
          </wp:inline>
        </w:drawing>
      </w:r>
    </w:p>
    <w:p w14:paraId="0000005D">
      <w:pPr>
        <w:spacing w:line="360" w:lineRule="auto"/>
        <w:ind w:left="0" w:firstLine="0"/>
        <w:jc w:val="both"/>
        <w:rPr>
          <w:color w:val="0F1115"/>
          <w:sz w:val="20"/>
          <w:szCs w:val="20"/>
          <w:highlight w:val="white"/>
        </w:rPr>
      </w:pPr>
      <w:r>
        <w:rPr>
          <w:color w:val="0F1115"/>
          <w:sz w:val="20"/>
          <w:szCs w:val="20"/>
          <w:highlight w:val="white"/>
          <w:rtl w:val="0"/>
        </w:rPr>
        <w:t>Fonte: Autores, 2026.</w:t>
      </w:r>
    </w:p>
    <w:p w14:paraId="37ED1FCF">
      <w:pPr>
        <w:spacing w:line="360" w:lineRule="auto"/>
        <w:ind w:firstLine="720"/>
        <w:jc w:val="both"/>
        <w:rPr>
          <w:rFonts w:hint="default"/>
          <w:color w:val="0F1115"/>
          <w:sz w:val="24"/>
          <w:szCs w:val="24"/>
          <w:highlight w:val="white"/>
          <w:rtl w:val="0"/>
          <w:lang w:val="pt-BR"/>
        </w:rPr>
      </w:pPr>
      <w:r>
        <w:rPr>
          <w:color w:val="0F1115"/>
          <w:sz w:val="24"/>
          <w:szCs w:val="24"/>
          <w:highlight w:val="white"/>
          <w:rtl w:val="0"/>
        </w:rPr>
        <w:t>Os principais riscos incluem perda de habitat por especulação imobiliária, silvicultura, mineração, além de antropização por motocross e criação de animais exóticos (cavalos). Destaca-se também o avanço de espécies exóticas invasoras, como capim-braquiária e capim-gordura, que suprimem espécies nativas, segundo o MMA (Brasil, 2022), a invasão de espécies é a segunda maior causa de perda de biodiversidade no planeta. Espécies como</w:t>
      </w:r>
      <w:r>
        <w:rPr>
          <w:i/>
          <w:iCs/>
          <w:color w:val="0F1115"/>
          <w:sz w:val="24"/>
          <w:szCs w:val="24"/>
          <w:highlight w:val="white"/>
          <w:rtl w:val="0"/>
        </w:rPr>
        <w:t xml:space="preserve"> M. thomista, H. almasense </w:t>
      </w:r>
      <w:r>
        <w:rPr>
          <w:color w:val="0F1115"/>
          <w:sz w:val="24"/>
          <w:szCs w:val="24"/>
          <w:highlight w:val="white"/>
          <w:rtl w:val="0"/>
        </w:rPr>
        <w:t>e</w:t>
      </w:r>
      <w:r>
        <w:rPr>
          <w:i/>
          <w:iCs/>
          <w:color w:val="0F1115"/>
          <w:sz w:val="24"/>
          <w:szCs w:val="24"/>
          <w:highlight w:val="white"/>
          <w:rtl w:val="0"/>
        </w:rPr>
        <w:t xml:space="preserve"> D. leptacanthum</w:t>
      </w:r>
      <w:r>
        <w:rPr>
          <w:color w:val="0F1115"/>
          <w:sz w:val="24"/>
          <w:szCs w:val="24"/>
          <w:highlight w:val="white"/>
          <w:rtl w:val="0"/>
        </w:rPr>
        <w:t xml:space="preserve"> possuem registros antigos (mais de 40 anos) em áreas hoje urbanizadas, sugerindo possível extinção local. Outras espécies ocorrem em remanescentes isolados e em contato direto com o meio urbano, intensificando efeitos de borda e reduzindo o fluxo gênico entre populações.</w:t>
      </w:r>
      <w:r>
        <w:rPr>
          <w:rFonts w:hint="default"/>
          <w:color w:val="0F1115"/>
          <w:sz w:val="24"/>
          <w:szCs w:val="24"/>
          <w:highlight w:val="white"/>
          <w:rtl w:val="0"/>
          <w:lang w:val="pt-BR"/>
        </w:rPr>
        <w:t xml:space="preserve"> </w:t>
      </w:r>
    </w:p>
    <w:p w14:paraId="0000005F">
      <w:pPr>
        <w:spacing w:line="360" w:lineRule="auto"/>
        <w:ind w:firstLine="720"/>
        <w:jc w:val="both"/>
        <w:rPr>
          <w:color w:val="0F1115"/>
          <w:sz w:val="24"/>
          <w:szCs w:val="24"/>
          <w:highlight w:val="white"/>
        </w:rPr>
      </w:pPr>
      <w:r>
        <w:rPr>
          <w:color w:val="0F1115"/>
          <w:sz w:val="24"/>
          <w:szCs w:val="24"/>
          <w:highlight w:val="white"/>
          <w:rtl w:val="0"/>
        </w:rPr>
        <w:t xml:space="preserve">Esse cenário dialoga com Andrade </w:t>
      </w:r>
      <w:r>
        <w:rPr>
          <w:i/>
          <w:iCs/>
          <w:color w:val="0F1115"/>
          <w:sz w:val="24"/>
          <w:szCs w:val="24"/>
          <w:highlight w:val="white"/>
          <w:rtl w:val="0"/>
        </w:rPr>
        <w:t>et al.</w:t>
      </w:r>
      <w:r>
        <w:rPr>
          <w:color w:val="0F1115"/>
          <w:sz w:val="24"/>
          <w:szCs w:val="24"/>
          <w:highlight w:val="white"/>
          <w:rtl w:val="0"/>
        </w:rPr>
        <w:t xml:space="preserve"> (2026), que mostraram que plantas brasileiras ameaçadas recebem menor atenção científica, enquanto espécies de valor econômico concentram mais publicações. Essa assimetria é relevante para os campos de altitude intraurbanos de Poços de Caldas, onde muitas espécies têm distribuição restrita, alta vulnerabilidade e poucos estudos populacionais. A sistematização de registros do Herbário AFR, </w:t>
      </w:r>
      <w:r>
        <w:rPr>
          <w:i/>
          <w:iCs/>
          <w:color w:val="0F1115"/>
          <w:sz w:val="24"/>
          <w:szCs w:val="24"/>
          <w:highlight w:val="white"/>
          <w:rtl w:val="0"/>
        </w:rPr>
        <w:t>species</w:t>
      </w:r>
      <w:r>
        <w:rPr>
          <w:color w:val="0F1115"/>
          <w:sz w:val="24"/>
          <w:szCs w:val="24"/>
          <w:highlight w:val="white"/>
          <w:rtl w:val="0"/>
        </w:rPr>
        <w:t xml:space="preserve">Link, Jabot e monitoramentos da FJBPC reduz a invisibilidade científica destas espécies e subsidia políticas públicas, criação de </w:t>
      </w:r>
      <w:r>
        <w:rPr>
          <w:rFonts w:hint="default"/>
          <w:color w:val="0F1115"/>
          <w:sz w:val="24"/>
          <w:szCs w:val="24"/>
          <w:highlight w:val="white"/>
          <w:rtl w:val="0"/>
          <w:lang w:val="pt-BR"/>
        </w:rPr>
        <w:t xml:space="preserve">Unidades de Conservação </w:t>
      </w:r>
      <w:r>
        <w:rPr>
          <w:color w:val="0F1115"/>
          <w:sz w:val="24"/>
          <w:szCs w:val="24"/>
          <w:highlight w:val="white"/>
          <w:rtl w:val="0"/>
        </w:rPr>
        <w:t>e manejo dos remanescentes.</w:t>
      </w:r>
    </w:p>
    <w:p w14:paraId="00000060">
      <w:pPr>
        <w:spacing w:line="360" w:lineRule="auto"/>
        <w:ind w:firstLine="720"/>
        <w:jc w:val="both"/>
        <w:rPr>
          <w:color w:val="0F1115"/>
          <w:sz w:val="24"/>
          <w:szCs w:val="24"/>
          <w:highlight w:val="white"/>
        </w:rPr>
      </w:pPr>
    </w:p>
    <w:p w14:paraId="00000061">
      <w:pPr>
        <w:spacing w:line="360" w:lineRule="auto"/>
        <w:jc w:val="both"/>
        <w:rPr>
          <w:b/>
          <w:bCs/>
          <w:sz w:val="28"/>
          <w:szCs w:val="28"/>
        </w:rPr>
      </w:pPr>
      <w:r>
        <w:rPr>
          <w:b/>
          <w:bCs/>
          <w:sz w:val="28"/>
          <w:szCs w:val="28"/>
          <w:rtl w:val="0"/>
        </w:rPr>
        <w:t>Considerações Finais</w:t>
      </w:r>
    </w:p>
    <w:p w14:paraId="71E0F4CD">
      <w:pPr>
        <w:spacing w:line="360" w:lineRule="auto"/>
        <w:ind w:firstLine="720"/>
        <w:jc w:val="both"/>
        <w:rPr>
          <w:sz w:val="24"/>
          <w:szCs w:val="24"/>
          <w:rtl w:val="0"/>
        </w:rPr>
      </w:pPr>
      <w:r>
        <w:rPr>
          <w:sz w:val="24"/>
          <w:szCs w:val="24"/>
          <w:rtl w:val="0"/>
        </w:rPr>
        <w:t>O trabalho evidencia a relevância dos remanescentes de campo de altitude do perímetro urbano na conservação de espécies ameaçadas de extinção, pois estes são os últimos refúgios para essas populações na região.</w:t>
      </w:r>
    </w:p>
    <w:p w14:paraId="1F018E89">
      <w:pPr>
        <w:spacing w:line="360" w:lineRule="auto"/>
        <w:ind w:firstLine="720"/>
        <w:jc w:val="both"/>
        <w:rPr>
          <w:sz w:val="24"/>
          <w:szCs w:val="24"/>
          <w:rtl w:val="0"/>
        </w:rPr>
      </w:pPr>
      <w:r>
        <w:rPr>
          <w:sz w:val="24"/>
          <w:szCs w:val="24"/>
          <w:rtl w:val="0"/>
        </w:rPr>
        <w:t xml:space="preserve"> Faz-se necessária a criação de áreas de proteção efetiva para essa formação vegetal em Poços de Caldas, utilizando como base dados de instituições de pesquisa como a FJBPC e as universidades locais, sendo a Sub-bacia do Ribeirão Vai-e-Volta uma alternativa para uma possível</w:t>
      </w:r>
      <w:r>
        <w:rPr>
          <w:rFonts w:hint="default"/>
          <w:sz w:val="24"/>
          <w:szCs w:val="24"/>
          <w:rtl w:val="0"/>
          <w:lang w:val="pt-BR"/>
        </w:rPr>
        <w:t xml:space="preserve"> Unidade de Conservação</w:t>
      </w:r>
      <w:r>
        <w:rPr>
          <w:sz w:val="24"/>
          <w:szCs w:val="24"/>
          <w:rtl w:val="0"/>
        </w:rPr>
        <w:t xml:space="preserve">. </w:t>
      </w:r>
    </w:p>
    <w:p w14:paraId="7731098B">
      <w:pPr>
        <w:spacing w:line="360" w:lineRule="auto"/>
        <w:ind w:firstLine="720"/>
        <w:jc w:val="both"/>
        <w:rPr>
          <w:sz w:val="24"/>
          <w:szCs w:val="24"/>
          <w:rtl w:val="0"/>
        </w:rPr>
      </w:pPr>
      <w:r>
        <w:rPr>
          <w:rFonts w:hint="default"/>
          <w:sz w:val="24"/>
          <w:szCs w:val="24"/>
          <w:rtl w:val="0"/>
          <w:lang w:val="pt-BR"/>
        </w:rPr>
        <w:t>Diante disso, o</w:t>
      </w:r>
      <w:r>
        <w:rPr>
          <w:sz w:val="24"/>
          <w:szCs w:val="24"/>
          <w:rtl w:val="0"/>
        </w:rPr>
        <w:t xml:space="preserve"> poder público deve se atentar ao alerta da comunidade científica sobre o risco iminente de extinção local de espécies ameaçadas em função da falta de proteção dessas áreas. </w:t>
      </w:r>
    </w:p>
    <w:p w14:paraId="3A7B3475">
      <w:pPr>
        <w:spacing w:line="360" w:lineRule="auto"/>
        <w:jc w:val="both"/>
        <w:rPr>
          <w:sz w:val="24"/>
          <w:szCs w:val="24"/>
        </w:rPr>
      </w:pPr>
    </w:p>
    <w:p w14:paraId="00000067">
      <w:pPr>
        <w:spacing w:line="360" w:lineRule="auto"/>
        <w:jc w:val="both"/>
        <w:rPr>
          <w:b/>
          <w:bCs/>
          <w:sz w:val="28"/>
          <w:szCs w:val="28"/>
        </w:rPr>
      </w:pPr>
      <w:r>
        <w:rPr>
          <w:b/>
          <w:bCs/>
          <w:sz w:val="28"/>
          <w:szCs w:val="28"/>
          <w:rtl w:val="0"/>
        </w:rPr>
        <w:t>Referências</w:t>
      </w:r>
    </w:p>
    <w:p w14:paraId="00000068">
      <w:pPr>
        <w:spacing w:line="240" w:lineRule="auto"/>
        <w:rPr>
          <w:sz w:val="24"/>
          <w:szCs w:val="24"/>
        </w:rPr>
      </w:pPr>
      <w:r>
        <w:rPr>
          <w:sz w:val="24"/>
          <w:szCs w:val="24"/>
          <w:rtl w:val="0"/>
        </w:rPr>
        <w:t xml:space="preserve">ANDRADE, R. S.; BROWN, M. J. M.; FREITAS, L.; NIC LUGHADHA, E. M. The most threatened plants receive the least scientific attention. </w:t>
      </w:r>
      <w:r>
        <w:rPr>
          <w:b/>
          <w:bCs/>
          <w:sz w:val="24"/>
          <w:szCs w:val="24"/>
          <w:rtl w:val="0"/>
        </w:rPr>
        <w:t>Plants, People, Planet</w:t>
      </w:r>
      <w:r>
        <w:rPr>
          <w:sz w:val="24"/>
          <w:szCs w:val="24"/>
          <w:rtl w:val="0"/>
        </w:rPr>
        <w:t xml:space="preserve">, 2026. Disponível em: https://nph.onlinelibrary.wiley.com/doi/10.1002/ppp3.70216. Acesso em: </w:t>
      </w:r>
      <w:r>
        <w:rPr>
          <w:rFonts w:hint="default"/>
          <w:sz w:val="24"/>
          <w:szCs w:val="24"/>
          <w:rtl w:val="0"/>
          <w:lang w:val="pt-BR"/>
        </w:rPr>
        <w:t>16</w:t>
      </w:r>
      <w:r>
        <w:rPr>
          <w:sz w:val="24"/>
          <w:szCs w:val="24"/>
          <w:rtl w:val="0"/>
        </w:rPr>
        <w:t xml:space="preserve"> </w:t>
      </w:r>
      <w:r>
        <w:rPr>
          <w:rFonts w:hint="default"/>
          <w:sz w:val="24"/>
          <w:szCs w:val="24"/>
          <w:rtl w:val="0"/>
          <w:lang w:val="pt-BR"/>
        </w:rPr>
        <w:t xml:space="preserve">jun. </w:t>
      </w:r>
      <w:r>
        <w:rPr>
          <w:sz w:val="24"/>
          <w:szCs w:val="24"/>
          <w:rtl w:val="0"/>
        </w:rPr>
        <w:t>2026</w:t>
      </w:r>
      <w:r>
        <w:rPr>
          <w:rFonts w:hint="default"/>
          <w:sz w:val="24"/>
          <w:szCs w:val="24"/>
          <w:rtl w:val="0"/>
          <w:lang w:val="pt-BR"/>
        </w:rPr>
        <w:t xml:space="preserve"> </w:t>
      </w:r>
      <w:r>
        <w:rPr>
          <w:sz w:val="24"/>
          <w:szCs w:val="24"/>
          <w:rtl w:val="0"/>
        </w:rPr>
        <w:t>. DOI: https://doi.org/10.1002/ppp3.70216.</w:t>
      </w:r>
    </w:p>
    <w:p w14:paraId="00000069">
      <w:pPr>
        <w:spacing w:line="240" w:lineRule="auto"/>
        <w:rPr>
          <w:sz w:val="24"/>
          <w:szCs w:val="24"/>
        </w:rPr>
      </w:pPr>
    </w:p>
    <w:p w14:paraId="0000006A">
      <w:pPr>
        <w:rPr>
          <w:rFonts w:hint="default"/>
          <w:sz w:val="24"/>
          <w:szCs w:val="24"/>
          <w:lang w:val="pt-BR"/>
        </w:rPr>
      </w:pPr>
      <w:r>
        <w:rPr>
          <w:sz w:val="24"/>
          <w:szCs w:val="24"/>
          <w:rtl w:val="0"/>
        </w:rPr>
        <w:t xml:space="preserve">BRASIL. Instituto Brasileiro do Meio Ambiente e dos Recursos Naturais Renováveis (IBAMA). Título da página. Disponível em:https://www.gov.br/ibama/pt-br/assuntos/biodiversidade/especies-exoticas-invasoras/sobre-as-especies-exoticas-invasoras.  Acesso em: 27 </w:t>
      </w:r>
      <w:r>
        <w:rPr>
          <w:rFonts w:hint="default"/>
          <w:sz w:val="24"/>
          <w:szCs w:val="24"/>
          <w:rtl w:val="0"/>
          <w:lang w:val="pt-BR"/>
        </w:rPr>
        <w:t xml:space="preserve">maio </w:t>
      </w:r>
      <w:r>
        <w:rPr>
          <w:sz w:val="24"/>
          <w:szCs w:val="24"/>
          <w:rtl w:val="0"/>
        </w:rPr>
        <w:t>2026</w:t>
      </w:r>
      <w:r>
        <w:rPr>
          <w:rFonts w:hint="default"/>
          <w:sz w:val="24"/>
          <w:szCs w:val="24"/>
          <w:rtl w:val="0"/>
          <w:lang w:val="pt-BR"/>
        </w:rPr>
        <w:t>.</w:t>
      </w:r>
    </w:p>
    <w:p w14:paraId="0000006B">
      <w:pPr>
        <w:rPr>
          <w:sz w:val="24"/>
          <w:szCs w:val="24"/>
        </w:rPr>
      </w:pPr>
    </w:p>
    <w:p w14:paraId="0000006C">
      <w:pPr>
        <w:rPr>
          <w:sz w:val="24"/>
          <w:szCs w:val="24"/>
        </w:rPr>
      </w:pPr>
      <w:r>
        <w:rPr>
          <w:sz w:val="24"/>
          <w:szCs w:val="24"/>
          <w:rtl w:val="0"/>
        </w:rPr>
        <w:t>CNCFlora. Lista Vermelha da Flora Brasileira. Centro Nacional de Conservação da Flora, 2026. Disponível em: http://cncflora.jbrj.gov.br/portal/pt-br/listavermelha. Acesso em: 03 maio 2026.</w:t>
      </w:r>
    </w:p>
    <w:p w14:paraId="0000006D">
      <w:pPr>
        <w:rPr>
          <w:sz w:val="28"/>
          <w:szCs w:val="28"/>
        </w:rPr>
      </w:pPr>
    </w:p>
    <w:p w14:paraId="0000006E">
      <w:pPr>
        <w:rPr>
          <w:sz w:val="24"/>
          <w:szCs w:val="24"/>
        </w:rPr>
      </w:pPr>
      <w:r>
        <w:rPr>
          <w:sz w:val="24"/>
          <w:szCs w:val="24"/>
          <w:rtl w:val="0"/>
        </w:rPr>
        <w:t xml:space="preserve">Flora e Funga do Brasil. Jardim Botânico do Rio de Janeiro. Disponível em: &lt; http://floradobrasil.jbrj.gov.br/ &gt;. Acesso em: 27 </w:t>
      </w:r>
      <w:r>
        <w:rPr>
          <w:rFonts w:hint="default"/>
          <w:sz w:val="24"/>
          <w:szCs w:val="24"/>
          <w:rtl w:val="0"/>
          <w:lang w:val="pt-BR"/>
        </w:rPr>
        <w:t>m</w:t>
      </w:r>
      <w:r>
        <w:rPr>
          <w:sz w:val="24"/>
          <w:szCs w:val="24"/>
          <w:rtl w:val="0"/>
        </w:rPr>
        <w:t>ai</w:t>
      </w:r>
      <w:r>
        <w:rPr>
          <w:rFonts w:hint="default"/>
          <w:sz w:val="24"/>
          <w:szCs w:val="24"/>
          <w:rtl w:val="0"/>
          <w:lang w:val="pt-BR"/>
        </w:rPr>
        <w:t>o</w:t>
      </w:r>
      <w:r>
        <w:rPr>
          <w:sz w:val="24"/>
          <w:szCs w:val="24"/>
          <w:rtl w:val="0"/>
        </w:rPr>
        <w:t xml:space="preserve"> 2026</w:t>
      </w:r>
    </w:p>
    <w:p w14:paraId="0000006F">
      <w:pPr>
        <w:rPr>
          <w:sz w:val="24"/>
          <w:szCs w:val="24"/>
        </w:rPr>
      </w:pPr>
    </w:p>
    <w:p w14:paraId="00000070">
      <w:pPr>
        <w:rPr>
          <w:sz w:val="24"/>
          <w:szCs w:val="24"/>
        </w:rPr>
      </w:pPr>
      <w:r>
        <w:rPr>
          <w:sz w:val="24"/>
          <w:szCs w:val="24"/>
          <w:rtl w:val="0"/>
        </w:rPr>
        <w:t xml:space="preserve">MORAES, M. A.; BORGES, R. A. X.; MARTINS, E. M.; FERNANDES, R. A.; MESSINA, T.; MARTINELLI, G. Categorizing threatened species: an analysis of the Red List of the flora of Brazil. </w:t>
      </w:r>
      <w:r>
        <w:rPr>
          <w:b/>
          <w:bCs/>
          <w:sz w:val="24"/>
          <w:szCs w:val="24"/>
          <w:rtl w:val="0"/>
        </w:rPr>
        <w:t>Oryx</w:t>
      </w:r>
      <w:r>
        <w:rPr>
          <w:sz w:val="24"/>
          <w:szCs w:val="24"/>
          <w:rtl w:val="0"/>
        </w:rPr>
        <w:t>, v. 48, n. 2, p. 258-265, 2014. DOI: https://doi.org/10.1017/S003060531200018X. Acesso em: 10 jun. 2026.</w:t>
      </w:r>
    </w:p>
    <w:p w14:paraId="00000071">
      <w:pPr>
        <w:rPr>
          <w:sz w:val="24"/>
          <w:szCs w:val="24"/>
        </w:rPr>
      </w:pPr>
    </w:p>
    <w:p w14:paraId="00000072">
      <w:pPr>
        <w:rPr>
          <w:sz w:val="24"/>
          <w:szCs w:val="24"/>
        </w:rPr>
      </w:pPr>
      <w:r>
        <w:rPr>
          <w:sz w:val="24"/>
          <w:szCs w:val="24"/>
          <w:rtl w:val="0"/>
        </w:rPr>
        <w:t xml:space="preserve">SILVA, R. S. M.; BOTEZELLI, L. Identificação de Áreas de Campos de Altitude do Perímetro Urbano de Poços de Caldas/MG pelo Sensoriamento Remoto e sua Contraposição ao Plano Diretor de 2022. </w:t>
      </w:r>
      <w:r>
        <w:rPr>
          <w:b/>
          <w:bCs/>
          <w:sz w:val="24"/>
          <w:szCs w:val="24"/>
          <w:rtl w:val="0"/>
        </w:rPr>
        <w:t>Revista Brasileira de Geografia Física</w:t>
      </w:r>
      <w:r>
        <w:rPr>
          <w:sz w:val="24"/>
          <w:szCs w:val="24"/>
          <w:rtl w:val="0"/>
        </w:rPr>
        <w:t>, v. 17, n. 3, p. 1720-1737, 2024. DOI: https://doi.org/10.26848/rbgf.v17.3.p1720-1737. Acesso em: 1  jun. 2026.</w:t>
      </w:r>
    </w:p>
    <w:p w14:paraId="00000073">
      <w:pPr>
        <w:rPr>
          <w:b/>
          <w:bCs/>
          <w:sz w:val="28"/>
          <w:szCs w:val="28"/>
        </w:rPr>
      </w:pPr>
    </w:p>
    <w:p w14:paraId="00000074">
      <w:pPr>
        <w:rPr>
          <w:sz w:val="24"/>
          <w:szCs w:val="24"/>
        </w:rPr>
      </w:pPr>
      <w:r>
        <w:rPr>
          <w:sz w:val="24"/>
          <w:szCs w:val="24"/>
          <w:rtl w:val="0"/>
        </w:rPr>
        <w:t xml:space="preserve">SILVA, L. G. da; MOREIRA, T. R.; GONELLA, P. M.; COUTO, D. R.; CONDEZ, T. H.; CHAVES, F. G. Modelagem espacial das áreas campestres e montanas da Mata Atlântica: hotspots intrabioma em meio às florestas. </w:t>
      </w:r>
      <w:r>
        <w:rPr>
          <w:b/>
          <w:bCs/>
          <w:sz w:val="24"/>
          <w:szCs w:val="24"/>
          <w:rtl w:val="0"/>
        </w:rPr>
        <w:t>Mata Atlântica em Movimento</w:t>
      </w:r>
      <w:r>
        <w:rPr>
          <w:sz w:val="24"/>
          <w:szCs w:val="24"/>
          <w:rtl w:val="0"/>
        </w:rPr>
        <w:t>, [s.l.], v. 1, n. 37, 2025a. DOI: https://doi.org/10.70525/2025.37. Disponível em: https://editora.inma.gov.br/index.php/mbml/article/view/37. Acesso em: 27 maio 2026.</w:t>
      </w:r>
    </w:p>
    <w:p w14:paraId="00000075">
      <w:pPr>
        <w:rPr>
          <w:sz w:val="24"/>
          <w:szCs w:val="24"/>
        </w:rPr>
      </w:pPr>
    </w:p>
    <w:p w14:paraId="756374DE">
      <w:pPr>
        <w:rPr>
          <w:sz w:val="24"/>
          <w:szCs w:val="24"/>
          <w:rtl w:val="0"/>
        </w:rPr>
      </w:pPr>
      <w:r>
        <w:rPr>
          <w:sz w:val="24"/>
          <w:szCs w:val="24"/>
          <w:rtl w:val="0"/>
        </w:rPr>
        <w:t xml:space="preserve">SILVA, J. S.; SILVA, R. S. M.; PINHEIRO, A. L.; PEREIRA, F. N.; SILVA, V. N.; ACCIARI, G. C. M. Flora ameaçada de extinção de uma região no Sudeste brasileiro: registros em herbários virtuais. </w:t>
      </w:r>
      <w:r>
        <w:rPr>
          <w:b/>
          <w:bCs/>
          <w:sz w:val="24"/>
          <w:szCs w:val="24"/>
          <w:rtl w:val="0"/>
        </w:rPr>
        <w:t>Biodiversidade Brasileira</w:t>
      </w:r>
      <w:r>
        <w:rPr>
          <w:sz w:val="24"/>
          <w:szCs w:val="24"/>
          <w:rtl w:val="0"/>
        </w:rPr>
        <w:t>, v. 15, n. 3, 2025b. DOI: https://doi.org/10.37002/biodiversidadebrasileira.v15i3.2815. Acesso em: 1 jun. 2026.</w:t>
      </w:r>
    </w:p>
    <w:p w14:paraId="7EC40BD8">
      <w:pPr>
        <w:rPr>
          <w:sz w:val="24"/>
          <w:szCs w:val="24"/>
          <w:rtl w:val="0"/>
        </w:rPr>
      </w:pPr>
    </w:p>
    <w:p w14:paraId="0000007A">
      <w:pPr>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r>
        <w:rPr>
          <w:sz w:val="24"/>
          <w:szCs w:val="24"/>
          <w:rtl w:val="0"/>
        </w:rPr>
        <w:t xml:space="preserve">PINHEIRO, A. L.; SILVA, R. S. M.; PEREIRA, F. N.; RABELO, M. A. Análise da proteção legal dos Campos de Altitude e propostas de áreas para a sua conservação em Poços de Caldas-MG. </w:t>
      </w:r>
      <w:r>
        <w:rPr>
          <w:b/>
          <w:bCs/>
          <w:sz w:val="24"/>
          <w:szCs w:val="24"/>
          <w:rtl w:val="0"/>
        </w:rPr>
        <w:t>Regnellea Scientia</w:t>
      </w:r>
      <w:r>
        <w:rPr>
          <w:sz w:val="24"/>
          <w:szCs w:val="24"/>
          <w:rtl w:val="0"/>
        </w:rPr>
        <w:t>, Poços de Caldas, v. 9, n. 3, p. 105-122, 2023. Disponível em: https://drive.google.com/file/d/1OObSSPu_kTm98b5VZ0x5nHAQNSMz91Rd/view. Acesso em: 01 jun</w:t>
      </w:r>
      <w:r>
        <w:rPr>
          <w:rFonts w:hint="default"/>
          <w:sz w:val="24"/>
          <w:szCs w:val="24"/>
          <w:rtl w:val="0"/>
          <w:lang w:val="pt-BR"/>
        </w:rPr>
        <w:t>.</w:t>
      </w:r>
      <w:r>
        <w:rPr>
          <w:sz w:val="24"/>
          <w:szCs w:val="24"/>
          <w:rtl w:val="0"/>
        </w:rPr>
        <w:t xml:space="preserve"> 2026.</w:t>
      </w:r>
    </w:p>
    <w:sectPr>
      <w:headerReference r:id="rId3" w:type="default"/>
      <w:footerReference r:id="rId4" w:type="default"/>
      <w:pgSz w:w="11910" w:h="16840"/>
      <w:pgMar w:top="1701" w:right="1134" w:bottom="1134" w:left="1701" w:header="0" w:footer="1414"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embedRegular r:id="rId1" w:fontKey="{BDDADB9B-A384-4EAB-B0D7-63C97CB18FC9}"/>
  </w:font>
  <w:font w:name="Arial">
    <w:panose1 w:val="020B0604020202020204"/>
    <w:charset w:val="00"/>
    <w:family w:val="swiss"/>
    <w:pitch w:val="default"/>
    <w:sig w:usb0="E0002EFF" w:usb1="C000785B" w:usb2="00000009" w:usb3="00000000" w:csb0="400001FF" w:csb1="FFFF0000"/>
    <w:embedRegular r:id="rId2" w:fontKey="{2114B738-6E7F-467C-A541-CC32FDAC8A19}"/>
  </w:font>
  <w:font w:name="Courier New">
    <w:panose1 w:val="02070309020205020404"/>
    <w:charset w:val="00"/>
    <w:family w:val="modern"/>
    <w:pitch w:val="default"/>
    <w:sig w:usb0="E0002EFF" w:usb1="C0007843" w:usb2="00000009" w:usb3="00000000" w:csb0="400001FF" w:csb1="FFFF0000"/>
    <w:embedRegular r:id="rId3" w:fontKey="{810C6659-76EC-40FA-9016-7CFEFE4BBF40}"/>
  </w:font>
  <w:font w:name="Symbol">
    <w:panose1 w:val="05050102010706020507"/>
    <w:charset w:val="02"/>
    <w:family w:val="roman"/>
    <w:pitch w:val="default"/>
    <w:sig w:usb0="00000000" w:usb1="00000000" w:usb2="00000000" w:usb3="00000000" w:csb0="80000000" w:csb1="00000000"/>
    <w:embedRegular r:id="rId4" w:fontKey="{FC8F1E84-C746-4A2B-B0A4-42D349FAD2E7}"/>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embedRegular r:id="rId5" w:fontKey="{E9C43656-FDA3-4FF3-8391-9565BF501DFB}"/>
  </w:font>
  <w:font w:name="Cambria">
    <w:panose1 w:val="02040503050406030204"/>
    <w:charset w:val="00"/>
    <w:family w:val="auto"/>
    <w:pitch w:val="default"/>
    <w:sig w:usb0="E00006FF" w:usb1="420024FF" w:usb2="02000000" w:usb3="00000000" w:csb0="2000019F" w:csb1="00000000"/>
    <w:embedRegular r:id="rId6" w:fontKey="{F9DC7936-3415-4EC3-834C-4FE7CC0A1FAA}"/>
  </w:font>
  <w:font w:name="Georgia">
    <w:panose1 w:val="02040502050405020303"/>
    <w:charset w:val="00"/>
    <w:family w:val="auto"/>
    <w:pitch w:val="default"/>
    <w:sig w:usb0="00000287" w:usb1="00000000" w:usb2="00000000" w:usb3="00000000" w:csb0="2000009F" w:csb1="00000000"/>
    <w:embedRegular r:id="rId7" w:fontKey="{0A987041-85ED-49AB-9B08-2FE718ECB5E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7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14"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7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center" w:pos="4252"/>
        <w:tab w:val="right" w:pos="8504"/>
      </w:tabs>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drawing>
        <wp:anchor distT="0" distB="0" distL="0" distR="0" simplePos="0" relativeHeight="251659264" behindDoc="0" locked="0" layoutInCell="1" allowOverlap="1">
          <wp:simplePos x="0" y="0"/>
          <wp:positionH relativeFrom="page">
            <wp:posOffset>-85090</wp:posOffset>
          </wp:positionH>
          <wp:positionV relativeFrom="page">
            <wp:posOffset>0</wp:posOffset>
          </wp:positionV>
          <wp:extent cx="7629525" cy="10668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referRelativeResize="0"/>
                </pic:nvPicPr>
                <pic:blipFill>
                  <a:blip r:embed="rId1"/>
                  <a:srcRect/>
                  <a:stretch>
                    <a:fillRect/>
                  </a:stretch>
                </pic:blipFill>
                <pic:spPr>
                  <a:xfrm>
                    <a:off x="0" y="0"/>
                    <a:ext cx="7629525" cy="10668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TrueTypeFonts/>
  <w:documentProtection w:enforcement="0"/>
  <w:defaultTabStop w:val="720"/>
  <w:compat>
    <w:compatSetting w:name="compatibilityMode" w:uri="http://schemas.microsoft.com/office/word" w:val="15"/>
  </w:compat>
  <w:rsids>
    <w:rsidRoot w:val="00000000"/>
    <w:rsid w:val="08AA4743"/>
    <w:rsid w:val="10E66887"/>
    <w:rsid w:val="16221C59"/>
    <w:rsid w:val="1B51091C"/>
    <w:rsid w:val="2BE57628"/>
    <w:rsid w:val="4F4C1F44"/>
    <w:rsid w:val="50E90E4D"/>
    <w:rsid w:val="709900B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widowControl w:val="0"/>
    </w:pPr>
    <w:rPr>
      <w:rFonts w:asciiTheme="minorHAnsi" w:hAnsiTheme="minorHAnsi" w:eastAsiaTheme="minorEastAsia" w:cstheme="minorBidi"/>
      <w:sz w:val="22"/>
      <w:szCs w:val="22"/>
      <w:lang w:val="zh-CN"/>
    </w:rPr>
  </w:style>
  <w:style w:type="paragraph" w:styleId="2">
    <w:name w:val="heading 1"/>
    <w:basedOn w:val="1"/>
    <w:next w:val="1"/>
    <w:qFormat/>
    <w:uiPriority w:val="0"/>
    <w:rPr>
      <w:b/>
      <w:bCs/>
    </w:rPr>
  </w:style>
  <w:style w:type="paragraph" w:styleId="3">
    <w:name w:val="heading 2"/>
    <w:basedOn w:val="1"/>
    <w:next w:val="1"/>
    <w:qFormat/>
    <w:uiPriority w:val="0"/>
    <w:pPr>
      <w:keepNext/>
      <w:keepLines/>
      <w:pageBreakBefore w:val="0"/>
      <w:spacing w:before="360" w:after="80"/>
    </w:pPr>
    <w:rPr>
      <w:b/>
      <w:bCs/>
      <w:sz w:val="36"/>
      <w:szCs w:val="36"/>
    </w:rPr>
  </w:style>
  <w:style w:type="paragraph" w:styleId="4">
    <w:name w:val="heading 3"/>
    <w:basedOn w:val="1"/>
    <w:next w:val="1"/>
    <w:qFormat/>
    <w:uiPriority w:val="0"/>
    <w:pPr>
      <w:keepNext/>
      <w:keepLines/>
      <w:pageBreakBefore w:val="0"/>
      <w:spacing w:before="280" w:after="80"/>
    </w:pPr>
    <w:rPr>
      <w:b/>
      <w:bCs/>
      <w:sz w:val="28"/>
      <w:szCs w:val="28"/>
    </w:rPr>
  </w:style>
  <w:style w:type="paragraph" w:styleId="5">
    <w:name w:val="heading 4"/>
    <w:basedOn w:val="1"/>
    <w:next w:val="1"/>
    <w:qFormat/>
    <w:uiPriority w:val="0"/>
    <w:pPr>
      <w:keepNext/>
      <w:keepLines/>
      <w:pageBreakBefore w:val="0"/>
      <w:spacing w:before="240" w:after="40"/>
    </w:pPr>
    <w:rPr>
      <w:b/>
      <w:bCs/>
      <w:sz w:val="24"/>
      <w:szCs w:val="24"/>
    </w:rPr>
  </w:style>
  <w:style w:type="paragraph" w:styleId="6">
    <w:name w:val="heading 5"/>
    <w:basedOn w:val="1"/>
    <w:next w:val="1"/>
    <w:qFormat/>
    <w:uiPriority w:val="0"/>
    <w:pPr>
      <w:keepNext/>
      <w:keepLines/>
      <w:pageBreakBefore w:val="0"/>
      <w:spacing w:before="220" w:after="40"/>
    </w:pPr>
    <w:rPr>
      <w:b/>
      <w:bCs/>
      <w:sz w:val="22"/>
      <w:szCs w:val="22"/>
    </w:rPr>
  </w:style>
  <w:style w:type="paragraph" w:styleId="7">
    <w:name w:val="heading 6"/>
    <w:basedOn w:val="1"/>
    <w:next w:val="1"/>
    <w:qFormat/>
    <w:uiPriority w:val="0"/>
    <w:pPr>
      <w:keepNext/>
      <w:keepLines/>
      <w:pageBreakBefore w:val="0"/>
      <w:spacing w:before="200" w:after="40"/>
    </w:pPr>
    <w:rPr>
      <w:b/>
      <w:bCs/>
      <w:sz w:val="20"/>
      <w:szCs w:val="20"/>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spacing w:before="367"/>
      <w:ind w:left="75" w:right="209"/>
      <w:jc w:val="center"/>
    </w:pPr>
    <w:rPr>
      <w:b/>
      <w:bCs/>
      <w:sz w:val="32"/>
      <w:szCs w:val="32"/>
    </w:rPr>
  </w:style>
  <w:style w:type="paragraph" w:styleId="11">
    <w:name w:val="Subtitle"/>
    <w:basedOn w:val="1"/>
    <w:next w:val="1"/>
    <w:qFormat/>
    <w:uiPriority w:val="0"/>
    <w:pPr>
      <w:keepNext/>
      <w:keepLines/>
      <w:pageBreakBefore w:val="0"/>
      <w:spacing w:before="360" w:after="80"/>
    </w:pPr>
    <w:rPr>
      <w:rFonts w:ascii="Georgia" w:hAnsi="Georgia" w:eastAsia="Georgia" w:cs="Georgia"/>
      <w:i/>
      <w:iCs/>
      <w:color w:val="666666"/>
      <w:sz w:val="48"/>
      <w:szCs w:val="48"/>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FeKr2Aa25O5oJ33+lvsgtO58hw==">CgMxLjAaHwoBMBIaChgICVIUChJ0YWJsZS4yYmRpMHBxaDVpeDkyD2lkLmhtOWg5YWhpMTJ3ZTgAciExbjRWWE1majdmajd1bkZLMk83WUhtNUZoeUhIbXNSR3c=</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Pages>6</Pages>
  <Words>948</Words>
  <Characters>6020</Characters>
  <TotalTime>172</TotalTime>
  <ScaleCrop>false</ScaleCrop>
  <LinksUpToDate>false</LinksUpToDate>
  <CharactersWithSpaces>6919</CharactersWithSpaces>
  <Application>WPS Office_12.1.0.26880_F1E327BC-269C-435d-A152-05C5408002CA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2026-06-18T12:33:00Z</dcterms:created>
  <dc:creator>fjbpc</dc:creator>
  <cp:lastModifiedBy>fjbpc</cp:lastModifiedBy>
  <dcterms:modified xsi:type="dcterms:W3CDTF">2026-06-25T12:50:26Z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2026-01-27T00:00:00Z</vt:lpwstr>
  </property>
  <property fmtid="{D5CDD505-2E9C-101B-9397-08002B2CF9AE}" pid="3" name="Creator">
    <vt:lpwstr>Microsoft Word</vt:lpwstr>
  </property>
  <property fmtid="{D5CDD505-2E9C-101B-9397-08002B2CF9AE}" pid="4" name="LastSaved">
    <vt:lpwstr>2026-01-27T00:00:00Z</vt:lpwstr>
  </property>
  <property fmtid="{D5CDD505-2E9C-101B-9397-08002B2CF9AE}" pid="5" name="KSOTemplateDocerSaveRecord">
    <vt:lpwstr>eyJoZGlkIjoiM2U5MTkwNDIyZmVlOTY3YWZlY2I2MDc3NDE2MjllNTQiLCJ1c2VySWQiOiIxMjU0NTgzOTI5NTYwIn0=</vt:lpwstr>
  </property>
  <property fmtid="{D5CDD505-2E9C-101B-9397-08002B2CF9AE}" pid="6" name="KSOProductBuildVer">
    <vt:lpwstr>1046-12.1.0.26880</vt:lpwstr>
  </property>
  <property fmtid="{D5CDD505-2E9C-101B-9397-08002B2CF9AE}" pid="7" name="ICV">
    <vt:lpwstr>C622123C0B68456395118D529738EBD6_12</vt:lpwstr>
  </property>
</Properties>
</file>