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E752FD8" w14:textId="77777777" w:rsidR="00562F38" w:rsidRDefault="009E737A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Eixo Temático: Doenças de notificação compulsória</w:t>
      </w:r>
    </w:p>
    <w:p w14:paraId="10B93F53" w14:textId="19F6B048" w:rsidR="00562F38" w:rsidRDefault="00DC687C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DESAFIOS E PERSPECTIVAS DA VIGILÂNCIA EPIDEMIOLÓGICA NO BRASIL DIANTE DAS DOENÇAS DE NOTIFICAÇÃO COMPULSÓRIA</w:t>
      </w:r>
    </w:p>
    <w:p w14:paraId="4C14A844" w14:textId="77777777" w:rsidR="00562F38" w:rsidRDefault="00562F38" w:rsidP="00BE14B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F880954" w14:textId="77777777" w:rsidR="00562F38" w:rsidRDefault="00562F38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30DAB714" w14:textId="376B4F00" w:rsidR="00562F38" w:rsidRDefault="009E737A" w:rsidP="00DC687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INTRODUÇÃO:</w:t>
      </w:r>
      <w:r w:rsidR="00DC68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vigilância epidemiológica tem papel essencial na detecção, monitoramento e controle das doenças de notificação compulsória no Brasil. Durante a pandemia de COVID-19, observou-se a fragilidade e a sobrecarga dos sistemas de vigilância, especialmente frente às transformações tecnológicas e institucionais. A análise dos estudos evidencia a importância da integração entre informação em saúde, políticas públicas e fortalecimento das estruturas de vigilância para garantir respostas rápidas e eficazes às emergê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ncias sanitárias.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OBJETIVO: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Analisar </w:t>
      </w:r>
      <w:r w:rsidR="00DC687C">
        <w:rPr>
          <w:rFonts w:ascii="Times New Roman" w:eastAsia="Times New Roman" w:hAnsi="Times New Roman" w:cs="Times New Roman"/>
          <w:sz w:val="24"/>
          <w:szCs w:val="24"/>
        </w:rPr>
        <w:t xml:space="preserve">evidências científicas sobre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os desafios e as perspectivas da vigilância epidemiológica no Brasil, com foco nas doenças de notificação compulsória.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MÉTODOS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DC687C">
        <w:rPr>
          <w:rFonts w:ascii="Times New Roman" w:eastAsia="Times New Roman" w:hAnsi="Times New Roman" w:cs="Times New Roman"/>
          <w:sz w:val="24"/>
          <w:szCs w:val="24"/>
        </w:rPr>
        <w:t>Trata-se de uma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revisão </w:t>
      </w:r>
      <w:r w:rsidR="00DC687C">
        <w:rPr>
          <w:rFonts w:ascii="Times New Roman" w:eastAsia="Times New Roman" w:hAnsi="Times New Roman" w:cs="Times New Roman"/>
          <w:sz w:val="24"/>
          <w:szCs w:val="24"/>
        </w:rPr>
        <w:t xml:space="preserve">narrativa de literatura, </w:t>
      </w:r>
      <w:r>
        <w:rPr>
          <w:rFonts w:ascii="Times New Roman" w:eastAsia="Times New Roman" w:hAnsi="Times New Roman" w:cs="Times New Roman"/>
          <w:sz w:val="24"/>
          <w:szCs w:val="24"/>
        </w:rPr>
        <w:t>elaborad</w:t>
      </w:r>
      <w:r w:rsidR="00DC687C"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partir da análise de artigos científicos e documentos institucionais obtidos </w:t>
      </w:r>
      <w:r w:rsidR="008F78C2">
        <w:rPr>
          <w:rFonts w:ascii="Times New Roman" w:eastAsia="Times New Roman" w:hAnsi="Times New Roman" w:cs="Times New Roman"/>
          <w:sz w:val="24"/>
          <w:szCs w:val="24"/>
        </w:rPr>
        <w:t>nas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bases de dados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SciELO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 Research Society and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Development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8F78C2">
        <w:rPr>
          <w:rFonts w:ascii="Times New Roman" w:eastAsia="Times New Roman" w:hAnsi="Times New Roman" w:cs="Times New Roman"/>
          <w:sz w:val="24"/>
          <w:szCs w:val="24"/>
        </w:rPr>
        <w:t>e materiais técnicos publicados pelo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Ministério da Saúde. </w:t>
      </w:r>
      <w:r w:rsidR="008F78C2">
        <w:rPr>
          <w:rFonts w:ascii="Times New Roman" w:eastAsia="Times New Roman" w:hAnsi="Times New Roman" w:cs="Times New Roman"/>
          <w:sz w:val="24"/>
          <w:szCs w:val="24"/>
        </w:rPr>
        <w:t xml:space="preserve">Fora selecionadas cinco produções científicas para realizar análise completa e responder o objetivo da pesquisa.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RESULTADOS: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Os estudos analisados apontam que a pandemia de COVID-19 provocou um expressivo decréscimo nas notificações de </w:t>
      </w:r>
      <w:r w:rsidR="008F78C2">
        <w:rPr>
          <w:rFonts w:ascii="Times New Roman" w:eastAsia="Times New Roman" w:hAnsi="Times New Roman" w:cs="Times New Roman"/>
          <w:sz w:val="24"/>
          <w:szCs w:val="24"/>
        </w:rPr>
        <w:t xml:space="preserve">outras </w:t>
      </w:r>
      <w:r>
        <w:rPr>
          <w:rFonts w:ascii="Times New Roman" w:eastAsia="Times New Roman" w:hAnsi="Times New Roman" w:cs="Times New Roman"/>
          <w:sz w:val="24"/>
          <w:szCs w:val="24"/>
        </w:rPr>
        <w:t>doenças compulsórias, com destaque para o ano de 2020, em que a Rede Nacional de Vigilância Epidemiológica Hospitalar (Renaveh) registrou redução de mais de 140 mil notificações em relação a 2019. Esse cenário refletiu a sobrecarga dos serviços, a priorização do enfren</w:t>
      </w:r>
      <w:r>
        <w:rPr>
          <w:rFonts w:ascii="Times New Roman" w:eastAsia="Times New Roman" w:hAnsi="Times New Roman" w:cs="Times New Roman"/>
          <w:sz w:val="24"/>
          <w:szCs w:val="24"/>
        </w:rPr>
        <w:t>tamento à pandemia e o afastamento de profissionais da vigilância. Identificou-se ainda a permanência de doenças negligenciadas, como hanseníase, tuberculose, leishmaniose e malária, com incidência significativa nas regiões Norte e Nordeste, associada à desigualdade de investimentos e infraestrutura. O Relatório de Gestão da Secretaria de Vigilância em Saúde (2019–2020) destacou o esforço de modernização do sistema de vigilância, com reestruturação de departamentos, capacitação de profissionais, ampliação d</w:t>
      </w:r>
      <w:r>
        <w:rPr>
          <w:rFonts w:ascii="Times New Roman" w:eastAsia="Times New Roman" w:hAnsi="Times New Roman" w:cs="Times New Roman"/>
          <w:sz w:val="24"/>
          <w:szCs w:val="24"/>
        </w:rPr>
        <w:t>e parcerias interinstitucionais e investimento em sistemas de informação e laboratórios de biossegurança. Entretanto, persistem desafios como a subnotificação de casos, falhas na integração entre vigilância e atenção básica, dificuldades no uso de tecnologias de informação e desigualdade regional no acesso aos serviços. Além disso, estudos recentes reforçam a necessidade de padronização e qualificação dos dados em saúde, uma vez que a fragmentação das bases compromete a efetividade da vigilância e o planeja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mento das ações públicas. Também foi evidenciado que a vigilância em saúde precisa de estratégias mais efetivas para garantir a continuidade das ações em períodos de crise sanitária e evitar a interrupção de programas essenciais.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CONCLUSÃO: </w:t>
      </w:r>
      <w:r>
        <w:rPr>
          <w:rFonts w:ascii="Times New Roman" w:eastAsia="Times New Roman" w:hAnsi="Times New Roman" w:cs="Times New Roman"/>
          <w:sz w:val="24"/>
          <w:szCs w:val="24"/>
        </w:rPr>
        <w:t>Conclui-se que a vigilância epidemiológica brasileira enfrenta desafios estruturais, operacionais e políticos que comprometem o controle das doenças de notificação compulsória. As perspectivas apontam para a necessidade de fortalecimento dos sistemas de informação, valor</w:t>
      </w:r>
      <w:r>
        <w:rPr>
          <w:rFonts w:ascii="Times New Roman" w:eastAsia="Times New Roman" w:hAnsi="Times New Roman" w:cs="Times New Roman"/>
          <w:sz w:val="24"/>
          <w:szCs w:val="24"/>
        </w:rPr>
        <w:t>ização dos profissionais, ampliação dos investimentos e integração entre vigilância, pesquisa e atenção primária. O aprendizado decorrente da pandemia deve orientar a construção de um modelo mais resiliente e efetivo, garantindo resposta rápida e equitativa às emergências em saúde pública.</w:t>
      </w:r>
    </w:p>
    <w:p w14:paraId="4ED20488" w14:textId="77777777" w:rsidR="00DC687C" w:rsidRDefault="00DC687C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1AE52C1" w14:textId="084EB713" w:rsidR="00562F38" w:rsidRDefault="009E737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PALAVRAS- CHAVES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Vigilância epidemiológica; Doenças de notificação compulsória; COVID-19; </w:t>
      </w:r>
    </w:p>
    <w:p w14:paraId="27A9A3CF" w14:textId="77777777" w:rsidR="00562F38" w:rsidRDefault="00562F38">
      <w:pPr>
        <w:spacing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p w14:paraId="31FE130B" w14:textId="77777777" w:rsidR="00562F38" w:rsidRDefault="009E737A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 xml:space="preserve">REFERÊNCIAS: </w:t>
      </w:r>
    </w:p>
    <w:p w14:paraId="7B2D5479" w14:textId="77777777" w:rsidR="00562F38" w:rsidRDefault="009E737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BRASIL. Ministério da Saúde. Secretaria de Vigilância em Saúde. Desafios e perspectivas: relatório de gestão 2019–2020. Brasília, DF: Ministério da Saúde, 2020. Disponível em: https://www.gov.br/saude. </w:t>
      </w:r>
    </w:p>
    <w:p w14:paraId="150EB11A" w14:textId="77777777" w:rsidR="00562F38" w:rsidRDefault="009E737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HENRIQUES, Claudio Maierovitch Pessanha; MOURA, Noely Fabiana Oliveira de; SOUZA, Priscila Bochi de. Desafios e lições da pandemia de COVID-19 para a Vigilância em Saúde no Brasil: reflexões sobre tecnologias, modelos e organização do sistema. Revista Brasileira de Epidemiologia, Brasília, v. 27, e240049, 2024. DOI: https://doi.org/10.1590/1980-549720240049.2.</w:t>
      </w:r>
    </w:p>
    <w:p w14:paraId="6FACF1C2" w14:textId="77777777" w:rsidR="00562F38" w:rsidRDefault="009E737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LIMA,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et al.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Acesso e qualidade de bases de dados e sistemas de informações em saúde no Brasil: revisão de escopo. Research, Society and Development, Itajubá, v. 13, n. 4, e8413445603, 2024. DOI: https://doi.org/10.33448/rsd-v13i4.45603.</w:t>
      </w:r>
    </w:p>
    <w:p w14:paraId="58C38BF9" w14:textId="77777777" w:rsidR="00562F38" w:rsidRDefault="009E737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SALLAS,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et al. </w:t>
      </w:r>
      <w:r>
        <w:rPr>
          <w:rFonts w:ascii="Times New Roman" w:eastAsia="Times New Roman" w:hAnsi="Times New Roman" w:cs="Times New Roman"/>
          <w:sz w:val="24"/>
          <w:szCs w:val="24"/>
        </w:rPr>
        <w:t>Decréscimo nas notificações compulsórias registradas pela Rede Nacional de Vigilância Epidemiológica Hospitalar do Brasil durante a pandemia da COVID-19: um estudo descritivo, 2017–2020. Epidemiologia e Serviços de Saúde, Brasília, v. 31, n. 1, e2021303, 2022. DOI: https://doi.org/10.1590/S1679-49742022000100011.</w:t>
      </w:r>
    </w:p>
    <w:p w14:paraId="60DDA9E5" w14:textId="77777777" w:rsidR="00562F38" w:rsidRDefault="009E737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SOUSA,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et al</w:t>
      </w:r>
      <w:r>
        <w:rPr>
          <w:rFonts w:ascii="Times New Roman" w:eastAsia="Times New Roman" w:hAnsi="Times New Roman" w:cs="Times New Roman"/>
          <w:sz w:val="24"/>
          <w:szCs w:val="24"/>
        </w:rPr>
        <w:t>. Perfil epidemiológico de doenças negligenciadas de notificação compulsória no Brasil com análise dos investimentos governamentais nessa área. Research, Society and Development, Itajubá, v. 9, n. 1, e62911610, 2020. DOI: https://doi.org/10.33448/rsd-v9i1.1610</w:t>
      </w:r>
    </w:p>
    <w:p w14:paraId="32CB993F" w14:textId="77777777" w:rsidR="00562F38" w:rsidRDefault="00562F3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C2E4AC" w14:textId="77777777" w:rsidR="00562F38" w:rsidRDefault="00562F38"/>
    <w:sectPr w:rsidR="00562F3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700" w:right="1133" w:bottom="1133" w:left="1700" w:header="284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365046" w14:textId="77777777" w:rsidR="006812C2" w:rsidRDefault="006812C2">
      <w:pPr>
        <w:spacing w:line="240" w:lineRule="auto"/>
      </w:pPr>
      <w:r>
        <w:separator/>
      </w:r>
    </w:p>
  </w:endnote>
  <w:endnote w:type="continuationSeparator" w:id="0">
    <w:p w14:paraId="422EB8EE" w14:textId="77777777" w:rsidR="006812C2" w:rsidRDefault="006812C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1" w:fontKey="{E27E0662-3512-4A81-A8C1-9D4CB0A1C9E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F57E41D-FACD-FE42-B178-CDAC14E1F6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337986" w14:textId="77777777" w:rsidR="00FB1CB6" w:rsidRDefault="00FB1CB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A26F08" w14:textId="77777777" w:rsidR="00FB1CB6" w:rsidRDefault="00FB1CB6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30E518" w14:textId="77777777" w:rsidR="00FB1CB6" w:rsidRDefault="00FB1CB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C98BA2" w14:textId="77777777" w:rsidR="006812C2" w:rsidRDefault="006812C2">
      <w:pPr>
        <w:spacing w:line="240" w:lineRule="auto"/>
      </w:pPr>
      <w:r>
        <w:separator/>
      </w:r>
    </w:p>
  </w:footnote>
  <w:footnote w:type="continuationSeparator" w:id="0">
    <w:p w14:paraId="11ED67B5" w14:textId="77777777" w:rsidR="006812C2" w:rsidRDefault="006812C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5348C4" w14:textId="77777777" w:rsidR="00FB1CB6" w:rsidRDefault="00FB1CB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01D16F" w14:textId="77777777" w:rsidR="00562F38" w:rsidRDefault="009E737A">
    <w:pPr>
      <w:jc w:val="center"/>
    </w:pPr>
    <w:r>
      <w:rPr>
        <w:noProof/>
      </w:rPr>
      <w:drawing>
        <wp:inline distT="0" distB="0" distL="0" distR="0" wp14:anchorId="7EBD2A7D" wp14:editId="3A13E7E2">
          <wp:extent cx="2174400" cy="1537155"/>
          <wp:effectExtent l="0" t="0" r="0" b="0"/>
          <wp:docPr id="1" name="image1.png" descr="Logotipo, nome da empresa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, nome da empresa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74400" cy="15371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9A63DA" w14:textId="77777777" w:rsidR="00FB1CB6" w:rsidRDefault="00FB1CB6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19"/>
  <w:displayBackgroundShape/>
  <w:embedTrueTypeFonts/>
  <w:proofState w:spelling="clean"/>
  <w:revisionView w:inkAnnotation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2F38"/>
    <w:rsid w:val="00112B6F"/>
    <w:rsid w:val="00483B51"/>
    <w:rsid w:val="00562F38"/>
    <w:rsid w:val="005E7B0E"/>
    <w:rsid w:val="006812C2"/>
    <w:rsid w:val="008F78C2"/>
    <w:rsid w:val="009E737A"/>
    <w:rsid w:val="00BE14B4"/>
    <w:rsid w:val="00BF58AD"/>
    <w:rsid w:val="00DC687C"/>
    <w:rsid w:val="00FB1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2581BA"/>
  <w15:docId w15:val="{8FC90BFD-80FC-441A-8080-4F8E4D0B1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FB1CB6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B1CB6"/>
  </w:style>
  <w:style w:type="paragraph" w:styleId="Rodap">
    <w:name w:val="footer"/>
    <w:basedOn w:val="Normal"/>
    <w:link w:val="RodapChar"/>
    <w:uiPriority w:val="99"/>
    <w:unhideWhenUsed/>
    <w:rsid w:val="00FB1CB6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B1C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780</Words>
  <Characters>4212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Profª Pollyanna Martins</dc:creator>
  <cp:lastModifiedBy>Caio Lima</cp:lastModifiedBy>
  <cp:revision>2</cp:revision>
  <dcterms:created xsi:type="dcterms:W3CDTF">2025-11-14T20:45:00Z</dcterms:created>
  <dcterms:modified xsi:type="dcterms:W3CDTF">2025-11-14T20:45:00Z</dcterms:modified>
</cp:coreProperties>
</file>