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E1F" w:rsidRPr="00792042" w:rsidRDefault="00792042" w:rsidP="007920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042">
        <w:rPr>
          <w:rFonts w:ascii="Times New Roman" w:hAnsi="Times New Roman" w:cs="Times New Roman"/>
          <w:b/>
          <w:sz w:val="28"/>
          <w:szCs w:val="28"/>
        </w:rPr>
        <w:t>Atuação da equipe multiprofissional na prevenção de interações medicamentosas e implicações para a segurança do paciente: revisão integrativa da literatura</w:t>
      </w:r>
    </w:p>
    <w:p w:rsidR="00792042" w:rsidRPr="00792042" w:rsidRDefault="00792042" w:rsidP="007920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042" w:rsidRPr="00792042" w:rsidRDefault="00E171A2" w:rsidP="00E17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171A2">
        <w:rPr>
          <w:rFonts w:ascii="Times New Roman" w:hAnsi="Times New Roman" w:cs="Times New Roman"/>
          <w:b/>
          <w:sz w:val="24"/>
          <w:szCs w:val="24"/>
        </w:rPr>
        <w:t>Introdução</w:t>
      </w:r>
      <w:r w:rsidRPr="00E171A2">
        <w:rPr>
          <w:rFonts w:ascii="Times New Roman" w:hAnsi="Times New Roman" w:cs="Times New Roman"/>
          <w:sz w:val="24"/>
          <w:szCs w:val="24"/>
        </w:rPr>
        <w:t xml:space="preserve">: As interações medicamentosas configuram importante desafio para a assistência segura em ambiente hospitalar, sobretudo diante do aumento da </w:t>
      </w:r>
      <w:proofErr w:type="spellStart"/>
      <w:r w:rsidRPr="00E171A2">
        <w:rPr>
          <w:rFonts w:ascii="Times New Roman" w:hAnsi="Times New Roman" w:cs="Times New Roman"/>
          <w:sz w:val="24"/>
          <w:szCs w:val="24"/>
        </w:rPr>
        <w:t>polifarmácia</w:t>
      </w:r>
      <w:proofErr w:type="spellEnd"/>
      <w:r w:rsidRPr="00E171A2">
        <w:rPr>
          <w:rFonts w:ascii="Times New Roman" w:hAnsi="Times New Roman" w:cs="Times New Roman"/>
          <w:sz w:val="24"/>
          <w:szCs w:val="24"/>
        </w:rPr>
        <w:t xml:space="preserve">, da complexidade terapêutica e do envelhecimento populacional. No contexto brasileiro, a discussão sobre segurança do paciente ganhou maior robustez após a instituição do Programa Nacional de Segurança do Paciente pelo Ministério da Saúde, fortalecendo práticas voltadas à prevenção de incidentes relacionados ao uso de medicamentos. Nesse cenário, a atuação da equipe multiprofissional destaca-se como estratégia essencial para identificação precoce, monitoramento clínico e prevenção de interações medicamentosas potencialmente prejudiciais. A integração entre Medicina, Enfermagem e Farmácia Clínica amplia a vigilância sobre a </w:t>
      </w:r>
      <w:proofErr w:type="spellStart"/>
      <w:r w:rsidRPr="00E171A2">
        <w:rPr>
          <w:rFonts w:ascii="Times New Roman" w:hAnsi="Times New Roman" w:cs="Times New Roman"/>
          <w:sz w:val="24"/>
          <w:szCs w:val="24"/>
        </w:rPr>
        <w:t>farmacoterapia</w:t>
      </w:r>
      <w:proofErr w:type="spellEnd"/>
      <w:r w:rsidRPr="00E171A2">
        <w:rPr>
          <w:rFonts w:ascii="Times New Roman" w:hAnsi="Times New Roman" w:cs="Times New Roman"/>
          <w:sz w:val="24"/>
          <w:szCs w:val="24"/>
        </w:rPr>
        <w:t>, qualifica a tomada de decisão e contribui para redução de eventos adversos evitáveis. Considerando a relevância do tema para a prática assistencial, torna-se necessário reunir evidências científicas acerca das contribuições da atuação multiprofissional na prevenção de interações medicamentosas e seus reflexos sobre a segura</w:t>
      </w:r>
      <w:r>
        <w:rPr>
          <w:rFonts w:ascii="Times New Roman" w:hAnsi="Times New Roman" w:cs="Times New Roman"/>
          <w:sz w:val="24"/>
          <w:szCs w:val="24"/>
        </w:rPr>
        <w:t>nça do paciente hospitalizado</w:t>
      </w:r>
      <w:r w:rsidRPr="00E171A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171A2">
        <w:rPr>
          <w:rFonts w:ascii="Times New Roman" w:hAnsi="Times New Roman" w:cs="Times New Roman"/>
          <w:b/>
          <w:sz w:val="24"/>
          <w:szCs w:val="24"/>
        </w:rPr>
        <w:t>Objetivo</w:t>
      </w:r>
      <w:r w:rsidRPr="00E171A2">
        <w:rPr>
          <w:rFonts w:ascii="Times New Roman" w:hAnsi="Times New Roman" w:cs="Times New Roman"/>
          <w:sz w:val="24"/>
          <w:szCs w:val="24"/>
        </w:rPr>
        <w:t>: Analisar, por meio de revisão integrativa da literatura, a importância da atuação da equipe multiprofissional na prevenção de interações medicamentosas e seus impactos na segurança do pac</w:t>
      </w:r>
      <w:r>
        <w:rPr>
          <w:rFonts w:ascii="Times New Roman" w:hAnsi="Times New Roman" w:cs="Times New Roman"/>
          <w:sz w:val="24"/>
          <w:szCs w:val="24"/>
        </w:rPr>
        <w:t xml:space="preserve">iente em serviços hospitalares. </w:t>
      </w:r>
      <w:r w:rsidRPr="00E171A2">
        <w:rPr>
          <w:rFonts w:ascii="Times New Roman" w:hAnsi="Times New Roman" w:cs="Times New Roman"/>
          <w:b/>
          <w:sz w:val="24"/>
          <w:szCs w:val="24"/>
        </w:rPr>
        <w:t>Método</w:t>
      </w:r>
      <w:r w:rsidRPr="00E171A2">
        <w:rPr>
          <w:rFonts w:ascii="Times New Roman" w:hAnsi="Times New Roman" w:cs="Times New Roman"/>
          <w:sz w:val="24"/>
          <w:szCs w:val="24"/>
        </w:rPr>
        <w:t xml:space="preserve">: Trata-se de revisão integrativa da literatura, realizada a partir de busca nas bases de dados </w:t>
      </w:r>
      <w:proofErr w:type="spellStart"/>
      <w:r w:rsidRPr="00E171A2">
        <w:rPr>
          <w:rFonts w:ascii="Times New Roman" w:hAnsi="Times New Roman" w:cs="Times New Roman"/>
          <w:sz w:val="24"/>
          <w:szCs w:val="24"/>
        </w:rPr>
        <w:t>PubMed</w:t>
      </w:r>
      <w:proofErr w:type="spellEnd"/>
      <w:r w:rsidRPr="00E171A2">
        <w:rPr>
          <w:rFonts w:ascii="Times New Roman" w:hAnsi="Times New Roman" w:cs="Times New Roman"/>
          <w:sz w:val="24"/>
          <w:szCs w:val="24"/>
        </w:rPr>
        <w:t xml:space="preserve">/MEDLINE, SciELO e LILACS, com utilização dos descritores controlados “Interações Medicamentosas”, “Segurança do Paciente” e “Equipe de Assistência ao Paciente”, combinados por operadores booleanos AND e OR. Foram considerados artigos publicados entre 2016 e 2026, nos idiomas português, inglês e espanhol, com prioridade para produções brasileiras indexadas em bases reconhecidas. Incluíram-se estudos originais, revisões integrativas e revisões sistemáticas que abordassem estratégias multiprofissionais voltadas à identificação, monitoramento e prevenção de interações medicamentosas clinicamente relevantes em ambiente hospitalar. Excluíram-se editoriais, publicações duplicadas e estudos desvinculados da prática clínica interdisciplinar. A análise dos estudos selecionados ocorreu por leitura crítica integral, </w:t>
      </w:r>
      <w:proofErr w:type="gramStart"/>
      <w:r w:rsidRPr="00E171A2">
        <w:rPr>
          <w:rFonts w:ascii="Times New Roman" w:hAnsi="Times New Roman" w:cs="Times New Roman"/>
          <w:sz w:val="24"/>
          <w:szCs w:val="24"/>
        </w:rPr>
        <w:t>seguida de síntese temática dos principais achados relacionados à atuação profissional colaborat</w:t>
      </w:r>
      <w:r>
        <w:rPr>
          <w:rFonts w:ascii="Times New Roman" w:hAnsi="Times New Roman" w:cs="Times New Roman"/>
          <w:sz w:val="24"/>
          <w:szCs w:val="24"/>
        </w:rPr>
        <w:t>iva na segurança medicamentosa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171A2">
        <w:rPr>
          <w:rFonts w:ascii="Times New Roman" w:hAnsi="Times New Roman" w:cs="Times New Roman"/>
          <w:b/>
          <w:sz w:val="24"/>
          <w:szCs w:val="24"/>
        </w:rPr>
        <w:t>Resultados</w:t>
      </w:r>
      <w:r w:rsidRPr="00E171A2">
        <w:rPr>
          <w:rFonts w:ascii="Times New Roman" w:hAnsi="Times New Roman" w:cs="Times New Roman"/>
          <w:sz w:val="24"/>
          <w:szCs w:val="24"/>
        </w:rPr>
        <w:t xml:space="preserve">: A literatura nacional evidencia que as interações medicamentosas permanecem como evento frequente na assistência hospitalar, especialmente em unidades de terapia intensiva, enfermarias clínicas e setores de alta complexidade, onde a </w:t>
      </w:r>
      <w:proofErr w:type="spellStart"/>
      <w:r w:rsidRPr="00E171A2">
        <w:rPr>
          <w:rFonts w:ascii="Times New Roman" w:hAnsi="Times New Roman" w:cs="Times New Roman"/>
          <w:sz w:val="24"/>
          <w:szCs w:val="24"/>
        </w:rPr>
        <w:t>polifarmácia</w:t>
      </w:r>
      <w:proofErr w:type="spellEnd"/>
      <w:r w:rsidRPr="00E171A2">
        <w:rPr>
          <w:rFonts w:ascii="Times New Roman" w:hAnsi="Times New Roman" w:cs="Times New Roman"/>
          <w:sz w:val="24"/>
          <w:szCs w:val="24"/>
        </w:rPr>
        <w:t xml:space="preserve"> constitui realidade assistencial recorrente. Estudos brasileiros demonstram associação direta entre maior número de medicamentos </w:t>
      </w:r>
      <w:proofErr w:type="gramStart"/>
      <w:r w:rsidRPr="00E171A2">
        <w:rPr>
          <w:rFonts w:ascii="Times New Roman" w:hAnsi="Times New Roman" w:cs="Times New Roman"/>
          <w:sz w:val="24"/>
          <w:szCs w:val="24"/>
        </w:rPr>
        <w:t>prescritos, tempo prolongado de internação e aumento do risco de interações potencialmente graves, reforçando a necessidade de monitoramento sistemático</w:t>
      </w:r>
      <w:r>
        <w:rPr>
          <w:rFonts w:ascii="Times New Roman" w:hAnsi="Times New Roman" w:cs="Times New Roman"/>
          <w:sz w:val="24"/>
          <w:szCs w:val="24"/>
        </w:rPr>
        <w:t xml:space="preserve"> da terapêutica medicamentosa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171A2">
        <w:rPr>
          <w:rFonts w:ascii="Times New Roman" w:hAnsi="Times New Roman" w:cs="Times New Roman"/>
          <w:sz w:val="24"/>
          <w:szCs w:val="24"/>
        </w:rPr>
        <w:t xml:space="preserve">No âmbito multiprofissional, a atuação farmacêutica tem sido descrita como componente estratégico na prevenção de interações, sobretudo por meio da validação técnica de prescrições, análise </w:t>
      </w:r>
      <w:proofErr w:type="spellStart"/>
      <w:r w:rsidRPr="00E171A2">
        <w:rPr>
          <w:rFonts w:ascii="Times New Roman" w:hAnsi="Times New Roman" w:cs="Times New Roman"/>
          <w:sz w:val="24"/>
          <w:szCs w:val="24"/>
        </w:rPr>
        <w:t>farmacoterapêutica</w:t>
      </w:r>
      <w:proofErr w:type="spellEnd"/>
      <w:r w:rsidRPr="00E171A2">
        <w:rPr>
          <w:rFonts w:ascii="Times New Roman" w:hAnsi="Times New Roman" w:cs="Times New Roman"/>
          <w:sz w:val="24"/>
          <w:szCs w:val="24"/>
        </w:rPr>
        <w:t xml:space="preserve"> individualizada, reconciliação medicamentosa e emissão de recomendações clínicas à equipe assistencial. A literatura brasileira aponta que a inserção da Farmácia Clínica no cotidiano hospitalar reduz inconsistências prescricionais, fortalece o uso racional de medicamentos e amplia a identificação precoce de combinações farmacológicas potencialmente nocivas. Esse papel torna-se particularmente relevante em pacientes idosos, críticos e portadores de múltiplas </w:t>
      </w:r>
      <w:proofErr w:type="spellStart"/>
      <w:r w:rsidRPr="00E171A2">
        <w:rPr>
          <w:rFonts w:ascii="Times New Roman" w:hAnsi="Times New Roman" w:cs="Times New Roman"/>
          <w:sz w:val="24"/>
          <w:szCs w:val="24"/>
        </w:rPr>
        <w:t>comorbidades</w:t>
      </w:r>
      <w:proofErr w:type="spellEnd"/>
      <w:r w:rsidRPr="00E171A2">
        <w:rPr>
          <w:rFonts w:ascii="Times New Roman" w:hAnsi="Times New Roman" w:cs="Times New Roman"/>
          <w:sz w:val="24"/>
          <w:szCs w:val="24"/>
        </w:rPr>
        <w:t xml:space="preserve">, nos quais pequenas alterações terapêuticas podem repercutir </w:t>
      </w:r>
      <w:r w:rsidRPr="00E171A2">
        <w:rPr>
          <w:rFonts w:ascii="Times New Roman" w:hAnsi="Times New Roman" w:cs="Times New Roman"/>
          <w:sz w:val="24"/>
          <w:szCs w:val="24"/>
        </w:rPr>
        <w:lastRenderedPageBreak/>
        <w:t xml:space="preserve">significativamente no desfecho clínico.  A Enfermagem, por sua vez, ocupa papel central na prevenção de interações medicamentosas por estar diretamente vinculada ao processo de administração dos fármacos e ao acompanhamento contínuo da resposta clínica do paciente. Estudos destacam que o enfermeiro atua não apenas na execução segura da terapêutica prescrita, mas também na vigilância clínica, reconhecimento de sinais precoces de eventos adversos e comunicação imediata de alterações relevantes à equipe. Além disso, o aprazamento de medicamentos, atividade frequentemente realizada pela Enfermagem, representa etapa crítica na prevenção de interações, uma vez que a sobreposição inadequada de horários pode favorecer efeitos farmacológicos indesejáveis. Evidências nacionais reforçam a necessidade de maior capacitação farmacológica dos profissionais de Enfermagem, especialmente no reconhecimento de classes terapêuticas de risco, mecanismos de interação e medidas preventivas associadas à administração segura.  Outro aspecto amplamente evidenciado refere-se à comunicação </w:t>
      </w:r>
      <w:proofErr w:type="gramStart"/>
      <w:r w:rsidRPr="00E171A2">
        <w:rPr>
          <w:rFonts w:ascii="Times New Roman" w:hAnsi="Times New Roman" w:cs="Times New Roman"/>
          <w:sz w:val="24"/>
          <w:szCs w:val="24"/>
        </w:rPr>
        <w:t>Inter profissional</w:t>
      </w:r>
      <w:proofErr w:type="gramEnd"/>
      <w:r w:rsidRPr="00E171A2">
        <w:rPr>
          <w:rFonts w:ascii="Times New Roman" w:hAnsi="Times New Roman" w:cs="Times New Roman"/>
          <w:sz w:val="24"/>
          <w:szCs w:val="24"/>
        </w:rPr>
        <w:t xml:space="preserve">. Instituições que adotam discussão multiprofissional sistemática dos casos clínicos, protocolos compartilhados e cultura organizacional voltada à segurança apresentam maior capacidade de interceptar falhas antes que produzam dano ao paciente. A literatura brasileira também aponta que ferramentas institucionais de segurança, protocolos de dupla checagem, educação permanente e fortalecimento da farmacovigilância são medidas associadas à qualificação do cuidado e à redução de eventos adversos relacionados a medicamentos.  </w:t>
      </w:r>
      <w:r w:rsidRPr="00E171A2">
        <w:rPr>
          <w:rFonts w:ascii="Times New Roman" w:hAnsi="Times New Roman" w:cs="Times New Roman"/>
          <w:b/>
          <w:sz w:val="24"/>
          <w:szCs w:val="24"/>
        </w:rPr>
        <w:t>Conclusão</w:t>
      </w:r>
      <w:r w:rsidRPr="00E171A2">
        <w:rPr>
          <w:rFonts w:ascii="Times New Roman" w:hAnsi="Times New Roman" w:cs="Times New Roman"/>
          <w:sz w:val="24"/>
          <w:szCs w:val="24"/>
        </w:rPr>
        <w:t>: A prevenção de interações medicamentosas demanda abordagem interdisciplinar, vigilância clínica qualificada e integração efetiva entre os profissionais envolvidos no cuidado. A literatura demonstra que a atuação articulada entre Medicina, Enfermagem e Farmácia Clínica contribui significativamente para identificação precoce de riscos, tomada de decisão terapêutica mais segura e redução de eventos adversos relacionados ao uso de medicamentos. No contexto hospitalar brasileiro, fortalecer estratégias colaborativas e consolidar práticas institucionais de segurança medicamentosa constitui medida essencial para qualificação da assistência.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2042" w:rsidRPr="00792042">
        <w:rPr>
          <w:rFonts w:ascii="Times New Roman" w:hAnsi="Times New Roman" w:cs="Times New Roman"/>
          <w:b/>
          <w:sz w:val="24"/>
          <w:szCs w:val="24"/>
        </w:rPr>
        <w:t>Contribuições/implicações para a Enfermagem</w:t>
      </w:r>
      <w:r w:rsidR="00792042" w:rsidRPr="00792042">
        <w:rPr>
          <w:rFonts w:ascii="Times New Roman" w:hAnsi="Times New Roman" w:cs="Times New Roman"/>
          <w:sz w:val="24"/>
          <w:szCs w:val="24"/>
        </w:rPr>
        <w:t xml:space="preserve">: </w:t>
      </w:r>
      <w:r w:rsidRPr="00E171A2">
        <w:rPr>
          <w:rFonts w:ascii="Times New Roman" w:hAnsi="Times New Roman" w:cs="Times New Roman"/>
          <w:sz w:val="24"/>
          <w:szCs w:val="24"/>
        </w:rPr>
        <w:t>A Enfermagem apresenta contribuição decisiva na prevenção de interações medicamentosas por meio da administração segura de fármacos, monitoramento clínico contínuo, identificação precoce de alterações fisiológicas e comunicação qualificada com a equipe multiprofissional. O fortalecimento da formação farmacológica do enfermeiro, aliado à participação ativa em protocolos institucionais de segurança do paciente, amplia a capacidade preventiva da assistência e consolida o protagonismo da Enfermagem na promoção do cuidado seguro e baseado em evidências.</w:t>
      </w:r>
    </w:p>
    <w:bookmarkEnd w:id="0"/>
    <w:p w:rsidR="00792042" w:rsidRPr="001D0B0A" w:rsidRDefault="00792042" w:rsidP="007920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B0A">
        <w:rPr>
          <w:rFonts w:ascii="Times New Roman" w:hAnsi="Times New Roman" w:cs="Times New Roman"/>
          <w:b/>
          <w:sz w:val="24"/>
          <w:szCs w:val="24"/>
        </w:rPr>
        <w:t>Descritores (DeCS – ID)</w:t>
      </w:r>
      <w:r w:rsidRPr="001D0B0A">
        <w:rPr>
          <w:rFonts w:ascii="Times New Roman" w:hAnsi="Times New Roman" w:cs="Times New Roman"/>
          <w:sz w:val="24"/>
          <w:szCs w:val="24"/>
        </w:rPr>
        <w:t xml:space="preserve">: Segurança do Paciente — D058668; Processo de Enfermagem — D009732; Tecnologia em Saúde — D059045. </w:t>
      </w:r>
    </w:p>
    <w:p w:rsidR="00792042" w:rsidRPr="001D0B0A" w:rsidRDefault="00792042" w:rsidP="007920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0B0A">
        <w:rPr>
          <w:rFonts w:ascii="Times New Roman" w:hAnsi="Times New Roman" w:cs="Times New Roman"/>
          <w:b/>
          <w:sz w:val="24"/>
          <w:szCs w:val="24"/>
        </w:rPr>
        <w:t>Modalidade</w:t>
      </w:r>
      <w:r w:rsidRPr="001D0B0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Estudo original (</w:t>
      </w:r>
      <w:r w:rsidRPr="001D0B0A">
        <w:rPr>
          <w:rFonts w:ascii="Times New Roman" w:hAnsi="Times New Roman" w:cs="Times New Roman"/>
          <w:sz w:val="24"/>
          <w:szCs w:val="24"/>
        </w:rPr>
        <w:t xml:space="preserve">) relato de experiência </w:t>
      </w:r>
      <w:proofErr w:type="gramStart"/>
      <w:r w:rsidRPr="001D0B0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D0B0A">
        <w:rPr>
          <w:rFonts w:ascii="Times New Roman" w:hAnsi="Times New Roman" w:cs="Times New Roman"/>
          <w:sz w:val="24"/>
          <w:szCs w:val="24"/>
        </w:rPr>
        <w:t>) revisão da literatura (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1D0B0A">
        <w:rPr>
          <w:rFonts w:ascii="Times New Roman" w:hAnsi="Times New Roman" w:cs="Times New Roman"/>
          <w:sz w:val="24"/>
          <w:szCs w:val="24"/>
        </w:rPr>
        <w:t xml:space="preserve"> ) </w:t>
      </w:r>
    </w:p>
    <w:p w:rsidR="00792042" w:rsidRDefault="00792042" w:rsidP="007920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0B0A">
        <w:rPr>
          <w:rFonts w:ascii="Times New Roman" w:hAnsi="Times New Roman" w:cs="Times New Roman"/>
          <w:b/>
          <w:sz w:val="24"/>
          <w:szCs w:val="24"/>
        </w:rPr>
        <w:t>Eixo Temático</w:t>
      </w:r>
      <w:r w:rsidRPr="001D0B0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1D0B0A">
        <w:rPr>
          <w:rFonts w:ascii="Times New Roman" w:hAnsi="Times New Roman" w:cs="Times New Roman"/>
          <w:b/>
          <w:sz w:val="24"/>
          <w:szCs w:val="24"/>
        </w:rPr>
        <w:t>5</w:t>
      </w:r>
      <w:r w:rsidRPr="001D0B0A">
        <w:rPr>
          <w:rFonts w:ascii="Times New Roman" w:hAnsi="Times New Roman" w:cs="Times New Roman"/>
          <w:sz w:val="24"/>
          <w:szCs w:val="24"/>
        </w:rPr>
        <w:t xml:space="preserve"> – Processo</w:t>
      </w:r>
      <w:proofErr w:type="gramEnd"/>
      <w:r w:rsidRPr="001D0B0A">
        <w:rPr>
          <w:rFonts w:ascii="Times New Roman" w:hAnsi="Times New Roman" w:cs="Times New Roman"/>
          <w:sz w:val="24"/>
          <w:szCs w:val="24"/>
        </w:rPr>
        <w:t xml:space="preserve"> de Enfermagem, Teorias e Terminologias padronizadas</w:t>
      </w:r>
    </w:p>
    <w:p w:rsidR="00E171A2" w:rsidRDefault="00E171A2" w:rsidP="007920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71A2" w:rsidRDefault="00E171A2" w:rsidP="007920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71A2" w:rsidRDefault="00E171A2" w:rsidP="007920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71A2" w:rsidRDefault="00E171A2" w:rsidP="007920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71A2" w:rsidRDefault="00E171A2" w:rsidP="007920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71A2" w:rsidRPr="001D0B0A" w:rsidRDefault="00E171A2" w:rsidP="007920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92042" w:rsidRPr="00792042" w:rsidRDefault="00792042" w:rsidP="007920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REFERÊNCIAS:</w:t>
      </w:r>
    </w:p>
    <w:p w:rsidR="00E171A2" w:rsidRPr="00E171A2" w:rsidRDefault="00E171A2" w:rsidP="00E171A2">
      <w:pPr>
        <w:rPr>
          <w:rFonts w:ascii="Times New Roman" w:hAnsi="Times New Roman" w:cs="Times New Roman"/>
          <w:sz w:val="24"/>
          <w:szCs w:val="24"/>
        </w:rPr>
      </w:pPr>
      <w:r w:rsidRPr="00E171A2">
        <w:rPr>
          <w:rFonts w:ascii="Times New Roman" w:hAnsi="Times New Roman" w:cs="Times New Roman"/>
          <w:sz w:val="24"/>
          <w:szCs w:val="24"/>
        </w:rPr>
        <w:t>1. Brasil. Ministério da Saúde. Programa Nacional de Segurança do Paciente. Brasília: Ministério da Saúde; 2013.</w:t>
      </w:r>
    </w:p>
    <w:p w:rsidR="00E171A2" w:rsidRPr="00E171A2" w:rsidRDefault="00E171A2" w:rsidP="00E171A2">
      <w:pPr>
        <w:rPr>
          <w:rFonts w:ascii="Times New Roman" w:hAnsi="Times New Roman" w:cs="Times New Roman"/>
          <w:sz w:val="24"/>
          <w:szCs w:val="24"/>
        </w:rPr>
      </w:pPr>
      <w:r w:rsidRPr="00E171A2">
        <w:rPr>
          <w:rFonts w:ascii="Times New Roman" w:hAnsi="Times New Roman" w:cs="Times New Roman"/>
          <w:sz w:val="24"/>
          <w:szCs w:val="24"/>
        </w:rPr>
        <w:t>2. Agência Nacional de Vigilância Sanitária. Assistência segura: uma reflexão teórica aplicada à prática. Brasília: ANVISA; 2017.</w:t>
      </w:r>
    </w:p>
    <w:p w:rsidR="00E171A2" w:rsidRPr="00E171A2" w:rsidRDefault="00E171A2" w:rsidP="00E171A2">
      <w:pPr>
        <w:rPr>
          <w:rFonts w:ascii="Times New Roman" w:hAnsi="Times New Roman" w:cs="Times New Roman"/>
          <w:sz w:val="24"/>
          <w:szCs w:val="24"/>
        </w:rPr>
      </w:pPr>
      <w:r w:rsidRPr="00E171A2">
        <w:rPr>
          <w:rFonts w:ascii="Times New Roman" w:hAnsi="Times New Roman" w:cs="Times New Roman"/>
          <w:sz w:val="24"/>
          <w:szCs w:val="24"/>
        </w:rPr>
        <w:t xml:space="preserve">3. Secoli </w:t>
      </w:r>
      <w:proofErr w:type="gramStart"/>
      <w:r w:rsidRPr="00E171A2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71A2">
        <w:rPr>
          <w:rFonts w:ascii="Times New Roman" w:hAnsi="Times New Roman" w:cs="Times New Roman"/>
          <w:sz w:val="24"/>
          <w:szCs w:val="24"/>
        </w:rPr>
        <w:t xml:space="preserve"> Interações medicamentosas: fundamentos para a prática clínica da enfermagem. Rev Esc Enferm USP. </w:t>
      </w:r>
      <w:proofErr w:type="gramStart"/>
      <w:r w:rsidRPr="00E171A2">
        <w:rPr>
          <w:rFonts w:ascii="Times New Roman" w:hAnsi="Times New Roman" w:cs="Times New Roman"/>
          <w:sz w:val="24"/>
          <w:szCs w:val="24"/>
        </w:rPr>
        <w:t>2001;</w:t>
      </w:r>
      <w:proofErr w:type="gramEnd"/>
      <w:r w:rsidRPr="00E171A2">
        <w:rPr>
          <w:rFonts w:ascii="Times New Roman" w:hAnsi="Times New Roman" w:cs="Times New Roman"/>
          <w:sz w:val="24"/>
          <w:szCs w:val="24"/>
        </w:rPr>
        <w:t xml:space="preserve">35(1):28-34.  </w:t>
      </w:r>
    </w:p>
    <w:p w:rsidR="00E171A2" w:rsidRPr="00E171A2" w:rsidRDefault="00E171A2" w:rsidP="00E171A2">
      <w:pPr>
        <w:rPr>
          <w:rFonts w:ascii="Times New Roman" w:hAnsi="Times New Roman" w:cs="Times New Roman"/>
          <w:sz w:val="24"/>
          <w:szCs w:val="24"/>
        </w:rPr>
      </w:pPr>
      <w:r w:rsidRPr="00E171A2">
        <w:rPr>
          <w:rFonts w:ascii="Times New Roman" w:hAnsi="Times New Roman" w:cs="Times New Roman"/>
          <w:sz w:val="24"/>
          <w:szCs w:val="24"/>
        </w:rPr>
        <w:t xml:space="preserve">4. Reis GAX, Hayakawa LY, Murassaki ACY, Matsuda LM, Gabriel CS, Oliveira MLF. Assistência de enfermagem e o enfoque da segurança do paciente no cenário brasileiro. Saúde Debate. </w:t>
      </w:r>
      <w:r w:rsidRPr="00E171A2">
        <w:rPr>
          <w:rFonts w:ascii="Times New Roman" w:hAnsi="Times New Roman" w:cs="Times New Roman"/>
          <w:sz w:val="24"/>
          <w:szCs w:val="24"/>
        </w:rPr>
        <w:t xml:space="preserve">2016; 40(111): </w:t>
      </w:r>
      <w:r w:rsidRPr="00E171A2">
        <w:rPr>
          <w:rFonts w:ascii="Times New Roman" w:hAnsi="Times New Roman" w:cs="Times New Roman"/>
          <w:sz w:val="24"/>
          <w:szCs w:val="24"/>
        </w:rPr>
        <w:t xml:space="preserve">292-301.  </w:t>
      </w:r>
    </w:p>
    <w:p w:rsidR="00E171A2" w:rsidRPr="00E171A2" w:rsidRDefault="00E171A2" w:rsidP="00E171A2">
      <w:pPr>
        <w:rPr>
          <w:rFonts w:ascii="Times New Roman" w:hAnsi="Times New Roman" w:cs="Times New Roman"/>
          <w:sz w:val="24"/>
          <w:szCs w:val="24"/>
        </w:rPr>
      </w:pPr>
      <w:r w:rsidRPr="00E171A2">
        <w:rPr>
          <w:rFonts w:ascii="Times New Roman" w:hAnsi="Times New Roman" w:cs="Times New Roman"/>
          <w:sz w:val="24"/>
          <w:szCs w:val="24"/>
        </w:rPr>
        <w:t xml:space="preserve">5. Lima TA, Garbin LM, Garbin CAS. Contribuição da enfermagem à segurança do paciente: revisão integrativa. Sanare. </w:t>
      </w:r>
      <w:r w:rsidRPr="00E171A2">
        <w:rPr>
          <w:rFonts w:ascii="Times New Roman" w:hAnsi="Times New Roman" w:cs="Times New Roman"/>
          <w:sz w:val="24"/>
          <w:szCs w:val="24"/>
        </w:rPr>
        <w:t xml:space="preserve">2017; </w:t>
      </w:r>
      <w:r w:rsidRPr="00E171A2">
        <w:rPr>
          <w:rFonts w:ascii="Times New Roman" w:hAnsi="Times New Roman" w:cs="Times New Roman"/>
          <w:sz w:val="24"/>
          <w:szCs w:val="24"/>
        </w:rPr>
        <w:t xml:space="preserve">16(Supl 1):109-117.  </w:t>
      </w:r>
    </w:p>
    <w:p w:rsidR="00E171A2" w:rsidRPr="00E171A2" w:rsidRDefault="00E171A2" w:rsidP="00E171A2">
      <w:pPr>
        <w:rPr>
          <w:rFonts w:ascii="Times New Roman" w:hAnsi="Times New Roman" w:cs="Times New Roman"/>
          <w:sz w:val="24"/>
          <w:szCs w:val="24"/>
        </w:rPr>
      </w:pPr>
      <w:r w:rsidRPr="00E171A2">
        <w:rPr>
          <w:rFonts w:ascii="Times New Roman" w:hAnsi="Times New Roman" w:cs="Times New Roman"/>
          <w:sz w:val="24"/>
          <w:szCs w:val="24"/>
        </w:rPr>
        <w:t xml:space="preserve">6. Bueno AAB, Cardoso RB, Fassarella CS, Camerini FG, Caldas CP. Segurança do paciente: interações medicamentosas em pacientes adultos internados. Cienc Cuid Saude. </w:t>
      </w:r>
      <w:proofErr w:type="gramStart"/>
      <w:r w:rsidRPr="00E171A2">
        <w:rPr>
          <w:rFonts w:ascii="Times New Roman" w:hAnsi="Times New Roman" w:cs="Times New Roman"/>
          <w:sz w:val="24"/>
          <w:szCs w:val="24"/>
        </w:rPr>
        <w:t>2020;</w:t>
      </w:r>
      <w:proofErr w:type="gramEnd"/>
      <w:r w:rsidRPr="00E171A2">
        <w:rPr>
          <w:rFonts w:ascii="Times New Roman" w:hAnsi="Times New Roman" w:cs="Times New Roman"/>
          <w:sz w:val="24"/>
          <w:szCs w:val="24"/>
        </w:rPr>
        <w:t xml:space="preserve">19:e50038.  </w:t>
      </w:r>
    </w:p>
    <w:p w:rsidR="00792042" w:rsidRPr="00E171A2" w:rsidRDefault="00E171A2" w:rsidP="00E171A2">
      <w:pPr>
        <w:rPr>
          <w:rFonts w:ascii="Times New Roman" w:hAnsi="Times New Roman" w:cs="Times New Roman"/>
          <w:sz w:val="24"/>
          <w:szCs w:val="24"/>
        </w:rPr>
      </w:pPr>
      <w:r w:rsidRPr="00E171A2">
        <w:rPr>
          <w:rFonts w:ascii="Times New Roman" w:hAnsi="Times New Roman" w:cs="Times New Roman"/>
          <w:sz w:val="24"/>
          <w:szCs w:val="24"/>
        </w:rPr>
        <w:t xml:space="preserve">7. Sampaio LRL, Rodrigues VRT, Feitosa EMS, </w:t>
      </w:r>
      <w:proofErr w:type="gramStart"/>
      <w:r w:rsidRPr="00E171A2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E171A2">
        <w:rPr>
          <w:rFonts w:ascii="Times New Roman" w:hAnsi="Times New Roman" w:cs="Times New Roman"/>
          <w:sz w:val="24"/>
          <w:szCs w:val="24"/>
        </w:rPr>
        <w:t xml:space="preserve"> al. Evidências de interações medicamentosas para aprazamento de fármacos por enfermeiros. Ens Cienc C Biol Agrar Saude. </w:t>
      </w:r>
      <w:proofErr w:type="gramStart"/>
      <w:r w:rsidRPr="00E171A2">
        <w:rPr>
          <w:rFonts w:ascii="Times New Roman" w:hAnsi="Times New Roman" w:cs="Times New Roman"/>
          <w:sz w:val="24"/>
          <w:szCs w:val="24"/>
        </w:rPr>
        <w:t>2022;</w:t>
      </w:r>
      <w:proofErr w:type="gramEnd"/>
      <w:r w:rsidRPr="00E171A2">
        <w:rPr>
          <w:rFonts w:ascii="Times New Roman" w:hAnsi="Times New Roman" w:cs="Times New Roman"/>
          <w:sz w:val="24"/>
          <w:szCs w:val="24"/>
        </w:rPr>
        <w:t xml:space="preserve">25(5 esp):578-589.  </w:t>
      </w:r>
    </w:p>
    <w:sectPr w:rsidR="00792042" w:rsidRPr="00E171A2" w:rsidSect="0079204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042"/>
    <w:rsid w:val="00731E1F"/>
    <w:rsid w:val="00792042"/>
    <w:rsid w:val="00B67FC8"/>
    <w:rsid w:val="00E1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1281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Jhessica</dc:creator>
  <cp:lastModifiedBy>Jhessica</cp:lastModifiedBy>
  <cp:revision>2</cp:revision>
  <dcterms:created xsi:type="dcterms:W3CDTF">2026-05-06T03:28:00Z</dcterms:created>
  <dcterms:modified xsi:type="dcterms:W3CDTF">2026-05-06T03:28:00Z</dcterms:modified>
</cp:coreProperties>
</file>