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24"/>
          <w:szCs w:val="24"/>
        </w:rPr>
      </w:pPr>
      <w:r w:rsidDel="00000000" w:rsidR="00000000" w:rsidRPr="00000000">
        <w:rPr/>
        <w:drawing>
          <wp:inline distB="19050" distT="19050" distL="19050" distR="19050">
            <wp:extent cx="2096925" cy="84895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96925" cy="84895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153" w:line="344" w:lineRule="auto"/>
        <w:ind w:left="63" w:right="5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COMPARAÇÃO ENTRE DOIS BENZODIAZEPÍNICOS PARA CONTROLE DA CONVULSÃO EM CRIANÇAS: UMA REVISÃO NARRATIVA</w:t>
      </w:r>
    </w:p>
    <w:p w:rsidR="00000000" w:rsidDel="00000000" w:rsidP="00000000" w:rsidRDefault="00000000" w:rsidRPr="00000000" w14:paraId="00000003">
      <w:pPr>
        <w:widowControl w:val="0"/>
        <w:spacing w:before="383" w:line="343" w:lineRule="auto"/>
        <w:ind w:left="4136" w:right="-4" w:hanging="3663"/>
        <w:jc w:val="right"/>
        <w:rPr>
          <w:rFonts w:ascii="Times New Roman" w:cs="Times New Roman" w:eastAsia="Times New Roman" w:hAnsi="Times New Roman"/>
          <w:b w:val="1"/>
          <w:sz w:val="15"/>
          <w:szCs w:val="15"/>
          <w:vertAlign w:val="subscript"/>
        </w:rPr>
      </w:pPr>
      <w:r w:rsidDel="00000000" w:rsidR="00000000" w:rsidRPr="00000000">
        <w:rPr>
          <w:rFonts w:ascii="Times New Roman" w:cs="Times New Roman" w:eastAsia="Times New Roman" w:hAnsi="Times New Roman"/>
          <w:b w:val="1"/>
          <w:sz w:val="24"/>
          <w:szCs w:val="24"/>
          <w:rtl w:val="0"/>
        </w:rPr>
        <w:t xml:space="preserve">Luiz Cláudio Kehdi Guimarães </w:t>
      </w:r>
      <w:r w:rsidDel="00000000" w:rsidR="00000000" w:rsidRPr="00000000">
        <w:rPr>
          <w:rFonts w:ascii="Times New Roman" w:cs="Times New Roman" w:eastAsia="Times New Roman" w:hAnsi="Times New Roman"/>
          <w:b w:val="1"/>
          <w:sz w:val="15"/>
          <w:szCs w:val="15"/>
          <w:rtl w:val="0"/>
        </w:rPr>
        <w:t xml:space="preserve">1</w:t>
      </w:r>
      <w:r w:rsidDel="00000000" w:rsidR="00000000" w:rsidRPr="00000000">
        <w:rPr>
          <w:rFonts w:ascii="Times New Roman" w:cs="Times New Roman" w:eastAsia="Times New Roman" w:hAnsi="Times New Roman"/>
          <w:b w:val="1"/>
          <w:sz w:val="24"/>
          <w:szCs w:val="24"/>
          <w:rtl w:val="0"/>
        </w:rPr>
        <w:t xml:space="preserve">, Leandro Mendes de Freitas </w:t>
      </w:r>
      <w:r w:rsidDel="00000000" w:rsidR="00000000" w:rsidRPr="00000000">
        <w:rPr>
          <w:rFonts w:ascii="Times New Roman" w:cs="Times New Roman" w:eastAsia="Times New Roman" w:hAnsi="Times New Roman"/>
          <w:b w:val="1"/>
          <w:sz w:val="15"/>
          <w:szCs w:val="15"/>
          <w:rtl w:val="0"/>
        </w:rPr>
        <w:t xml:space="preserve">2</w:t>
      </w:r>
      <w:r w:rsidDel="00000000" w:rsidR="00000000" w:rsidRPr="00000000">
        <w:rPr>
          <w:rtl w:val="0"/>
        </w:rPr>
      </w:r>
    </w:p>
    <w:p w:rsidR="00000000" w:rsidDel="00000000" w:rsidP="00000000" w:rsidRDefault="00000000" w:rsidRPr="00000000" w14:paraId="00000004">
      <w:pPr>
        <w:widowControl w:val="0"/>
        <w:spacing w:before="471" w:line="240" w:lineRule="auto"/>
        <w:ind w:right="57"/>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5"/>
          <w:szCs w:val="15"/>
          <w:rtl w:val="0"/>
        </w:rPr>
        <w:t xml:space="preserve">1-2 </w:t>
      </w:r>
      <w:r w:rsidDel="00000000" w:rsidR="00000000" w:rsidRPr="00000000">
        <w:rPr>
          <w:rFonts w:ascii="Times New Roman" w:cs="Times New Roman" w:eastAsia="Times New Roman" w:hAnsi="Times New Roman"/>
          <w:sz w:val="24"/>
          <w:szCs w:val="24"/>
          <w:rtl w:val="0"/>
        </w:rPr>
        <w:t xml:space="preserve">Instituição Faculdade Zarns de Medicina de Itumbiara</w:t>
      </w:r>
    </w:p>
    <w:p w:rsidR="00000000" w:rsidDel="00000000" w:rsidP="00000000" w:rsidRDefault="00000000" w:rsidRPr="00000000" w14:paraId="00000005">
      <w:pPr>
        <w:widowControl w:val="0"/>
        <w:spacing w:before="391"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lckehdi@gmail.com</w:t>
      </w:r>
    </w:p>
    <w:p w:rsidR="00000000" w:rsidDel="00000000" w:rsidP="00000000" w:rsidRDefault="00000000" w:rsidRPr="00000000" w14:paraId="00000006">
      <w:pPr>
        <w:widowControl w:val="0"/>
        <w:spacing w:before="185" w:line="360" w:lineRule="auto"/>
        <w:ind w:right="-3" w:firstLine="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Às emergências convulsivas nas crianças normalmente são convulsões febris, autolimitadas e já admitidas no pós ictal. Em alguns casos, geralmente de outras etiologias, pode ocorrer convulsões prolongadas ou recorrentes, que caracteriza o Estado de Mal Epiléptico (EME).A primeira linha de tratamento das convulsões são benzodiazepínicos.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Comparar a eficiência e os efeitos do Midazolam intramuscular ou Diazepam endovenoso para tratamento de convulsões em crianças.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O estudo foi realizado por revisão narrativa, com pesquisa na plataforma Google Acadêmico, por meio dos termos livres “Convulsões”,  “Diazepam”, “Midazolam” e “Emergência pediátrica”. Foram selecionados artigos em inglês ou português, publicados nos últimos dez anos. Com a busca foram selecionados cinco trabalhos para análise.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Sabe-se que é proscrita a realização de diazepam intramuscular, devido a liberação errática, sendo assim o midazolam intramuscular é um importante avanço diante a dificuldade de obter acesso em crianças. Apesar de muitos estudos apontarem que não há superioridade estatisticamente significativa entre as drogas, dados novos indicam que crianças que recebem diazepam apresentam maior tempo para ceder a crise, precisando de UTI e intubação. Ademais, há evidência de mais efeitos colaterais do diazepam, principalmente hiperatividade ou vômito. Sendo assim, o midazolam é mais indicado para crianças.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Conclusões:</w:t>
      </w:r>
      <w:r w:rsidDel="00000000" w:rsidR="00000000" w:rsidRPr="00000000">
        <w:rPr>
          <w:rFonts w:ascii="Times New Roman" w:cs="Times New Roman" w:eastAsia="Times New Roman" w:hAnsi="Times New Roman"/>
          <w:sz w:val="24"/>
          <w:szCs w:val="24"/>
          <w:rtl w:val="0"/>
        </w:rPr>
        <w:t xml:space="preserve"> Diante o descrito, apesar do uso por muitos anos do diazepam para controle de EME em crianças, o midazolam é melhor indicado, principalmente pela facilidade de administração. No que tange à superioridade e efeitos, os dados ainda são novos e são indicados estudos adicionais de grande amostra a fim de apresentar comprovações estatísticas sólidas. </w:t>
      </w:r>
    </w:p>
    <w:p w:rsidR="00000000" w:rsidDel="00000000" w:rsidP="00000000" w:rsidRDefault="00000000" w:rsidRPr="00000000" w14:paraId="00000007">
      <w:pPr>
        <w:widowControl w:val="0"/>
        <w:spacing w:before="185" w:line="360" w:lineRule="auto"/>
        <w:ind w:right="-3" w:firstLine="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Diazepam. Midazolam. Convulsão.</w:t>
      </w:r>
      <w:r w:rsidDel="00000000" w:rsidR="00000000" w:rsidRPr="00000000">
        <w:rPr>
          <w:rtl w:val="0"/>
        </w:rPr>
      </w:r>
    </w:p>
    <w:p w:rsidR="00000000" w:rsidDel="00000000" w:rsidP="00000000" w:rsidRDefault="00000000" w:rsidRPr="00000000" w14:paraId="00000008">
      <w:pPr>
        <w:widowControl w:val="0"/>
        <w:spacing w:before="17" w:line="219" w:lineRule="auto"/>
        <w:ind w:left="7" w:right="375" w:hanging="6"/>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Medicina. </w:t>
      </w:r>
      <w:r w:rsidDel="00000000" w:rsidR="00000000" w:rsidRPr="00000000">
        <w:rPr>
          <w:rtl w:val="0"/>
        </w:rPr>
      </w:r>
    </w:p>
    <w:sectPr>
      <w:pgSz w:h="16834" w:w="11909" w:orient="portrait"/>
      <w:pgMar w:bottom="720.0000000000001" w:top="720.0000000000001" w:left="720.0000000000001" w:right="720.00000000000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