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6E" w:rsidRPr="00715BD4" w:rsidRDefault="001D3EE9" w:rsidP="00715BD4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O USO DE ALGINATO DE CÁLCIO E MEMBRANA HIDROCOLÓIDE </w:t>
      </w:r>
      <w:r w:rsidR="008C666E" w:rsidRPr="00715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COMO FERRAMENTA ESSENCIAL PARA O MANEJO DE FERIDAS EM </w:t>
      </w:r>
      <w:proofErr w:type="spellStart"/>
      <w:r w:rsidR="008C666E" w:rsidRPr="00715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t-BR"/>
        </w:rPr>
        <w:t>Alouatta</w:t>
      </w:r>
      <w:proofErr w:type="spellEnd"/>
      <w:r w:rsidR="008C666E" w:rsidRPr="00715B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t-BR"/>
        </w:rPr>
        <w:t xml:space="preserve"> spp.</w:t>
      </w:r>
    </w:p>
    <w:p w:rsidR="00715BD4" w:rsidRPr="00715BD4" w:rsidRDefault="00715BD4" w:rsidP="00715BD4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8C666E" w:rsidRPr="00715BD4" w:rsidRDefault="008C666E" w:rsidP="00715BD4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Área temática: Medicina e co</w:t>
      </w:r>
      <w:r w:rsidR="00715BD4" w:rsidRPr="00715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nservação de animais silvestres.</w:t>
      </w:r>
    </w:p>
    <w:p w:rsidR="00715BD4" w:rsidRPr="00715BD4" w:rsidRDefault="00715BD4" w:rsidP="00715BD4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715BD4" w:rsidRPr="000A78E5" w:rsidRDefault="008C666E" w:rsidP="00715BD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TENÓRIO, A. S.¹; 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COELHO, D.M.M.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¹. </w:t>
      </w:r>
    </w:p>
    <w:p w:rsidR="000A78E5" w:rsidRDefault="000A78E5" w:rsidP="00715BD4">
      <w:pPr>
        <w:spacing w:before="20" w:after="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C666E" w:rsidRPr="00715BD4" w:rsidRDefault="008C666E" w:rsidP="00715BD4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¹ Médica veterinária formada pela Universidade Federal do Piauí, Teresina, Piauí, Brasil (dharmammendes@gmail.com).</w:t>
      </w:r>
    </w:p>
    <w:p w:rsidR="00715BD4" w:rsidRPr="00715BD4" w:rsidRDefault="00715BD4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C666E" w:rsidRPr="00715BD4" w:rsidRDefault="00102BCB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manejo de feridas, apesar de rotineiro na clínica médica, não é um procedimento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simples, requer atenção ao protocolo a ser estabelecido considerando 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manutenção de um ambiente fisiológico a</w:t>
      </w:r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dequado a permitir o controle de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umidade</w:t>
      </w:r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temperatura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absorção de exsudato, distribuição de oxigênio além de pr</w:t>
      </w:r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oteção física e controle da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dor,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fim de promover um processo cicatricial efetivo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bem estar ao paciente.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trabalho tem por objetivo</w:t>
      </w:r>
      <w:r w:rsidR="005746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acompanhar a evolução clínica das lesões </w:t>
      </w:r>
      <w:r w:rsidR="005746B4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 um macaco bugio de vida livre</w:t>
      </w:r>
      <w:r w:rsidR="005746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além de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revisar a</w:t>
      </w:r>
      <w:r w:rsidR="005746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importância do uso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5746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alginato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cálcio</w:t>
      </w:r>
      <w:r w:rsidR="005746B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membrana hidrocolóide</w:t>
      </w:r>
      <w:bookmarkStart w:id="0" w:name="_GoBack"/>
      <w:bookmarkEnd w:id="0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manejo de feridas complexas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 O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primata foi avistado na Floresta Nacional dos Palmares e apreendido pela polícia ambiental, o mesmo foi direcionado ao Hospital Veterinário Universitário, ambos localizados na cidade de Teresina-PI. O paciente foi identificado como um exemplar de </w:t>
      </w:r>
      <w:proofErr w:type="spellStart"/>
      <w:r w:rsidR="008C666E" w:rsidRPr="00715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Alouatta</w:t>
      </w:r>
      <w:proofErr w:type="spellEnd"/>
      <w:r w:rsidR="008C666E" w:rsidRPr="00715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 xml:space="preserve"> spp.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macho juvenil de aproximadamente 5 meses, apresentava extensas lesões em face e região perianal, suspeita de agressão entre indivíduos do seu bando. Durante o exa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me físico, o primata </w:t>
      </w:r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apresentou massa corporal de 1,2kg e alterações como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hipotermia, apatia, desidratação (5%), pulso arterial fraco, mucosas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hipocoradas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além de edema de face e presença de secreção purulenta em subcutâneo. </w:t>
      </w:r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Para melhor elucidação do caso, foi solicitado hemograma e o laudo constou discreta anemia, </w:t>
      </w:r>
      <w:proofErr w:type="spellStart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anisocitose</w:t>
      </w:r>
      <w:proofErr w:type="spellEnd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proofErr w:type="spellStart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policromasia</w:t>
      </w:r>
      <w:proofErr w:type="spellEnd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além de plaquetas ativadas, linfócitos reativos e </w:t>
      </w:r>
      <w:proofErr w:type="spellStart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basofilia</w:t>
      </w:r>
      <w:proofErr w:type="spellEnd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citoplasmática. 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protocolo médico inc</w:t>
      </w:r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luiu controle de dor (</w:t>
      </w:r>
      <w:proofErr w:type="spellStart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Tramado</w:t>
      </w:r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</w:t>
      </w:r>
      <w:proofErr w:type="spellEnd"/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5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0mg IM e Dipirona IM, BID), tratamento suporte (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Meloxicam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2% IM,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Enrofloxacina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IM, Vitamin</w:t>
      </w:r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 B12 SC, ambos SID), colírio (Sulfato de </w:t>
      </w:r>
      <w:proofErr w:type="spellStart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obramicina</w:t>
      </w:r>
      <w:proofErr w:type="spellEnd"/>
      <w:r w:rsidR="00CA10C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0,3%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e manejo rigoroso das lesões. O curativo teve início pela lavagem com auxílio de gaze embebida em solução de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polihexanida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(PHMB), em seguida, aplicado pomada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debridante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Kollagenase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com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cloranfenicol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e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hidrogel</w:t>
      </w:r>
      <w:proofErr w:type="spellEnd"/>
      <w:r w:rsidR="00245428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amorfo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alginato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Cassex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Ally Gel) para então receber, a priori, a membrana de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alginato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cálcio, o processo foi realizado uma vez a cada 2 dias, durante a primeira semana de tratamento a fim de controlar a inflamação. Diante da evolução, a pomada debridante foi substituída pela cicatrizante (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Vetaglós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e o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alginato</w:t>
      </w:r>
      <w:proofErr w:type="spellEnd"/>
      <w:r w:rsidR="000A78E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cálcio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pela membrana </w:t>
      </w:r>
      <w:proofErr w:type="spellStart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hidrocolóide</w:t>
      </w:r>
      <w:proofErr w:type="spellEnd"/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o curativo era revertido com gaze e atadura, realizados a cada 4 dias durante 3 meses consecutivos, a fim de promover um ambiente adequado para fase de </w:t>
      </w:r>
      <w:r w:rsidR="00245428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reparação. C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onforme houve a mudança do protocolo, foi possível notar diferença significativa nas lesões, além do controle da infecção e inflamação local, ausência de necrose e secreção, notando-se a pele com saudável cicatrização, tanto em região </w:t>
      </w:r>
      <w:r w:rsidR="00245428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face quanto perianal. Conclui</w:t>
      </w:r>
      <w:r w:rsidR="008C666E"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-se que o tratamento suporte somado ao criterioso manejo de feridas, restabeleceu a saúde do paciente e integridade da pele, o mesmo foi redirecionado para os órgãos responsáveis após a alta médica. </w:t>
      </w:r>
    </w:p>
    <w:p w:rsidR="00715BD4" w:rsidRPr="00715BD4" w:rsidRDefault="00715BD4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715BD4" w:rsidRPr="00715BD4" w:rsidRDefault="008C666E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Palavras-chave:</w:t>
      </w:r>
      <w:r w:rsidRPr="00715BD4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Manejo de feridas, Clínica de primatas, Medicina de animais silvestres.</w:t>
      </w:r>
    </w:p>
    <w:p w:rsidR="00715BD4" w:rsidRPr="00715BD4" w:rsidRDefault="00715BD4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8C666E" w:rsidRPr="00715BD4" w:rsidRDefault="008C666E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REFERÊNCIAS</w:t>
      </w:r>
    </w:p>
    <w:p w:rsidR="00245428" w:rsidRPr="00715BD4" w:rsidRDefault="00245428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FULTON, Judith A. et al.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Wound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dressing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absorption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a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comparative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study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Advances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in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Skin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&amp;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Wound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Care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, v. 25, n. 7, p. 315-320, 2012.</w:t>
      </w:r>
    </w:p>
    <w:p w:rsidR="00715BD4" w:rsidRPr="00715BD4" w:rsidRDefault="00715BD4" w:rsidP="00715BD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STANLEY, B. J.; CORNELL, K.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Wound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Healing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In: JOHNSTON, S.P.; TOBIAS, K. M.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Veterinary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surgery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spell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small</w:t>
      </w:r>
      <w:proofErr w:type="spellEnd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proofErr w:type="gramStart"/>
      <w:r w:rsidRPr="00715BD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animal </w:t>
      </w:r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proofErr w:type="gram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 ed. Missouri: </w:t>
      </w:r>
      <w:proofErr w:type="spellStart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Elsevier</w:t>
      </w:r>
      <w:proofErr w:type="spellEnd"/>
      <w:r w:rsidRPr="00715BD4">
        <w:rPr>
          <w:rFonts w:ascii="Times New Roman" w:eastAsia="Times New Roman" w:hAnsi="Times New Roman" w:cs="Times New Roman"/>
          <w:sz w:val="24"/>
          <w:szCs w:val="24"/>
          <w:lang w:eastAsia="pt-BR"/>
        </w:rPr>
        <w:t>, p. 486-529.2017.</w:t>
      </w:r>
    </w:p>
    <w:p w:rsidR="0021115C" w:rsidRPr="00715BD4" w:rsidRDefault="00715BD4" w:rsidP="00715BD4">
      <w:pPr>
        <w:spacing w:before="20" w:after="20"/>
        <w:jc w:val="both"/>
        <w:rPr>
          <w:rFonts w:ascii="Times New Roman" w:hAnsi="Times New Roman" w:cs="Times New Roman"/>
          <w:sz w:val="24"/>
          <w:szCs w:val="24"/>
        </w:rPr>
      </w:pPr>
      <w:r w:rsidRPr="00715BD4">
        <w:rPr>
          <w:rFonts w:ascii="Times New Roman" w:hAnsi="Times New Roman" w:cs="Times New Roman"/>
          <w:sz w:val="24"/>
          <w:szCs w:val="24"/>
        </w:rPr>
        <w:t xml:space="preserve">MACPHAIL, C.; FOSSUM, T. W. </w:t>
      </w:r>
      <w:proofErr w:type="spellStart"/>
      <w:r w:rsidRPr="00715BD4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715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BD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15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B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5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BD4">
        <w:rPr>
          <w:rFonts w:ascii="Times New Roman" w:hAnsi="Times New Roman" w:cs="Times New Roman"/>
          <w:sz w:val="24"/>
          <w:szCs w:val="24"/>
        </w:rPr>
        <w:t>Integumentary</w:t>
      </w:r>
      <w:proofErr w:type="spellEnd"/>
      <w:r w:rsidRPr="00715BD4">
        <w:rPr>
          <w:rFonts w:ascii="Times New Roman" w:hAnsi="Times New Roman" w:cs="Times New Roman"/>
          <w:sz w:val="24"/>
          <w:szCs w:val="24"/>
        </w:rPr>
        <w:t xml:space="preserve"> System. In: FOSSUM, T. W. </w:t>
      </w:r>
      <w:proofErr w:type="spellStart"/>
      <w:r w:rsidRPr="00715BD4">
        <w:rPr>
          <w:rFonts w:ascii="Times New Roman" w:hAnsi="Times New Roman" w:cs="Times New Roman"/>
          <w:b/>
          <w:sz w:val="24"/>
          <w:szCs w:val="24"/>
        </w:rPr>
        <w:t>Small</w:t>
      </w:r>
      <w:proofErr w:type="spellEnd"/>
      <w:r w:rsidRPr="00715BD4">
        <w:rPr>
          <w:rFonts w:ascii="Times New Roman" w:hAnsi="Times New Roman" w:cs="Times New Roman"/>
          <w:b/>
          <w:sz w:val="24"/>
          <w:szCs w:val="24"/>
        </w:rPr>
        <w:t xml:space="preserve"> animal </w:t>
      </w:r>
      <w:proofErr w:type="spellStart"/>
      <w:r w:rsidRPr="00715BD4">
        <w:rPr>
          <w:rFonts w:ascii="Times New Roman" w:hAnsi="Times New Roman" w:cs="Times New Roman"/>
          <w:b/>
          <w:sz w:val="24"/>
          <w:szCs w:val="24"/>
        </w:rPr>
        <w:t>surgery</w:t>
      </w:r>
      <w:proofErr w:type="spellEnd"/>
      <w:r w:rsidRPr="00715BD4">
        <w:rPr>
          <w:rFonts w:ascii="Times New Roman" w:hAnsi="Times New Roman" w:cs="Times New Roman"/>
          <w:b/>
          <w:sz w:val="24"/>
          <w:szCs w:val="24"/>
        </w:rPr>
        <w:t>.</w:t>
      </w:r>
      <w:r w:rsidRPr="00715BD4">
        <w:rPr>
          <w:rFonts w:ascii="Times New Roman" w:hAnsi="Times New Roman" w:cs="Times New Roman"/>
          <w:sz w:val="24"/>
          <w:szCs w:val="24"/>
        </w:rPr>
        <w:t xml:space="preserve"> 5 ed. Filadélfia: </w:t>
      </w:r>
      <w:proofErr w:type="spellStart"/>
      <w:r w:rsidRPr="00715BD4">
        <w:rPr>
          <w:rFonts w:ascii="Times New Roman" w:hAnsi="Times New Roman" w:cs="Times New Roman"/>
          <w:sz w:val="24"/>
          <w:szCs w:val="24"/>
        </w:rPr>
        <w:t>Elsevier</w:t>
      </w:r>
      <w:proofErr w:type="spellEnd"/>
      <w:r w:rsidRPr="00715BD4">
        <w:rPr>
          <w:rFonts w:ascii="Times New Roman" w:hAnsi="Times New Roman" w:cs="Times New Roman"/>
          <w:sz w:val="24"/>
          <w:szCs w:val="24"/>
        </w:rPr>
        <w:t>, p. 179-265, 2018.</w:t>
      </w:r>
    </w:p>
    <w:sectPr w:rsidR="0021115C" w:rsidRPr="00715BD4" w:rsidSect="00715BD4">
      <w:headerReference w:type="default" r:id="rId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1DB" w:rsidRDefault="008441DB" w:rsidP="008C666E">
      <w:pPr>
        <w:spacing w:after="0" w:line="240" w:lineRule="auto"/>
      </w:pPr>
      <w:r>
        <w:separator/>
      </w:r>
    </w:p>
  </w:endnote>
  <w:endnote w:type="continuationSeparator" w:id="0">
    <w:p w:rsidR="008441DB" w:rsidRDefault="008441DB" w:rsidP="008C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1DB" w:rsidRDefault="008441DB" w:rsidP="008C666E">
      <w:pPr>
        <w:spacing w:after="0" w:line="240" w:lineRule="auto"/>
      </w:pPr>
      <w:r>
        <w:separator/>
      </w:r>
    </w:p>
  </w:footnote>
  <w:footnote w:type="continuationSeparator" w:id="0">
    <w:p w:rsidR="008441DB" w:rsidRDefault="008441DB" w:rsidP="008C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66E" w:rsidRPr="008C666E" w:rsidRDefault="008C666E" w:rsidP="008C666E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t-BR"/>
      </w:rPr>
    </w:pPr>
    <w:r>
      <w:rPr>
        <w:noProof/>
        <w:lang w:eastAsia="pt-BR"/>
      </w:rPr>
      <w:drawing>
        <wp:inline distT="114300" distB="114300" distL="114300" distR="114300" wp14:anchorId="71424467" wp14:editId="16470F2B">
          <wp:extent cx="4869712" cy="1807535"/>
          <wp:effectExtent l="0" t="0" r="7620" b="2540"/>
          <wp:docPr id="827443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2422" cy="1812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C666E" w:rsidRDefault="008C666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DD0"/>
    <w:rsid w:val="000A78E5"/>
    <w:rsid w:val="000C39E9"/>
    <w:rsid w:val="00102BCB"/>
    <w:rsid w:val="001D3EE9"/>
    <w:rsid w:val="001F3C6B"/>
    <w:rsid w:val="00245428"/>
    <w:rsid w:val="003C1006"/>
    <w:rsid w:val="004748BD"/>
    <w:rsid w:val="005746B4"/>
    <w:rsid w:val="00585DD0"/>
    <w:rsid w:val="00612BE7"/>
    <w:rsid w:val="00715BD4"/>
    <w:rsid w:val="008441DB"/>
    <w:rsid w:val="008A22DF"/>
    <w:rsid w:val="008C666E"/>
    <w:rsid w:val="00B57700"/>
    <w:rsid w:val="00B9665C"/>
    <w:rsid w:val="00CA10CE"/>
    <w:rsid w:val="00DB010D"/>
    <w:rsid w:val="00EB6830"/>
    <w:rsid w:val="00EB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5A947-B182-41DC-8F10-5A8CB3C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C6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666E"/>
  </w:style>
  <w:style w:type="paragraph" w:styleId="Rodap">
    <w:name w:val="footer"/>
    <w:basedOn w:val="Normal"/>
    <w:link w:val="RodapChar"/>
    <w:uiPriority w:val="99"/>
    <w:unhideWhenUsed/>
    <w:rsid w:val="008C6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6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5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587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2025-07-11T02:24:00Z</dcterms:created>
  <dcterms:modified xsi:type="dcterms:W3CDTF">2025-07-11T13:34:00Z</dcterms:modified>
</cp:coreProperties>
</file>