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847F" w14:textId="0837FFE9" w:rsidR="003949CE" w:rsidRDefault="34566920" w:rsidP="34566920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jc w:val="center"/>
        <w:rPr>
          <w:b/>
          <w:bCs/>
          <w:sz w:val="24"/>
          <w:szCs w:val="24"/>
        </w:rPr>
      </w:pPr>
      <w:r w:rsidRPr="34566920">
        <w:rPr>
          <w:b/>
          <w:bCs/>
          <w:sz w:val="24"/>
          <w:szCs w:val="24"/>
        </w:rPr>
        <w:t>DIVERSIDADE DE FERRUGENS (PUCCINIALES) EM COMUNIDADES TRADICIONAIS NA ILHA DE MOSQUEIRO, PARÁ, BRASIL</w:t>
      </w:r>
    </w:p>
    <w:p w14:paraId="1919CD35" w14:textId="5B105A1D" w:rsidR="75F6002F" w:rsidRDefault="75F6002F" w:rsidP="1B31EA28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jc w:val="center"/>
        <w:rPr>
          <w:b/>
          <w:bCs/>
          <w:sz w:val="24"/>
          <w:szCs w:val="24"/>
        </w:rPr>
      </w:pPr>
    </w:p>
    <w:p w14:paraId="2F212F3E" w14:textId="53ED9309" w:rsidR="003949CE" w:rsidRDefault="1B31EA28" w:rsidP="75F6002F">
      <w:pPr>
        <w:shd w:val="clear" w:color="auto" w:fill="FFFFFF" w:themeFill="background1"/>
        <w:tabs>
          <w:tab w:val="left" w:pos="2500"/>
        </w:tabs>
        <w:ind w:firstLine="720"/>
        <w:jc w:val="center"/>
        <w:rPr>
          <w:sz w:val="24"/>
          <w:szCs w:val="24"/>
          <w:vertAlign w:val="superscript"/>
        </w:rPr>
      </w:pPr>
      <w:proofErr w:type="spellStart"/>
      <w:r w:rsidRPr="1B31EA28">
        <w:rPr>
          <w:sz w:val="24"/>
          <w:szCs w:val="24"/>
        </w:rPr>
        <w:t>Jhennifer</w:t>
      </w:r>
      <w:proofErr w:type="spellEnd"/>
      <w:r w:rsidRPr="1B31EA28">
        <w:rPr>
          <w:sz w:val="24"/>
          <w:szCs w:val="24"/>
        </w:rPr>
        <w:t xml:space="preserve"> </w:t>
      </w:r>
      <w:proofErr w:type="spellStart"/>
      <w:r w:rsidRPr="1B31EA28">
        <w:rPr>
          <w:sz w:val="24"/>
          <w:szCs w:val="24"/>
        </w:rPr>
        <w:t>Rafaely</w:t>
      </w:r>
      <w:proofErr w:type="spellEnd"/>
      <w:r w:rsidRPr="1B31EA28">
        <w:rPr>
          <w:sz w:val="24"/>
          <w:szCs w:val="24"/>
        </w:rPr>
        <w:t xml:space="preserve"> da Silva Ribeiro</w:t>
      </w:r>
      <w:r w:rsidRPr="1B31EA28">
        <w:rPr>
          <w:sz w:val="24"/>
          <w:szCs w:val="24"/>
          <w:vertAlign w:val="superscript"/>
        </w:rPr>
        <w:t>1</w:t>
      </w:r>
      <w:r w:rsidRPr="1B31EA28">
        <w:rPr>
          <w:sz w:val="24"/>
          <w:szCs w:val="24"/>
        </w:rPr>
        <w:t xml:space="preserve">; </w:t>
      </w:r>
      <w:r w:rsidR="003949CE">
        <w:tab/>
      </w:r>
      <w:proofErr w:type="spellStart"/>
      <w:r w:rsidRPr="1B31EA28">
        <w:rPr>
          <w:sz w:val="24"/>
          <w:szCs w:val="24"/>
        </w:rPr>
        <w:t>Josyane</w:t>
      </w:r>
      <w:proofErr w:type="spellEnd"/>
      <w:r w:rsidRPr="1B31EA28">
        <w:rPr>
          <w:sz w:val="24"/>
          <w:szCs w:val="24"/>
        </w:rPr>
        <w:t xml:space="preserve"> Furtado de Jesus</w:t>
      </w:r>
      <w:r w:rsidRPr="1B31EA28">
        <w:rPr>
          <w:sz w:val="24"/>
          <w:szCs w:val="24"/>
          <w:vertAlign w:val="superscript"/>
        </w:rPr>
        <w:t>2</w:t>
      </w:r>
      <w:r w:rsidRPr="1B31EA28">
        <w:rPr>
          <w:sz w:val="24"/>
          <w:szCs w:val="24"/>
        </w:rPr>
        <w:t>; Joyce de Souza Pinto</w:t>
      </w:r>
      <w:r w:rsidRPr="1B31EA28">
        <w:rPr>
          <w:sz w:val="24"/>
          <w:szCs w:val="24"/>
          <w:vertAlign w:val="superscript"/>
        </w:rPr>
        <w:t>3</w:t>
      </w:r>
      <w:r w:rsidRPr="1B31EA28">
        <w:rPr>
          <w:sz w:val="24"/>
          <w:szCs w:val="24"/>
        </w:rPr>
        <w:t>;</w:t>
      </w:r>
      <w:r w:rsidRPr="1B31EA28">
        <w:rPr>
          <w:sz w:val="24"/>
          <w:szCs w:val="24"/>
          <w:u w:val="single"/>
        </w:rPr>
        <w:t xml:space="preserve"> Alcindo da Silva Martins Junior</w:t>
      </w:r>
      <w:r w:rsidRPr="1B31EA28">
        <w:rPr>
          <w:sz w:val="24"/>
          <w:szCs w:val="24"/>
          <w:vertAlign w:val="superscript"/>
        </w:rPr>
        <w:t>4</w:t>
      </w:r>
    </w:p>
    <w:p w14:paraId="488A52A5" w14:textId="77777777" w:rsidR="003949CE" w:rsidRDefault="003949CE" w:rsidP="75F6002F">
      <w:pPr>
        <w:shd w:val="clear" w:color="auto" w:fill="FFFFFF" w:themeFill="background1"/>
        <w:tabs>
          <w:tab w:val="left" w:pos="2500"/>
        </w:tabs>
        <w:jc w:val="center"/>
        <w:rPr>
          <w:b/>
          <w:bCs/>
          <w:color w:val="FF0000"/>
          <w:sz w:val="24"/>
          <w:szCs w:val="24"/>
        </w:rPr>
      </w:pPr>
    </w:p>
    <w:p w14:paraId="7D915DB4" w14:textId="4902FF37" w:rsidR="003949CE" w:rsidRDefault="75F6002F" w:rsidP="75F6002F">
      <w:pPr>
        <w:keepLines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</w:rPr>
      </w:pPr>
      <w:r w:rsidRPr="75F6002F">
        <w:rPr>
          <w:sz w:val="24"/>
          <w:szCs w:val="24"/>
          <w:vertAlign w:val="superscript"/>
        </w:rPr>
        <w:t xml:space="preserve">1 </w:t>
      </w:r>
      <w:r w:rsidRPr="75F6002F">
        <w:rPr>
          <w:sz w:val="24"/>
          <w:szCs w:val="24"/>
        </w:rPr>
        <w:t xml:space="preserve">Graduanda em Ciências Biológicas. Universidade do Estado do Pará. </w:t>
      </w:r>
      <w:proofErr w:type="spellStart"/>
      <w:r w:rsidRPr="75F6002F">
        <w:rPr>
          <w:sz w:val="24"/>
          <w:szCs w:val="24"/>
        </w:rPr>
        <w:t>Email</w:t>
      </w:r>
      <w:proofErr w:type="spellEnd"/>
      <w:r w:rsidRPr="75F6002F">
        <w:rPr>
          <w:sz w:val="24"/>
          <w:szCs w:val="24"/>
        </w:rPr>
        <w:t xml:space="preserve">: </w:t>
      </w:r>
      <w:hyperlink r:id="rId8">
        <w:r w:rsidRPr="75F6002F">
          <w:rPr>
            <w:rStyle w:val="Hyperlink"/>
            <w:sz w:val="24"/>
            <w:szCs w:val="24"/>
          </w:rPr>
          <w:t>Jhenniferrafaely686@gmail.com</w:t>
        </w:r>
      </w:hyperlink>
      <w:r w:rsidRPr="75F6002F">
        <w:rPr>
          <w:sz w:val="24"/>
          <w:szCs w:val="24"/>
        </w:rPr>
        <w:t>.</w:t>
      </w:r>
    </w:p>
    <w:p w14:paraId="080CA170" w14:textId="433ACAA0" w:rsidR="75F6002F" w:rsidRDefault="75F6002F" w:rsidP="75F6002F">
      <w:pPr>
        <w:keepLines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</w:rPr>
      </w:pPr>
      <w:r w:rsidRPr="75F6002F">
        <w:rPr>
          <w:sz w:val="24"/>
          <w:szCs w:val="24"/>
          <w:vertAlign w:val="superscript"/>
        </w:rPr>
        <w:t>2</w:t>
      </w:r>
      <w:r w:rsidRPr="75F6002F">
        <w:rPr>
          <w:sz w:val="24"/>
          <w:szCs w:val="24"/>
        </w:rPr>
        <w:t xml:space="preserve"> Graduanda em Ciências Biológicas. Universidade do Estado do Pará.</w:t>
      </w:r>
    </w:p>
    <w:p w14:paraId="31256D17" w14:textId="084949D8" w:rsidR="003949CE" w:rsidRDefault="34566920" w:rsidP="3459F7DF">
      <w:pPr>
        <w:keepLines/>
        <w:shd w:val="clear" w:color="auto" w:fill="FFFFFF" w:themeFill="background1"/>
        <w:tabs>
          <w:tab w:val="left" w:pos="2500"/>
        </w:tabs>
        <w:jc w:val="center"/>
        <w:rPr>
          <w:b/>
          <w:bCs/>
          <w:sz w:val="24"/>
          <w:szCs w:val="24"/>
        </w:rPr>
      </w:pPr>
      <w:r w:rsidRPr="34566920">
        <w:rPr>
          <w:sz w:val="24"/>
          <w:szCs w:val="24"/>
          <w:vertAlign w:val="superscript"/>
        </w:rPr>
        <w:t xml:space="preserve">3 </w:t>
      </w:r>
      <w:r w:rsidRPr="34566920">
        <w:rPr>
          <w:sz w:val="24"/>
          <w:szCs w:val="24"/>
        </w:rPr>
        <w:t xml:space="preserve">Mestranda em Ciências Ambientais. Universidade do Estado do Pará. </w:t>
      </w:r>
    </w:p>
    <w:p w14:paraId="581DCB02" w14:textId="4BD88726" w:rsidR="34566920" w:rsidRDefault="34566920" w:rsidP="34566920">
      <w:pPr>
        <w:keepLines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</w:rPr>
      </w:pPr>
      <w:r w:rsidRPr="34566920">
        <w:rPr>
          <w:sz w:val="24"/>
          <w:szCs w:val="24"/>
          <w:vertAlign w:val="superscript"/>
          <w:lang w:val="pt-PT"/>
        </w:rPr>
        <w:t>4</w:t>
      </w:r>
      <w:r w:rsidRPr="34566920">
        <w:rPr>
          <w:sz w:val="24"/>
          <w:szCs w:val="24"/>
          <w:lang w:val="pt-PT"/>
        </w:rPr>
        <w:t>Doutor em Botânica Tropical. Universidade do Estado do Pará.</w:t>
      </w:r>
    </w:p>
    <w:p w14:paraId="6A28AEDC" w14:textId="1341CFB4" w:rsidR="34566920" w:rsidRDefault="34566920" w:rsidP="34566920">
      <w:pPr>
        <w:keepLines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</w:rPr>
      </w:pPr>
    </w:p>
    <w:p w14:paraId="6562E980" w14:textId="77777777" w:rsidR="003949CE" w:rsidRDefault="003949CE" w:rsidP="75F6002F">
      <w:pPr>
        <w:keepLines/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2D691ABB" w14:textId="01597987" w:rsidR="75F6002F" w:rsidRDefault="3459F7DF" w:rsidP="3459F7DF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jc w:val="center"/>
        <w:rPr>
          <w:b/>
          <w:bCs/>
          <w:sz w:val="24"/>
          <w:szCs w:val="24"/>
          <w:u w:val="single"/>
        </w:rPr>
      </w:pPr>
      <w:r w:rsidRPr="3459F7DF">
        <w:rPr>
          <w:b/>
          <w:bCs/>
          <w:sz w:val="24"/>
          <w:szCs w:val="24"/>
          <w:u w:val="single"/>
        </w:rPr>
        <w:t>RESUMO</w:t>
      </w:r>
    </w:p>
    <w:p w14:paraId="68410461" w14:textId="1909245C" w:rsidR="003949CE" w:rsidRDefault="07334DB1" w:rsidP="34566920">
      <w:pPr>
        <w:shd w:val="clear" w:color="auto" w:fill="FFFFFF" w:themeFill="background1"/>
        <w:tabs>
          <w:tab w:val="left" w:pos="2500"/>
        </w:tabs>
        <w:jc w:val="both"/>
        <w:rPr>
          <w:color w:val="FF0000"/>
          <w:sz w:val="24"/>
          <w:szCs w:val="24"/>
        </w:rPr>
      </w:pPr>
      <w:r w:rsidRPr="07334DB1">
        <w:rPr>
          <w:sz w:val="24"/>
          <w:szCs w:val="24"/>
        </w:rPr>
        <w:t>As ferrugens (</w:t>
      </w:r>
      <w:proofErr w:type="spellStart"/>
      <w:r w:rsidRPr="07334DB1">
        <w:rPr>
          <w:sz w:val="24"/>
          <w:szCs w:val="24"/>
        </w:rPr>
        <w:t>Pucciniales</w:t>
      </w:r>
      <w:proofErr w:type="spellEnd"/>
      <w:r w:rsidRPr="07334DB1">
        <w:rPr>
          <w:sz w:val="24"/>
          <w:szCs w:val="24"/>
        </w:rPr>
        <w:t xml:space="preserve">) são fungos </w:t>
      </w:r>
      <w:proofErr w:type="spellStart"/>
      <w:r w:rsidRPr="07334DB1">
        <w:rPr>
          <w:sz w:val="24"/>
          <w:szCs w:val="24"/>
        </w:rPr>
        <w:t>fitoparasitas</w:t>
      </w:r>
      <w:proofErr w:type="spellEnd"/>
      <w:r w:rsidRPr="07334DB1">
        <w:rPr>
          <w:sz w:val="24"/>
          <w:szCs w:val="24"/>
        </w:rPr>
        <w:t xml:space="preserve"> amplamente distribuídos e altamente específicos em relação aos seus hospedeiros vegetais, porém ainda pouco estudados na Amazônia. Este estudo teve como objetivo investigar a diversidade de </w:t>
      </w:r>
      <w:proofErr w:type="spellStart"/>
      <w:r w:rsidRPr="07334DB1">
        <w:rPr>
          <w:sz w:val="24"/>
          <w:szCs w:val="24"/>
        </w:rPr>
        <w:t>Pucciniales</w:t>
      </w:r>
      <w:proofErr w:type="spellEnd"/>
      <w:r w:rsidRPr="07334DB1">
        <w:rPr>
          <w:sz w:val="24"/>
          <w:szCs w:val="24"/>
        </w:rPr>
        <w:t xml:space="preserve"> nas comunidades de Caruaru e Mari-Mari, na Ilha de Mosqueiro (Pará), entre 2019 e 2025, contribuindo para o conhecimento taxonômico e ecológico regional deste grupo de fungos. As coletas foram realizadas de forma não contínua, com base na observação de sintomas típicos de infecção, e a identificação foi conduzida por análises microscópicas e comparação com literatura especializada. Foram registradas 14 espécies distribuídas em sete gêneros e cinco famílias, com destaque para </w:t>
      </w:r>
      <w:proofErr w:type="spellStart"/>
      <w:r w:rsidRPr="07334DB1">
        <w:rPr>
          <w:sz w:val="24"/>
          <w:szCs w:val="24"/>
        </w:rPr>
        <w:t>Pucciniaceae</w:t>
      </w:r>
      <w:proofErr w:type="spellEnd"/>
      <w:r w:rsidRPr="07334DB1">
        <w:rPr>
          <w:sz w:val="24"/>
          <w:szCs w:val="24"/>
        </w:rPr>
        <w:t xml:space="preserve">, que reuniu seis táxons. Entre os hospedeiros, </w:t>
      </w:r>
      <w:proofErr w:type="spellStart"/>
      <w:r w:rsidRPr="07334DB1">
        <w:rPr>
          <w:sz w:val="24"/>
          <w:szCs w:val="24"/>
        </w:rPr>
        <w:t>Cyperaceae</w:t>
      </w:r>
      <w:proofErr w:type="spellEnd"/>
      <w:r w:rsidRPr="07334DB1">
        <w:rPr>
          <w:sz w:val="24"/>
          <w:szCs w:val="24"/>
        </w:rPr>
        <w:t xml:space="preserve"> foi a família mais representada, com três espécies infectadas. O estudo registrou ainda uma nova ocorrência para a região amazônica: </w:t>
      </w:r>
      <w:proofErr w:type="spellStart"/>
      <w:r w:rsidRPr="07334DB1">
        <w:rPr>
          <w:i/>
          <w:iCs/>
          <w:sz w:val="24"/>
          <w:szCs w:val="24"/>
        </w:rPr>
        <w:t>Prospodium</w:t>
      </w:r>
      <w:proofErr w:type="spellEnd"/>
      <w:r w:rsidRPr="07334DB1">
        <w:rPr>
          <w:i/>
          <w:iCs/>
          <w:sz w:val="24"/>
          <w:szCs w:val="24"/>
        </w:rPr>
        <w:t xml:space="preserve"> </w:t>
      </w:r>
      <w:proofErr w:type="spellStart"/>
      <w:r w:rsidRPr="07334DB1">
        <w:rPr>
          <w:i/>
          <w:iCs/>
          <w:sz w:val="24"/>
          <w:szCs w:val="24"/>
        </w:rPr>
        <w:t>palmatum</w:t>
      </w:r>
      <w:proofErr w:type="spellEnd"/>
      <w:r w:rsidRPr="07334DB1">
        <w:rPr>
          <w:sz w:val="24"/>
          <w:szCs w:val="24"/>
        </w:rPr>
        <w:t xml:space="preserve"> H.S. </w:t>
      </w:r>
      <w:proofErr w:type="spellStart"/>
      <w:r w:rsidRPr="07334DB1">
        <w:rPr>
          <w:sz w:val="24"/>
          <w:szCs w:val="24"/>
        </w:rPr>
        <w:t>Jacks</w:t>
      </w:r>
      <w:proofErr w:type="spellEnd"/>
      <w:r w:rsidRPr="07334DB1">
        <w:rPr>
          <w:sz w:val="24"/>
          <w:szCs w:val="24"/>
        </w:rPr>
        <w:t xml:space="preserve">. &amp; </w:t>
      </w:r>
      <w:proofErr w:type="spellStart"/>
      <w:r w:rsidRPr="07334DB1">
        <w:rPr>
          <w:sz w:val="24"/>
          <w:szCs w:val="24"/>
        </w:rPr>
        <w:t>Holw</w:t>
      </w:r>
      <w:proofErr w:type="spellEnd"/>
      <w:r w:rsidRPr="07334DB1">
        <w:rPr>
          <w:sz w:val="24"/>
          <w:szCs w:val="24"/>
        </w:rPr>
        <w:t xml:space="preserve">. Assim, este trabalho amplia o registro da diversidade fúngica em comunidades rurais amazônicas, representando uma contribuição relevante para o conhecimento micológico da região. </w:t>
      </w:r>
    </w:p>
    <w:p w14:paraId="54C5A152" w14:textId="273A57B3" w:rsidR="34566920" w:rsidRDefault="34566920" w:rsidP="0D7D30F6">
      <w:pPr>
        <w:shd w:val="clear" w:color="auto" w:fill="FFFFFF" w:themeFill="background1"/>
        <w:tabs>
          <w:tab w:val="left" w:pos="2500"/>
        </w:tabs>
        <w:jc w:val="both"/>
        <w:rPr>
          <w:sz w:val="24"/>
          <w:szCs w:val="24"/>
        </w:rPr>
      </w:pPr>
    </w:p>
    <w:p w14:paraId="386D5E05" w14:textId="04740EB3" w:rsidR="34566920" w:rsidRDefault="34566920" w:rsidP="00734051">
      <w:pPr>
        <w:shd w:val="clear" w:color="auto" w:fill="FFFFFF" w:themeFill="background1"/>
        <w:tabs>
          <w:tab w:val="left" w:pos="2500"/>
        </w:tabs>
        <w:spacing w:after="240"/>
        <w:jc w:val="both"/>
        <w:rPr>
          <w:color w:val="FF0000"/>
          <w:sz w:val="24"/>
          <w:szCs w:val="24"/>
        </w:rPr>
      </w:pPr>
      <w:r w:rsidRPr="34566920">
        <w:rPr>
          <w:b/>
          <w:bCs/>
          <w:sz w:val="24"/>
          <w:szCs w:val="24"/>
        </w:rPr>
        <w:t>Palavras-chave:</w:t>
      </w:r>
      <w:r w:rsidRPr="34566920">
        <w:rPr>
          <w:sz w:val="24"/>
          <w:szCs w:val="24"/>
        </w:rPr>
        <w:t xml:space="preserve"> Diversidade fúngica. Hospedeiro. Amazônia</w:t>
      </w:r>
      <w:r w:rsidRPr="34566920">
        <w:rPr>
          <w:b/>
          <w:bCs/>
          <w:sz w:val="24"/>
          <w:szCs w:val="24"/>
        </w:rPr>
        <w:t>.</w:t>
      </w:r>
      <w:r w:rsidRPr="34566920">
        <w:rPr>
          <w:color w:val="FF0000"/>
          <w:sz w:val="24"/>
          <w:szCs w:val="24"/>
        </w:rPr>
        <w:t xml:space="preserve"> </w:t>
      </w:r>
    </w:p>
    <w:p w14:paraId="78EEB22D" w14:textId="39F23E7C" w:rsidR="07334DB1" w:rsidRPr="00E964C2" w:rsidRDefault="07334DB1" w:rsidP="00E964C2">
      <w:pPr>
        <w:shd w:val="clear" w:color="auto" w:fill="FFFFFF" w:themeFill="background1"/>
        <w:tabs>
          <w:tab w:val="left" w:pos="2500"/>
        </w:tabs>
        <w:spacing w:after="240"/>
      </w:pPr>
      <w:r w:rsidRPr="07334DB1">
        <w:rPr>
          <w:b/>
          <w:bCs/>
          <w:sz w:val="24"/>
          <w:szCs w:val="24"/>
        </w:rPr>
        <w:t>Área de Interesse do Simpósio</w:t>
      </w:r>
      <w:r w:rsidRPr="07334DB1">
        <w:rPr>
          <w:sz w:val="24"/>
          <w:szCs w:val="24"/>
        </w:rPr>
        <w:t xml:space="preserve">: Ciências Biológicas. </w:t>
      </w:r>
    </w:p>
    <w:p w14:paraId="6B35A14B" w14:textId="53092B8F" w:rsidR="003949CE" w:rsidRDefault="34D30320" w:rsidP="34D30320">
      <w:pPr>
        <w:pBdr>
          <w:bottom w:val="none" w:sz="0" w:space="18" w:color="000000"/>
        </w:pBdr>
        <w:shd w:val="clear" w:color="auto" w:fill="FFFFFF" w:themeFill="background1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 w:rsidRPr="34D30320">
        <w:rPr>
          <w:b/>
          <w:bCs/>
          <w:sz w:val="24"/>
          <w:szCs w:val="24"/>
        </w:rPr>
        <w:t>1. INTRODUÇÃO</w:t>
      </w:r>
    </w:p>
    <w:p w14:paraId="6AE837B3" w14:textId="1D8B3F00" w:rsidR="000B3B46" w:rsidRDefault="1D4AD13A" w:rsidP="1D4AD13A">
      <w:pPr>
        <w:pBdr>
          <w:bottom w:val="none" w:sz="0" w:space="31" w:color="000000"/>
        </w:pBdr>
        <w:shd w:val="clear" w:color="auto" w:fill="FFFFFF" w:themeFill="background1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1D4AD13A">
        <w:rPr>
          <w:sz w:val="24"/>
          <w:szCs w:val="24"/>
        </w:rPr>
        <w:t xml:space="preserve">Dentre os fungos fitopatogênicos, os pertencentes à ordem </w:t>
      </w:r>
      <w:proofErr w:type="spellStart"/>
      <w:r w:rsidRPr="1D4AD13A">
        <w:rPr>
          <w:sz w:val="24"/>
          <w:szCs w:val="24"/>
        </w:rPr>
        <w:t>Pucciniales</w:t>
      </w:r>
      <w:proofErr w:type="spellEnd"/>
      <w:r w:rsidRPr="1D4AD13A">
        <w:rPr>
          <w:sz w:val="24"/>
          <w:szCs w:val="24"/>
        </w:rPr>
        <w:t xml:space="preserve">, popularmente conhecidos como ferrugens, destacam-se por sua complexidade biológica e ampla distribuição geográfica (Zhao </w:t>
      </w:r>
      <w:r w:rsidRPr="1D4AD13A">
        <w:rPr>
          <w:i/>
          <w:iCs/>
          <w:sz w:val="24"/>
          <w:szCs w:val="24"/>
        </w:rPr>
        <w:t>et al</w:t>
      </w:r>
      <w:r w:rsidRPr="1D4AD13A">
        <w:rPr>
          <w:sz w:val="24"/>
          <w:szCs w:val="24"/>
        </w:rPr>
        <w:t>., 2021). As ferrugens representam um dos grupos mais variados dentro do Reino Fungi, com aproximadamente 8.400 espécies identificadas globalmente (</w:t>
      </w:r>
      <w:proofErr w:type="spellStart"/>
      <w:r w:rsidRPr="1D4AD13A">
        <w:rPr>
          <w:sz w:val="24"/>
          <w:szCs w:val="24"/>
        </w:rPr>
        <w:t>Qianzhen</w:t>
      </w:r>
      <w:proofErr w:type="spellEnd"/>
      <w:r w:rsidRPr="1D4AD13A">
        <w:rPr>
          <w:sz w:val="24"/>
          <w:szCs w:val="24"/>
        </w:rPr>
        <w:t xml:space="preserve"> Wu </w:t>
      </w:r>
      <w:r w:rsidRPr="1D4AD13A">
        <w:rPr>
          <w:i/>
          <w:iCs/>
          <w:sz w:val="24"/>
          <w:szCs w:val="24"/>
        </w:rPr>
        <w:t>et al</w:t>
      </w:r>
      <w:r w:rsidRPr="1D4AD13A">
        <w:rPr>
          <w:sz w:val="24"/>
          <w:szCs w:val="24"/>
        </w:rPr>
        <w:t>., 2023). Esses organismos são obrigatoriamente biotróficos</w:t>
      </w:r>
      <w:bookmarkStart w:id="0" w:name="_GoBack"/>
      <w:bookmarkEnd w:id="0"/>
      <w:r w:rsidRPr="1D4AD13A">
        <w:rPr>
          <w:sz w:val="24"/>
          <w:szCs w:val="24"/>
        </w:rPr>
        <w:t xml:space="preserve">, ou seja, dependem de </w:t>
      </w:r>
      <w:r w:rsidRPr="1D4AD13A">
        <w:rPr>
          <w:sz w:val="24"/>
          <w:szCs w:val="24"/>
        </w:rPr>
        <w:lastRenderedPageBreak/>
        <w:t>tecidos vivos de plantas hospedeiras para sua sobrevivência e reprodução (</w:t>
      </w:r>
      <w:proofErr w:type="spellStart"/>
      <w:r w:rsidRPr="1D4AD13A">
        <w:rPr>
          <w:sz w:val="24"/>
          <w:szCs w:val="24"/>
        </w:rPr>
        <w:t>Gautam</w:t>
      </w:r>
      <w:proofErr w:type="spellEnd"/>
      <w:r w:rsidRPr="1D4AD13A">
        <w:rPr>
          <w:sz w:val="24"/>
          <w:szCs w:val="24"/>
        </w:rPr>
        <w:t xml:space="preserve"> </w:t>
      </w:r>
      <w:r w:rsidRPr="1D4AD13A">
        <w:rPr>
          <w:i/>
          <w:iCs/>
          <w:sz w:val="24"/>
          <w:szCs w:val="24"/>
        </w:rPr>
        <w:t>et al</w:t>
      </w:r>
      <w:r w:rsidRPr="1D4AD13A">
        <w:rPr>
          <w:sz w:val="24"/>
          <w:szCs w:val="24"/>
        </w:rPr>
        <w:t xml:space="preserve">., 2020).   </w:t>
      </w:r>
    </w:p>
    <w:p w14:paraId="11DE5F1F" w14:textId="3D610F99" w:rsidR="000B3B46" w:rsidRDefault="236502DE" w:rsidP="236502DE">
      <w:pPr>
        <w:pBdr>
          <w:bottom w:val="none" w:sz="0" w:space="31" w:color="000000"/>
        </w:pBdr>
        <w:shd w:val="clear" w:color="auto" w:fill="FFFFFF" w:themeFill="background1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236502DE">
        <w:rPr>
          <w:sz w:val="24"/>
          <w:szCs w:val="24"/>
        </w:rPr>
        <w:t xml:space="preserve">As </w:t>
      </w:r>
      <w:proofErr w:type="spellStart"/>
      <w:r w:rsidRPr="236502DE">
        <w:rPr>
          <w:sz w:val="24"/>
          <w:szCs w:val="24"/>
        </w:rPr>
        <w:t>Pucciniales</w:t>
      </w:r>
      <w:proofErr w:type="spellEnd"/>
      <w:r w:rsidRPr="236502DE">
        <w:rPr>
          <w:sz w:val="24"/>
          <w:szCs w:val="24"/>
        </w:rPr>
        <w:t xml:space="preserve">, podem apresentar até cinco tipos de soros e esporos morfologicamente e funcionalmente distintos ao longo do seu ciclo de vida, entre eles os </w:t>
      </w:r>
      <w:proofErr w:type="spellStart"/>
      <w:r w:rsidRPr="236502DE">
        <w:rPr>
          <w:sz w:val="24"/>
          <w:szCs w:val="24"/>
        </w:rPr>
        <w:t>urediniósporos</w:t>
      </w:r>
      <w:proofErr w:type="spellEnd"/>
      <w:r w:rsidRPr="236502DE">
        <w:rPr>
          <w:sz w:val="24"/>
          <w:szCs w:val="24"/>
        </w:rPr>
        <w:t xml:space="preserve"> e </w:t>
      </w:r>
      <w:proofErr w:type="spellStart"/>
      <w:r w:rsidRPr="236502DE">
        <w:rPr>
          <w:sz w:val="24"/>
          <w:szCs w:val="24"/>
        </w:rPr>
        <w:t>teliósporos</w:t>
      </w:r>
      <w:proofErr w:type="spellEnd"/>
      <w:r w:rsidRPr="236502DE">
        <w:rPr>
          <w:sz w:val="24"/>
          <w:szCs w:val="24"/>
        </w:rPr>
        <w:t xml:space="preserve"> responsáveis pelo característico das folhas infectadas (Salazar-Yepes; Carvalho Júnior, 2016). Além disso, essas espécies podem ser </w:t>
      </w:r>
      <w:proofErr w:type="spellStart"/>
      <w:r w:rsidRPr="236502DE">
        <w:rPr>
          <w:sz w:val="24"/>
          <w:szCs w:val="24"/>
        </w:rPr>
        <w:t>autoécias</w:t>
      </w:r>
      <w:proofErr w:type="spellEnd"/>
      <w:r w:rsidRPr="236502DE">
        <w:rPr>
          <w:sz w:val="24"/>
          <w:szCs w:val="24"/>
        </w:rPr>
        <w:t xml:space="preserve">, quando completam seu ciclo de vida em uma única planta, ou </w:t>
      </w:r>
      <w:proofErr w:type="spellStart"/>
      <w:r w:rsidRPr="236502DE">
        <w:rPr>
          <w:sz w:val="24"/>
          <w:szCs w:val="24"/>
        </w:rPr>
        <w:t>heteroécias</w:t>
      </w:r>
      <w:proofErr w:type="spellEnd"/>
      <w:r w:rsidRPr="236502DE">
        <w:rPr>
          <w:sz w:val="24"/>
          <w:szCs w:val="24"/>
        </w:rPr>
        <w:t xml:space="preserve">, quando dependem de duas plantas de espécies distintas, característica que amplia sua complexidade ecológica e evolutiva (Zhang </w:t>
      </w:r>
      <w:r w:rsidRPr="236502DE">
        <w:rPr>
          <w:i/>
          <w:iCs/>
          <w:sz w:val="24"/>
          <w:szCs w:val="24"/>
        </w:rPr>
        <w:t>et al</w:t>
      </w:r>
      <w:r w:rsidRPr="236502DE">
        <w:rPr>
          <w:sz w:val="24"/>
          <w:szCs w:val="24"/>
        </w:rPr>
        <w:t xml:space="preserve">., 2025). </w:t>
      </w:r>
    </w:p>
    <w:p w14:paraId="00C3BC56" w14:textId="61C4242D" w:rsidR="006A404B" w:rsidRDefault="1D4AD13A" w:rsidP="1D4AD13A">
      <w:pPr>
        <w:pBdr>
          <w:bottom w:val="none" w:sz="0" w:space="31" w:color="000000"/>
        </w:pBdr>
        <w:shd w:val="clear" w:color="auto" w:fill="FFFFFF" w:themeFill="background1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1D4AD13A">
        <w:rPr>
          <w:sz w:val="24"/>
          <w:szCs w:val="24"/>
        </w:rPr>
        <w:t xml:space="preserve">A ilha de Mosqueiro, situada no município de Belém, estado do Pará, abriga comunidades tradicionais como Caruaru e Mari-Mari, inseridas em ambientes de vegetação secundária, áreas de cultivo e fragmentos florestais (Lisboa </w:t>
      </w:r>
      <w:r w:rsidRPr="1D4AD13A">
        <w:rPr>
          <w:i/>
          <w:iCs/>
          <w:sz w:val="24"/>
          <w:szCs w:val="24"/>
        </w:rPr>
        <w:t>et al.</w:t>
      </w:r>
      <w:r w:rsidRPr="1D4AD13A">
        <w:rPr>
          <w:sz w:val="24"/>
          <w:szCs w:val="24"/>
        </w:rPr>
        <w:t xml:space="preserve">, 2020). Esses ambientes oferecem condições favoráveis para o desenvolvimento de diversas espécies de ferrugens, tornando-se locais estratégicos para estudos de diversidade de </w:t>
      </w:r>
      <w:proofErr w:type="spellStart"/>
      <w:r w:rsidRPr="1D4AD13A">
        <w:rPr>
          <w:sz w:val="24"/>
          <w:szCs w:val="24"/>
        </w:rPr>
        <w:t>fitoparasitas</w:t>
      </w:r>
      <w:proofErr w:type="spellEnd"/>
      <w:r w:rsidRPr="1D4AD13A">
        <w:rPr>
          <w:sz w:val="24"/>
          <w:szCs w:val="24"/>
        </w:rPr>
        <w:t xml:space="preserve">. A interação entre fungos e plantas nesses ecossistemas pode revelar padrões importantes de coevolução, especificidade hospedeira e distribuição geográfica. </w:t>
      </w:r>
    </w:p>
    <w:p w14:paraId="23517869" w14:textId="4F956710" w:rsidR="07334DB1" w:rsidRPr="00E964C2" w:rsidRDefault="07334DB1" w:rsidP="00E964C2">
      <w:pPr>
        <w:pBdr>
          <w:bottom w:val="none" w:sz="0" w:space="31" w:color="000000"/>
        </w:pBdr>
        <w:shd w:val="clear" w:color="auto" w:fill="FFFFFF" w:themeFill="background1"/>
        <w:tabs>
          <w:tab w:val="left" w:pos="699"/>
        </w:tabs>
        <w:spacing w:after="240"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7334DB1">
        <w:rPr>
          <w:sz w:val="24"/>
          <w:szCs w:val="24"/>
        </w:rPr>
        <w:t>O presente estudo tem como objetivo principal investigar a diversidade de ferrugens (</w:t>
      </w:r>
      <w:proofErr w:type="spellStart"/>
      <w:r w:rsidRPr="07334DB1">
        <w:rPr>
          <w:sz w:val="24"/>
          <w:szCs w:val="24"/>
        </w:rPr>
        <w:t>Pucciniales</w:t>
      </w:r>
      <w:proofErr w:type="spellEnd"/>
      <w:r w:rsidRPr="07334DB1">
        <w:rPr>
          <w:sz w:val="24"/>
          <w:szCs w:val="24"/>
        </w:rPr>
        <w:t>) nas comunidades de Caruaru e Mari-Mari, visando contribuir para o aprofundamento do conhecimento taxonômico e ecológico desses fungos na região amazônica.</w:t>
      </w:r>
    </w:p>
    <w:p w14:paraId="43AAF9CC" w14:textId="19242DD3" w:rsidR="34D30320" w:rsidRDefault="1D4AD13A" w:rsidP="1D4AD13A">
      <w:pPr>
        <w:pBdr>
          <w:bottom w:val="none" w:sz="0" w:space="31" w:color="000000"/>
        </w:pBdr>
        <w:shd w:val="clear" w:color="auto" w:fill="FFFFFF" w:themeFill="background1"/>
        <w:tabs>
          <w:tab w:val="left" w:pos="699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1D4AD13A">
        <w:rPr>
          <w:b/>
          <w:bCs/>
          <w:sz w:val="24"/>
          <w:szCs w:val="24"/>
        </w:rPr>
        <w:t>2.  METODOLOGIA</w:t>
      </w:r>
      <w:r w:rsidRPr="1D4AD13A">
        <w:rPr>
          <w:b/>
          <w:bCs/>
          <w:sz w:val="28"/>
          <w:szCs w:val="28"/>
        </w:rPr>
        <w:t xml:space="preserve"> </w:t>
      </w:r>
    </w:p>
    <w:p w14:paraId="586A8A7F" w14:textId="7EB34B7F" w:rsidR="34D30320" w:rsidRDefault="236502DE" w:rsidP="236502DE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line="360" w:lineRule="auto"/>
        <w:ind w:firstLine="700"/>
        <w:jc w:val="both"/>
        <w:rPr>
          <w:color w:val="000000" w:themeColor="text1"/>
          <w:sz w:val="24"/>
          <w:szCs w:val="24"/>
        </w:rPr>
      </w:pPr>
      <w:r w:rsidRPr="236502DE">
        <w:rPr>
          <w:b/>
          <w:bCs/>
          <w:color w:val="000000" w:themeColor="text1"/>
          <w:sz w:val="24"/>
          <w:szCs w:val="24"/>
        </w:rPr>
        <w:t>2.1. Coleta e Identificação das amostras.</w:t>
      </w:r>
    </w:p>
    <w:p w14:paraId="1E90D7CC" w14:textId="77E96C95" w:rsidR="75F6002F" w:rsidRDefault="236502DE" w:rsidP="236502DE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line="360" w:lineRule="auto"/>
        <w:ind w:firstLine="700"/>
        <w:jc w:val="both"/>
        <w:rPr>
          <w:color w:val="000000" w:themeColor="text1"/>
          <w:sz w:val="24"/>
          <w:szCs w:val="24"/>
        </w:rPr>
      </w:pPr>
      <w:r w:rsidRPr="236502DE">
        <w:rPr>
          <w:color w:val="000000" w:themeColor="text1"/>
          <w:sz w:val="24"/>
          <w:szCs w:val="24"/>
        </w:rPr>
        <w:t xml:space="preserve">As coletas ocorreram entre os anos de 2019 e 2025, de forma não contínua, sem periodicidade pré-estabelecida ou cronograma fixo. A seleção dos espécimes vegetais que foram coletadas, baseou-se na observação de sintomas característicos de infecção por fungos da ordem </w:t>
      </w:r>
      <w:proofErr w:type="spellStart"/>
      <w:r w:rsidRPr="236502DE">
        <w:rPr>
          <w:color w:val="000000" w:themeColor="text1"/>
          <w:sz w:val="24"/>
          <w:szCs w:val="24"/>
        </w:rPr>
        <w:t>Pucciniales</w:t>
      </w:r>
      <w:proofErr w:type="spellEnd"/>
      <w:r w:rsidRPr="236502DE">
        <w:rPr>
          <w:color w:val="000000" w:themeColor="text1"/>
          <w:sz w:val="24"/>
          <w:szCs w:val="24"/>
        </w:rPr>
        <w:t xml:space="preserve">, tais como pústulas pulverulentas, clorose foliar, hipertrofias ou hiperplasias, presença de </w:t>
      </w:r>
      <w:proofErr w:type="spellStart"/>
      <w:r w:rsidRPr="236502DE">
        <w:rPr>
          <w:color w:val="000000" w:themeColor="text1"/>
          <w:sz w:val="24"/>
          <w:szCs w:val="24"/>
        </w:rPr>
        <w:t>pseudoflores</w:t>
      </w:r>
      <w:proofErr w:type="spellEnd"/>
      <w:r w:rsidRPr="236502DE">
        <w:rPr>
          <w:color w:val="000000" w:themeColor="text1"/>
          <w:sz w:val="24"/>
          <w:szCs w:val="24"/>
        </w:rPr>
        <w:t xml:space="preserve">, entre outros sinais (Cummins; </w:t>
      </w:r>
      <w:proofErr w:type="spellStart"/>
      <w:r w:rsidRPr="236502DE">
        <w:rPr>
          <w:color w:val="000000" w:themeColor="text1"/>
          <w:sz w:val="24"/>
          <w:szCs w:val="24"/>
        </w:rPr>
        <w:t>Hiratsuka</w:t>
      </w:r>
      <w:proofErr w:type="spellEnd"/>
      <w:r w:rsidRPr="236502DE">
        <w:rPr>
          <w:color w:val="000000" w:themeColor="text1"/>
          <w:sz w:val="24"/>
          <w:szCs w:val="24"/>
        </w:rPr>
        <w:t>, 2003).  Após a coleta, o material vegetal foi prensado e desidratado em estufa a 60 °C, para posterior inclusão no acervo de fungos do herbário MFS, da Universidade do Estado do Pará.</w:t>
      </w:r>
    </w:p>
    <w:p w14:paraId="7EC518D6" w14:textId="56DD9AF2" w:rsidR="75F6002F" w:rsidRDefault="236502DE" w:rsidP="236502DE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line="360" w:lineRule="auto"/>
        <w:ind w:firstLine="700"/>
        <w:jc w:val="both"/>
        <w:rPr>
          <w:color w:val="000000" w:themeColor="text1"/>
          <w:sz w:val="24"/>
          <w:szCs w:val="24"/>
        </w:rPr>
      </w:pPr>
      <w:r w:rsidRPr="236502DE">
        <w:rPr>
          <w:color w:val="000000" w:themeColor="text1"/>
          <w:sz w:val="24"/>
          <w:szCs w:val="24"/>
        </w:rPr>
        <w:t xml:space="preserve">A identificação dos fungos foi realizada a partir de análises microscópicas. Para isso, foram preparadas lâminas semipermanentes com o auxílio de um </w:t>
      </w:r>
      <w:proofErr w:type="spellStart"/>
      <w:r w:rsidRPr="236502DE">
        <w:rPr>
          <w:color w:val="000000" w:themeColor="text1"/>
          <w:sz w:val="24"/>
          <w:szCs w:val="24"/>
        </w:rPr>
        <w:t>estereomicroscópio</w:t>
      </w:r>
      <w:proofErr w:type="spellEnd"/>
      <w:r w:rsidRPr="236502DE">
        <w:rPr>
          <w:color w:val="000000" w:themeColor="text1"/>
          <w:sz w:val="24"/>
          <w:szCs w:val="24"/>
        </w:rPr>
        <w:t xml:space="preserve">. Os soros e esporos presentes nos materiais foram obtidos por raspagem com estilete de ponta fina e </w:t>
      </w:r>
      <w:r w:rsidRPr="236502DE">
        <w:rPr>
          <w:color w:val="000000" w:themeColor="text1"/>
          <w:sz w:val="24"/>
          <w:szCs w:val="24"/>
        </w:rPr>
        <w:lastRenderedPageBreak/>
        <w:t xml:space="preserve">transferidos para lâminas estéreis contendo uma gota de </w:t>
      </w:r>
      <w:proofErr w:type="spellStart"/>
      <w:r w:rsidRPr="236502DE">
        <w:rPr>
          <w:color w:val="000000" w:themeColor="text1"/>
          <w:sz w:val="24"/>
          <w:szCs w:val="24"/>
        </w:rPr>
        <w:t>lactofenol</w:t>
      </w:r>
      <w:proofErr w:type="spellEnd"/>
      <w:r w:rsidRPr="236502DE">
        <w:rPr>
          <w:color w:val="000000" w:themeColor="text1"/>
          <w:sz w:val="24"/>
          <w:szCs w:val="24"/>
        </w:rPr>
        <w:t>, sendo então cobertos com lamínulas também estéreis. As lâminas foram levemente aquecidas por alguns segundos para melhor fixação do material e para a retirada de bolhas de ar que poderiam estar presentes na lâmina e dificultar a visualização do material.</w:t>
      </w:r>
    </w:p>
    <w:p w14:paraId="7FD4BA54" w14:textId="521789A9" w:rsidR="75F6002F" w:rsidRDefault="34810083" w:rsidP="34810083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line="360" w:lineRule="auto"/>
        <w:ind w:firstLine="700"/>
        <w:jc w:val="both"/>
        <w:rPr>
          <w:color w:val="000000" w:themeColor="text1"/>
          <w:sz w:val="24"/>
          <w:szCs w:val="24"/>
        </w:rPr>
      </w:pPr>
      <w:r w:rsidRPr="34810083">
        <w:rPr>
          <w:color w:val="000000" w:themeColor="text1"/>
          <w:sz w:val="24"/>
          <w:szCs w:val="24"/>
        </w:rPr>
        <w:t xml:space="preserve">As observações e registros fotográficos foram realizados em microscópio óptico modelo LEICA ICC50 HD, acoplado ao software </w:t>
      </w:r>
      <w:proofErr w:type="spellStart"/>
      <w:r w:rsidRPr="34810083">
        <w:rPr>
          <w:color w:val="000000" w:themeColor="text1"/>
          <w:sz w:val="24"/>
          <w:szCs w:val="24"/>
        </w:rPr>
        <w:t>Leica</w:t>
      </w:r>
      <w:proofErr w:type="spellEnd"/>
      <w:r w:rsidRPr="34810083">
        <w:rPr>
          <w:color w:val="000000" w:themeColor="text1"/>
          <w:sz w:val="24"/>
          <w:szCs w:val="24"/>
        </w:rPr>
        <w:t xml:space="preserve"> </w:t>
      </w:r>
      <w:proofErr w:type="spellStart"/>
      <w:r w:rsidRPr="34810083">
        <w:rPr>
          <w:color w:val="000000" w:themeColor="text1"/>
          <w:sz w:val="24"/>
          <w:szCs w:val="24"/>
        </w:rPr>
        <w:t>Application</w:t>
      </w:r>
      <w:proofErr w:type="spellEnd"/>
      <w:r w:rsidRPr="34810083">
        <w:rPr>
          <w:color w:val="000000" w:themeColor="text1"/>
          <w:sz w:val="24"/>
          <w:szCs w:val="24"/>
        </w:rPr>
        <w:t xml:space="preserve"> </w:t>
      </w:r>
      <w:proofErr w:type="spellStart"/>
      <w:r w:rsidRPr="34810083">
        <w:rPr>
          <w:color w:val="000000" w:themeColor="text1"/>
          <w:sz w:val="24"/>
          <w:szCs w:val="24"/>
        </w:rPr>
        <w:t>Suite</w:t>
      </w:r>
      <w:proofErr w:type="spellEnd"/>
      <w:r w:rsidRPr="34810083">
        <w:rPr>
          <w:color w:val="000000" w:themeColor="text1"/>
          <w:sz w:val="24"/>
          <w:szCs w:val="24"/>
        </w:rPr>
        <w:t xml:space="preserve"> - LAS EZ, que possibilitou a documentação e mensuração das estruturas fúngicas microscópicas. Foram analisadas as características morfológicas dos esporos, incluindo ornamentação, forma, presença ou ausência de pedicelo, presença e localização de poros germinativos, bem como o grau de visibilidade desses poros.</w:t>
      </w:r>
    </w:p>
    <w:p w14:paraId="28A91961" w14:textId="720F9875" w:rsidR="75F6002F" w:rsidRDefault="34810083" w:rsidP="34810083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line="360" w:lineRule="auto"/>
        <w:ind w:firstLine="700"/>
        <w:jc w:val="both"/>
        <w:rPr>
          <w:color w:val="000000" w:themeColor="text1"/>
        </w:rPr>
      </w:pPr>
      <w:r w:rsidRPr="34810083">
        <w:rPr>
          <w:color w:val="000000" w:themeColor="text1"/>
          <w:sz w:val="24"/>
          <w:szCs w:val="24"/>
        </w:rPr>
        <w:t xml:space="preserve">Na análise </w:t>
      </w:r>
      <w:proofErr w:type="spellStart"/>
      <w:r w:rsidRPr="34810083">
        <w:rPr>
          <w:color w:val="000000" w:themeColor="text1"/>
          <w:sz w:val="24"/>
          <w:szCs w:val="24"/>
        </w:rPr>
        <w:t>morfométrica</w:t>
      </w:r>
      <w:proofErr w:type="spellEnd"/>
      <w:r w:rsidRPr="34810083">
        <w:rPr>
          <w:color w:val="000000" w:themeColor="text1"/>
          <w:sz w:val="24"/>
          <w:szCs w:val="24"/>
        </w:rPr>
        <w:t xml:space="preserve">, foram obtidas medidas de comprimento, largura, espessura da parede, espessamento da parede apical (quando presente) e comprimento do pedicelo. As informações morfológicas e </w:t>
      </w:r>
      <w:proofErr w:type="spellStart"/>
      <w:r w:rsidRPr="34810083">
        <w:rPr>
          <w:color w:val="000000" w:themeColor="text1"/>
          <w:sz w:val="24"/>
          <w:szCs w:val="24"/>
        </w:rPr>
        <w:t>morfométricas</w:t>
      </w:r>
      <w:proofErr w:type="spellEnd"/>
      <w:r w:rsidRPr="34810083">
        <w:rPr>
          <w:color w:val="000000" w:themeColor="text1"/>
          <w:sz w:val="24"/>
          <w:szCs w:val="24"/>
        </w:rPr>
        <w:t xml:space="preserve"> obtidas foram comparadas com descrições disponíveis na literatura especializada, como </w:t>
      </w:r>
      <w:proofErr w:type="spellStart"/>
      <w:r w:rsidRPr="34810083">
        <w:rPr>
          <w:color w:val="000000" w:themeColor="text1"/>
          <w:sz w:val="24"/>
          <w:szCs w:val="24"/>
        </w:rPr>
        <w:t>Hennen</w:t>
      </w:r>
      <w:proofErr w:type="spellEnd"/>
      <w:r w:rsidRPr="34810083">
        <w:rPr>
          <w:color w:val="000000" w:themeColor="text1"/>
          <w:sz w:val="24"/>
          <w:szCs w:val="24"/>
        </w:rPr>
        <w:t xml:space="preserve"> </w:t>
      </w:r>
      <w:r w:rsidRPr="34810083">
        <w:rPr>
          <w:i/>
          <w:iCs/>
          <w:color w:val="000000" w:themeColor="text1"/>
          <w:sz w:val="24"/>
          <w:szCs w:val="24"/>
        </w:rPr>
        <w:t>et al</w:t>
      </w:r>
      <w:r w:rsidRPr="34810083">
        <w:rPr>
          <w:color w:val="000000" w:themeColor="text1"/>
          <w:sz w:val="24"/>
          <w:szCs w:val="24"/>
        </w:rPr>
        <w:t xml:space="preserve">. (2005), </w:t>
      </w:r>
      <w:proofErr w:type="spellStart"/>
      <w:r w:rsidRPr="34810083">
        <w:rPr>
          <w:color w:val="000000" w:themeColor="text1"/>
          <w:sz w:val="24"/>
          <w:szCs w:val="24"/>
        </w:rPr>
        <w:t>Sotão</w:t>
      </w:r>
      <w:proofErr w:type="spellEnd"/>
      <w:r w:rsidRPr="34810083">
        <w:rPr>
          <w:color w:val="000000" w:themeColor="text1"/>
          <w:sz w:val="24"/>
          <w:szCs w:val="24"/>
        </w:rPr>
        <w:t xml:space="preserve">, França e </w:t>
      </w:r>
      <w:proofErr w:type="spellStart"/>
      <w:r w:rsidRPr="34810083">
        <w:rPr>
          <w:color w:val="000000" w:themeColor="text1"/>
          <w:sz w:val="24"/>
          <w:szCs w:val="24"/>
        </w:rPr>
        <w:t>Hennen</w:t>
      </w:r>
      <w:proofErr w:type="spellEnd"/>
      <w:r w:rsidRPr="34810083">
        <w:rPr>
          <w:color w:val="000000" w:themeColor="text1"/>
          <w:sz w:val="24"/>
          <w:szCs w:val="24"/>
        </w:rPr>
        <w:t xml:space="preserve"> (2006), França, </w:t>
      </w:r>
      <w:proofErr w:type="spellStart"/>
      <w:r w:rsidRPr="34810083">
        <w:rPr>
          <w:color w:val="000000" w:themeColor="text1"/>
          <w:sz w:val="24"/>
          <w:szCs w:val="24"/>
        </w:rPr>
        <w:t>Sotão</w:t>
      </w:r>
      <w:proofErr w:type="spellEnd"/>
      <w:r w:rsidRPr="34810083">
        <w:rPr>
          <w:color w:val="000000" w:themeColor="text1"/>
          <w:sz w:val="24"/>
          <w:szCs w:val="24"/>
        </w:rPr>
        <w:t xml:space="preserve"> e Costa-Neto (2010), </w:t>
      </w:r>
      <w:proofErr w:type="spellStart"/>
      <w:r w:rsidRPr="34810083">
        <w:rPr>
          <w:color w:val="000000" w:themeColor="text1"/>
          <w:sz w:val="24"/>
          <w:szCs w:val="24"/>
        </w:rPr>
        <w:t>Berndt</w:t>
      </w:r>
      <w:proofErr w:type="spellEnd"/>
      <w:r w:rsidRPr="34810083">
        <w:rPr>
          <w:color w:val="000000" w:themeColor="text1"/>
          <w:sz w:val="24"/>
          <w:szCs w:val="24"/>
        </w:rPr>
        <w:t xml:space="preserve"> (2013), Salazar-</w:t>
      </w:r>
      <w:proofErr w:type="spellStart"/>
      <w:r w:rsidRPr="34810083">
        <w:rPr>
          <w:color w:val="000000" w:themeColor="text1"/>
          <w:sz w:val="24"/>
          <w:szCs w:val="24"/>
        </w:rPr>
        <w:t>Yepes</w:t>
      </w:r>
      <w:proofErr w:type="spellEnd"/>
      <w:r w:rsidRPr="34810083">
        <w:rPr>
          <w:color w:val="000000" w:themeColor="text1"/>
          <w:sz w:val="24"/>
          <w:szCs w:val="24"/>
        </w:rPr>
        <w:t xml:space="preserve">, Carvalho Jr. (2016) e Martins Jr. </w:t>
      </w:r>
      <w:r w:rsidRPr="34810083">
        <w:rPr>
          <w:i/>
          <w:iCs/>
          <w:color w:val="000000" w:themeColor="text1"/>
          <w:sz w:val="24"/>
          <w:szCs w:val="24"/>
        </w:rPr>
        <w:t>et al.</w:t>
      </w:r>
      <w:r w:rsidRPr="34810083">
        <w:rPr>
          <w:color w:val="000000" w:themeColor="text1"/>
          <w:sz w:val="24"/>
          <w:szCs w:val="24"/>
        </w:rPr>
        <w:t xml:space="preserve"> (2022), utilizadas como referência para a identificação das espécies de </w:t>
      </w:r>
      <w:proofErr w:type="spellStart"/>
      <w:r w:rsidRPr="34810083">
        <w:rPr>
          <w:color w:val="000000" w:themeColor="text1"/>
          <w:sz w:val="24"/>
          <w:szCs w:val="24"/>
        </w:rPr>
        <w:t>Pucciniales</w:t>
      </w:r>
      <w:proofErr w:type="spellEnd"/>
      <w:r w:rsidRPr="34810083">
        <w:rPr>
          <w:color w:val="000000" w:themeColor="text1"/>
          <w:sz w:val="24"/>
          <w:szCs w:val="24"/>
        </w:rPr>
        <w:t xml:space="preserve">. Para a confirmação da nomenclatura foi utilizado bancos de dados online como </w:t>
      </w:r>
      <w:proofErr w:type="spellStart"/>
      <w:r w:rsidRPr="34810083">
        <w:rPr>
          <w:color w:val="000000" w:themeColor="text1"/>
          <w:sz w:val="24"/>
          <w:szCs w:val="24"/>
        </w:rPr>
        <w:t>Mycobank</w:t>
      </w:r>
      <w:proofErr w:type="spellEnd"/>
      <w:r w:rsidRPr="34810083">
        <w:rPr>
          <w:color w:val="000000" w:themeColor="text1"/>
          <w:sz w:val="24"/>
          <w:szCs w:val="24"/>
        </w:rPr>
        <w:t xml:space="preserve"> (</w:t>
      </w:r>
      <w:r w:rsidRPr="34810083">
        <w:rPr>
          <w:sz w:val="24"/>
          <w:szCs w:val="24"/>
        </w:rPr>
        <w:t xml:space="preserve">https://www.mycobank.org/) </w:t>
      </w:r>
      <w:r w:rsidRPr="34810083">
        <w:rPr>
          <w:color w:val="000000" w:themeColor="text1"/>
          <w:sz w:val="24"/>
          <w:szCs w:val="24"/>
        </w:rPr>
        <w:t xml:space="preserve">e Index </w:t>
      </w:r>
      <w:proofErr w:type="spellStart"/>
      <w:r w:rsidRPr="34810083">
        <w:rPr>
          <w:color w:val="000000" w:themeColor="text1"/>
          <w:sz w:val="24"/>
          <w:szCs w:val="24"/>
        </w:rPr>
        <w:t>Fungorum</w:t>
      </w:r>
      <w:proofErr w:type="spellEnd"/>
      <w:r w:rsidRPr="34810083">
        <w:rPr>
          <w:color w:val="000000" w:themeColor="text1"/>
          <w:sz w:val="24"/>
          <w:szCs w:val="24"/>
        </w:rPr>
        <w:t xml:space="preserve"> </w:t>
      </w:r>
      <w:r w:rsidRPr="34810083">
        <w:rPr>
          <w:sz w:val="24"/>
          <w:szCs w:val="24"/>
        </w:rPr>
        <w:t>(</w:t>
      </w:r>
      <w:hyperlink r:id="rId9">
        <w:r w:rsidRPr="34810083">
          <w:rPr>
            <w:rStyle w:val="Hyperlink"/>
            <w:color w:val="auto"/>
            <w:sz w:val="24"/>
            <w:szCs w:val="24"/>
            <w:u w:val="none"/>
          </w:rPr>
          <w:t>https://www.indexfungorum.org</w:t>
        </w:r>
      </w:hyperlink>
      <w:r w:rsidRPr="34810083">
        <w:rPr>
          <w:color w:val="000000" w:themeColor="text1"/>
          <w:sz w:val="24"/>
          <w:szCs w:val="24"/>
        </w:rPr>
        <w:t>).</w:t>
      </w:r>
    </w:p>
    <w:p w14:paraId="0BE23B69" w14:textId="14EB3AFE" w:rsidR="34810083" w:rsidRDefault="34810083" w:rsidP="34810083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line="360" w:lineRule="auto"/>
        <w:ind w:firstLine="700"/>
        <w:jc w:val="both"/>
        <w:rPr>
          <w:color w:val="000000" w:themeColor="text1"/>
          <w:sz w:val="24"/>
          <w:szCs w:val="24"/>
        </w:rPr>
      </w:pPr>
      <w:r w:rsidRPr="34810083">
        <w:rPr>
          <w:color w:val="000000" w:themeColor="text1"/>
          <w:sz w:val="24"/>
          <w:szCs w:val="24"/>
        </w:rPr>
        <w:t xml:space="preserve">A identificação dos hospedeiros vegetais foi realizada com base em suas características morfológicas (hábito, coloração foliar, floração, frutificação, entre outras) utilizando chaves de identificação e materiais de herbários disponíveis em plataformas digitais. Também foi considerada a distribuição geográfica das espécies vegetais. Para confirmação da nomenclatura das plantes foi o utilizado o banco de dados </w:t>
      </w:r>
      <w:r w:rsidRPr="34810083">
        <w:rPr>
          <w:i/>
          <w:iCs/>
          <w:color w:val="000000" w:themeColor="text1"/>
          <w:sz w:val="24"/>
          <w:szCs w:val="24"/>
        </w:rPr>
        <w:t xml:space="preserve">online </w:t>
      </w:r>
      <w:r w:rsidRPr="34810083">
        <w:rPr>
          <w:color w:val="000000" w:themeColor="text1"/>
          <w:sz w:val="24"/>
          <w:szCs w:val="24"/>
        </w:rPr>
        <w:t>Flora e Funga do Brasil.</w:t>
      </w:r>
    </w:p>
    <w:p w14:paraId="695217B8" w14:textId="6B52839B" w:rsidR="34D30320" w:rsidRDefault="236502DE" w:rsidP="236502DE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line="360" w:lineRule="auto"/>
        <w:ind w:firstLine="700"/>
        <w:jc w:val="both"/>
        <w:rPr>
          <w:b/>
          <w:bCs/>
          <w:color w:val="000000" w:themeColor="text1"/>
          <w:sz w:val="24"/>
          <w:szCs w:val="24"/>
        </w:rPr>
      </w:pPr>
      <w:r w:rsidRPr="236502DE">
        <w:rPr>
          <w:b/>
          <w:bCs/>
          <w:color w:val="000000" w:themeColor="text1"/>
          <w:sz w:val="24"/>
          <w:szCs w:val="24"/>
        </w:rPr>
        <w:t xml:space="preserve">2.2 Organização de dados para as análises de gráficos. </w:t>
      </w:r>
    </w:p>
    <w:p w14:paraId="73186F5D" w14:textId="5749E894" w:rsidR="07334DB1" w:rsidRDefault="07334DB1" w:rsidP="00734051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after="240" w:line="360" w:lineRule="auto"/>
        <w:ind w:firstLine="700"/>
        <w:jc w:val="both"/>
        <w:rPr>
          <w:color w:val="000000" w:themeColor="text1"/>
          <w:sz w:val="24"/>
          <w:szCs w:val="24"/>
        </w:rPr>
      </w:pPr>
      <w:r w:rsidRPr="07334DB1">
        <w:rPr>
          <w:color w:val="000000" w:themeColor="text1"/>
          <w:sz w:val="24"/>
          <w:szCs w:val="24"/>
        </w:rPr>
        <w:t>Os dados como espécie de ferrugem, família fúngica, hospedeiro, família botânica, local de coleta, coletor, número de coleta, soros presentes, entre outros. Foram organizados em uma planilha utilizando o software Microsoft Excel LTSC 2021 (64 bits). Posteriormente, os dados foram analisados para a fabricação dos gráficos utilizados no trabalho também utilizando Excel.</w:t>
      </w:r>
    </w:p>
    <w:p w14:paraId="33A751CB" w14:textId="347DE3A9" w:rsidR="34D30320" w:rsidRDefault="07334DB1" w:rsidP="07334DB1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line="432" w:lineRule="auto"/>
        <w:jc w:val="both"/>
        <w:rPr>
          <w:sz w:val="24"/>
          <w:szCs w:val="24"/>
        </w:rPr>
      </w:pPr>
      <w:r w:rsidRPr="07334DB1">
        <w:rPr>
          <w:b/>
          <w:bCs/>
          <w:sz w:val="24"/>
          <w:szCs w:val="24"/>
        </w:rPr>
        <w:lastRenderedPageBreak/>
        <w:t>3. RESULTADOS E DISCUSSÃO</w:t>
      </w:r>
      <w:r w:rsidRPr="07334DB1">
        <w:rPr>
          <w:b/>
          <w:bCs/>
          <w:sz w:val="28"/>
          <w:szCs w:val="28"/>
        </w:rPr>
        <w:t xml:space="preserve"> </w:t>
      </w:r>
    </w:p>
    <w:p w14:paraId="51EEA26F" w14:textId="0C0D8BA5" w:rsidR="64EEDB4D" w:rsidRDefault="64EEDB4D" w:rsidP="00E964C2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after="240" w:line="360" w:lineRule="auto"/>
        <w:ind w:firstLine="720"/>
        <w:jc w:val="both"/>
        <w:rPr>
          <w:sz w:val="24"/>
          <w:szCs w:val="24"/>
        </w:rPr>
      </w:pPr>
      <w:r w:rsidRPr="64EEDB4D">
        <w:rPr>
          <w:sz w:val="24"/>
          <w:szCs w:val="24"/>
        </w:rPr>
        <w:t xml:space="preserve">As espécies coletadas foram classificadas nas famílias </w:t>
      </w:r>
      <w:proofErr w:type="spellStart"/>
      <w:r w:rsidRPr="64EEDB4D">
        <w:rPr>
          <w:sz w:val="24"/>
          <w:szCs w:val="24"/>
        </w:rPr>
        <w:t>Chaconiaceae</w:t>
      </w:r>
      <w:proofErr w:type="spellEnd"/>
      <w:r w:rsidRPr="64EEDB4D">
        <w:rPr>
          <w:sz w:val="24"/>
          <w:szCs w:val="24"/>
        </w:rPr>
        <w:t xml:space="preserve">, </w:t>
      </w:r>
      <w:proofErr w:type="spellStart"/>
      <w:r w:rsidRPr="64EEDB4D">
        <w:rPr>
          <w:sz w:val="24"/>
          <w:szCs w:val="24"/>
        </w:rPr>
        <w:t>Phakopsoraceae</w:t>
      </w:r>
      <w:proofErr w:type="spellEnd"/>
      <w:r w:rsidRPr="64EEDB4D">
        <w:rPr>
          <w:sz w:val="24"/>
          <w:szCs w:val="24"/>
        </w:rPr>
        <w:t xml:space="preserve">, </w:t>
      </w:r>
      <w:proofErr w:type="spellStart"/>
      <w:r w:rsidRPr="64EEDB4D">
        <w:rPr>
          <w:sz w:val="24"/>
          <w:szCs w:val="24"/>
        </w:rPr>
        <w:t>Pucciniaceae</w:t>
      </w:r>
      <w:proofErr w:type="spellEnd"/>
      <w:r w:rsidRPr="64EEDB4D">
        <w:rPr>
          <w:sz w:val="24"/>
          <w:szCs w:val="24"/>
        </w:rPr>
        <w:t xml:space="preserve"> e </w:t>
      </w:r>
      <w:proofErr w:type="spellStart"/>
      <w:r w:rsidRPr="64EEDB4D">
        <w:rPr>
          <w:sz w:val="24"/>
          <w:szCs w:val="24"/>
        </w:rPr>
        <w:t>Raveneliaceae</w:t>
      </w:r>
      <w:proofErr w:type="spellEnd"/>
      <w:r w:rsidRPr="64EEDB4D">
        <w:rPr>
          <w:sz w:val="24"/>
          <w:szCs w:val="24"/>
        </w:rPr>
        <w:t xml:space="preserve">. A família </w:t>
      </w:r>
      <w:proofErr w:type="spellStart"/>
      <w:r w:rsidRPr="64EEDB4D">
        <w:rPr>
          <w:sz w:val="24"/>
          <w:szCs w:val="24"/>
        </w:rPr>
        <w:t>Pucciniaceae</w:t>
      </w:r>
      <w:proofErr w:type="spellEnd"/>
      <w:r w:rsidRPr="64EEDB4D">
        <w:rPr>
          <w:sz w:val="24"/>
          <w:szCs w:val="24"/>
        </w:rPr>
        <w:t xml:space="preserve"> destacou-se como a mais representativa, apresentando a maior riqueza específica com 57,1% dos espécimes coletados. Entre as demais, a família </w:t>
      </w:r>
      <w:proofErr w:type="spellStart"/>
      <w:r w:rsidRPr="64EEDB4D">
        <w:rPr>
          <w:sz w:val="24"/>
          <w:szCs w:val="24"/>
        </w:rPr>
        <w:t>Raveneliaceae</w:t>
      </w:r>
      <w:proofErr w:type="spellEnd"/>
      <w:r w:rsidRPr="64EEDB4D">
        <w:rPr>
          <w:sz w:val="24"/>
          <w:szCs w:val="24"/>
        </w:rPr>
        <w:t xml:space="preserve"> </w:t>
      </w:r>
      <w:r w:rsidR="00492A51">
        <w:rPr>
          <w:sz w:val="24"/>
          <w:szCs w:val="24"/>
        </w:rPr>
        <w:t xml:space="preserve">foi registrada como a segunda mais rica com 21,4% de ocorrência </w:t>
      </w:r>
      <w:r w:rsidRPr="64EEDB4D">
        <w:rPr>
          <w:sz w:val="24"/>
          <w:szCs w:val="24"/>
        </w:rPr>
        <w:t xml:space="preserve">e </w:t>
      </w:r>
      <w:proofErr w:type="spellStart"/>
      <w:r w:rsidRPr="64EEDB4D">
        <w:rPr>
          <w:sz w:val="24"/>
          <w:szCs w:val="24"/>
        </w:rPr>
        <w:t>Phakopsoraceae</w:t>
      </w:r>
      <w:proofErr w:type="spellEnd"/>
      <w:r w:rsidRPr="64EEDB4D">
        <w:rPr>
          <w:sz w:val="24"/>
          <w:szCs w:val="24"/>
        </w:rPr>
        <w:t xml:space="preserve"> </w:t>
      </w:r>
      <w:r w:rsidR="00492A51">
        <w:rPr>
          <w:sz w:val="24"/>
          <w:szCs w:val="24"/>
        </w:rPr>
        <w:t xml:space="preserve">com </w:t>
      </w:r>
      <w:r w:rsidRPr="64EEDB4D">
        <w:rPr>
          <w:sz w:val="24"/>
          <w:szCs w:val="24"/>
        </w:rPr>
        <w:t>ocorrência correspondendo a 14,3% das amostras.</w:t>
      </w:r>
    </w:p>
    <w:p w14:paraId="7EB2F1A9" w14:textId="31EDCD7E" w:rsidR="002E51D3" w:rsidRDefault="002E51D3" w:rsidP="00E964C2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after="240" w:line="360" w:lineRule="auto"/>
        <w:ind w:firstLine="720"/>
        <w:jc w:val="both"/>
        <w:rPr>
          <w:sz w:val="24"/>
          <w:szCs w:val="24"/>
        </w:rPr>
      </w:pPr>
    </w:p>
    <w:p w14:paraId="6DC78D95" w14:textId="202C5490" w:rsidR="002E51D3" w:rsidRDefault="002E51D3" w:rsidP="002E51D3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line="360" w:lineRule="auto"/>
        <w:jc w:val="center"/>
        <w:rPr>
          <w:highlight w:val="white"/>
        </w:rPr>
      </w:pPr>
      <w:r w:rsidRPr="54A6092B">
        <w:rPr>
          <w:b/>
          <w:bCs/>
          <w:highlight w:val="white"/>
        </w:rPr>
        <w:t>Figura 1</w:t>
      </w:r>
      <w:r w:rsidRPr="54A6092B">
        <w:rPr>
          <w:highlight w:val="white"/>
        </w:rPr>
        <w:t xml:space="preserve"> – Número de espécies por família de </w:t>
      </w:r>
      <w:proofErr w:type="spellStart"/>
      <w:r w:rsidRPr="54A6092B">
        <w:rPr>
          <w:highlight w:val="white"/>
        </w:rPr>
        <w:t>Pucciniales</w:t>
      </w:r>
      <w:proofErr w:type="spellEnd"/>
      <w:r w:rsidRPr="54A6092B">
        <w:rPr>
          <w:highlight w:val="white"/>
        </w:rPr>
        <w:t>.</w:t>
      </w:r>
    </w:p>
    <w:p w14:paraId="1C36BCF8" w14:textId="03B13599" w:rsidR="1B31EA28" w:rsidRPr="002E51D3" w:rsidRDefault="00492A51" w:rsidP="002E51D3">
      <w:pPr>
        <w:pBdr>
          <w:bottom w:val="none" w:sz="0" w:space="31" w:color="000000"/>
        </w:pBdr>
        <w:shd w:val="clear" w:color="auto" w:fill="FFFFFF" w:themeFill="background1"/>
        <w:tabs>
          <w:tab w:val="left" w:pos="2500"/>
        </w:tabs>
        <w:spacing w:line="360" w:lineRule="auto"/>
        <w:rPr>
          <w:highlight w:val="white"/>
        </w:rPr>
      </w:pPr>
      <w:r>
        <w:rPr>
          <w:b/>
          <w:bCs/>
          <w:noProof/>
          <w:highlight w:val="white"/>
        </w:rPr>
        <w:drawing>
          <wp:inline distT="0" distB="0" distL="0" distR="0" wp14:anchorId="0DF95FBE" wp14:editId="0503F3EB">
            <wp:extent cx="5759450" cy="3103418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67" b="11735"/>
                    <a:stretch/>
                  </pic:blipFill>
                  <pic:spPr bwMode="auto">
                    <a:xfrm>
                      <a:off x="0" y="0"/>
                      <a:ext cx="5788523" cy="311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1B31EA28" w:rsidRPr="1B31EA28">
        <w:rPr>
          <w:highlight w:val="white"/>
        </w:rPr>
        <w:t>Fonte: Elaboração dos autores, 2025.</w:t>
      </w:r>
    </w:p>
    <w:p w14:paraId="3C6365B8" w14:textId="0A782017" w:rsidR="176A5496" w:rsidRDefault="176A5496" w:rsidP="00734051">
      <w:pPr>
        <w:spacing w:after="160" w:line="360" w:lineRule="auto"/>
        <w:ind w:firstLine="720"/>
        <w:jc w:val="both"/>
        <w:rPr>
          <w:sz w:val="24"/>
          <w:szCs w:val="24"/>
        </w:rPr>
      </w:pPr>
      <w:r w:rsidRPr="176A5496">
        <w:rPr>
          <w:sz w:val="24"/>
          <w:szCs w:val="24"/>
        </w:rPr>
        <w:t>Foram registradas 14 espécies, pertencentes a sete gêneros de fungos da ordem</w:t>
      </w:r>
      <w:r w:rsidRPr="176A5496">
        <w:rPr>
          <w:i/>
          <w:iCs/>
          <w:sz w:val="24"/>
          <w:szCs w:val="24"/>
        </w:rPr>
        <w:t xml:space="preserve"> </w:t>
      </w:r>
      <w:proofErr w:type="spellStart"/>
      <w:r w:rsidRPr="176A5496">
        <w:rPr>
          <w:i/>
          <w:iCs/>
          <w:sz w:val="24"/>
          <w:szCs w:val="24"/>
        </w:rPr>
        <w:t>Pucciniales</w:t>
      </w:r>
      <w:proofErr w:type="spellEnd"/>
      <w:r w:rsidRPr="176A5496">
        <w:rPr>
          <w:sz w:val="24"/>
          <w:szCs w:val="24"/>
        </w:rPr>
        <w:t xml:space="preserve"> (Figura 2). Entre os gêneros observados, </w:t>
      </w:r>
      <w:proofErr w:type="spellStart"/>
      <w:r w:rsidRPr="176A5496">
        <w:rPr>
          <w:i/>
          <w:iCs/>
          <w:sz w:val="24"/>
          <w:szCs w:val="24"/>
        </w:rPr>
        <w:t>Puccinia</w:t>
      </w:r>
      <w:proofErr w:type="spellEnd"/>
      <w:r w:rsidRPr="176A5496">
        <w:rPr>
          <w:i/>
          <w:iCs/>
          <w:sz w:val="24"/>
          <w:szCs w:val="24"/>
        </w:rPr>
        <w:t xml:space="preserve"> </w:t>
      </w:r>
      <w:r w:rsidRPr="176A5496">
        <w:rPr>
          <w:sz w:val="24"/>
          <w:szCs w:val="24"/>
        </w:rPr>
        <w:t>foi o gênero mais rico,</w:t>
      </w:r>
      <w:r w:rsidRPr="176A5496">
        <w:rPr>
          <w:i/>
          <w:iCs/>
          <w:sz w:val="24"/>
          <w:szCs w:val="24"/>
        </w:rPr>
        <w:t xml:space="preserve"> </w:t>
      </w:r>
      <w:r w:rsidRPr="176A5496">
        <w:rPr>
          <w:sz w:val="24"/>
          <w:szCs w:val="24"/>
        </w:rPr>
        <w:t xml:space="preserve">com seis espécies identificadas. O gênero </w:t>
      </w:r>
      <w:proofErr w:type="spellStart"/>
      <w:r w:rsidRPr="176A5496">
        <w:rPr>
          <w:i/>
          <w:iCs/>
          <w:sz w:val="24"/>
          <w:szCs w:val="24"/>
        </w:rPr>
        <w:t>Puccinia</w:t>
      </w:r>
      <w:proofErr w:type="spellEnd"/>
      <w:r w:rsidRPr="176A5496">
        <w:rPr>
          <w:sz w:val="24"/>
          <w:szCs w:val="24"/>
        </w:rPr>
        <w:t xml:space="preserve"> é reconhecido como o mais abundante dentro da ordem </w:t>
      </w:r>
      <w:proofErr w:type="spellStart"/>
      <w:r w:rsidRPr="176A5496">
        <w:rPr>
          <w:sz w:val="24"/>
          <w:szCs w:val="24"/>
        </w:rPr>
        <w:t>Pucciniales</w:t>
      </w:r>
      <w:proofErr w:type="spellEnd"/>
      <w:r w:rsidRPr="176A5496">
        <w:rPr>
          <w:sz w:val="24"/>
          <w:szCs w:val="24"/>
        </w:rPr>
        <w:t xml:space="preserve">, abrangendo aproximadamente 4.000 espécies (Cummins; </w:t>
      </w:r>
      <w:proofErr w:type="spellStart"/>
      <w:r w:rsidRPr="176A5496">
        <w:rPr>
          <w:sz w:val="24"/>
          <w:szCs w:val="24"/>
        </w:rPr>
        <w:t>Hiratsuka</w:t>
      </w:r>
      <w:proofErr w:type="spellEnd"/>
      <w:r w:rsidRPr="176A5496">
        <w:rPr>
          <w:sz w:val="24"/>
          <w:szCs w:val="24"/>
        </w:rPr>
        <w:t xml:space="preserve">, 2003), além de constituir o grupo de maior diversidade entre os fungos registrados no território brasileiro (Maia </w:t>
      </w:r>
      <w:r w:rsidRPr="176A5496">
        <w:rPr>
          <w:i/>
          <w:iCs/>
          <w:sz w:val="24"/>
          <w:szCs w:val="24"/>
        </w:rPr>
        <w:t>et al</w:t>
      </w:r>
      <w:r w:rsidRPr="176A5496">
        <w:rPr>
          <w:sz w:val="24"/>
          <w:szCs w:val="24"/>
        </w:rPr>
        <w:t>., 2015).</w:t>
      </w:r>
    </w:p>
    <w:p w14:paraId="581F9380" w14:textId="451881C0" w:rsidR="006F0DA6" w:rsidRDefault="002E51D3" w:rsidP="002E51D3">
      <w:pPr>
        <w:spacing w:after="160" w:line="36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4C0060E7" wp14:editId="20BF441F">
            <wp:simplePos x="0" y="0"/>
            <wp:positionH relativeFrom="page">
              <wp:posOffset>1441739</wp:posOffset>
            </wp:positionH>
            <wp:positionV relativeFrom="margin">
              <wp:posOffset>225483</wp:posOffset>
            </wp:positionV>
            <wp:extent cx="4450080" cy="2203450"/>
            <wp:effectExtent l="0" t="0" r="7620" b="6350"/>
            <wp:wrapTopAndBottom/>
            <wp:docPr id="19413950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21299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1539"/>
                    <a:stretch/>
                  </pic:blipFill>
                  <pic:spPr bwMode="auto">
                    <a:xfrm>
                      <a:off x="0" y="0"/>
                      <a:ext cx="4450080" cy="220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36502DE" w:rsidRPr="236502DE">
        <w:rPr>
          <w:b/>
          <w:bCs/>
        </w:rPr>
        <w:t xml:space="preserve">Figura 2 – </w:t>
      </w:r>
      <w:r w:rsidR="236502DE">
        <w:t xml:space="preserve">Número de espécies por gênero de </w:t>
      </w:r>
      <w:proofErr w:type="spellStart"/>
      <w:r w:rsidR="236502DE">
        <w:t>Pucciniales</w:t>
      </w:r>
      <w:proofErr w:type="spellEnd"/>
      <w:r w:rsidR="236502DE">
        <w:t>.</w:t>
      </w:r>
    </w:p>
    <w:p w14:paraId="6EC2C34B" w14:textId="692ED7C5" w:rsidR="34810083" w:rsidRDefault="176A5496" w:rsidP="176A5496">
      <w:pPr>
        <w:pBdr>
          <w:bottom w:val="none" w:sz="0" w:space="6" w:color="000000"/>
        </w:pBdr>
        <w:shd w:val="clear" w:color="auto" w:fill="FFFFFF" w:themeFill="background1"/>
        <w:tabs>
          <w:tab w:val="left" w:pos="2500"/>
        </w:tabs>
        <w:rPr>
          <w:color w:val="FF0000"/>
        </w:rPr>
      </w:pPr>
      <w:r w:rsidRPr="176A5496">
        <w:rPr>
          <w:highlight w:val="white"/>
        </w:rPr>
        <w:t>Fonte: Elaboração dos autores, 2025.</w:t>
      </w:r>
    </w:p>
    <w:p w14:paraId="4DBACCAD" w14:textId="6F38B653" w:rsidR="34810083" w:rsidRDefault="34810083" w:rsidP="34810083">
      <w:pPr>
        <w:pBdr>
          <w:bottom w:val="none" w:sz="0" w:space="6" w:color="000000"/>
        </w:pBdr>
        <w:shd w:val="clear" w:color="auto" w:fill="FFFFFF" w:themeFill="background1"/>
        <w:tabs>
          <w:tab w:val="left" w:pos="2500"/>
        </w:tabs>
        <w:jc w:val="both"/>
        <w:rPr>
          <w:sz w:val="24"/>
          <w:szCs w:val="24"/>
        </w:rPr>
      </w:pPr>
    </w:p>
    <w:p w14:paraId="10B18DF8" w14:textId="08D192DA" w:rsidR="34810083" w:rsidRPr="00C34BB0" w:rsidRDefault="07334DB1" w:rsidP="00C34BB0">
      <w:pPr>
        <w:pBdr>
          <w:bottom w:val="none" w:sz="0" w:space="6" w:color="000000"/>
        </w:pBdr>
        <w:shd w:val="clear" w:color="auto" w:fill="FFFFFF" w:themeFill="background1"/>
        <w:tabs>
          <w:tab w:val="left" w:pos="2500"/>
        </w:tabs>
        <w:spacing w:after="240" w:line="360" w:lineRule="auto"/>
        <w:ind w:firstLine="720"/>
        <w:jc w:val="both"/>
        <w:rPr>
          <w:sz w:val="24"/>
          <w:szCs w:val="24"/>
        </w:rPr>
      </w:pPr>
      <w:r w:rsidRPr="07334DB1">
        <w:rPr>
          <w:sz w:val="24"/>
          <w:szCs w:val="24"/>
        </w:rPr>
        <w:t xml:space="preserve">Os fungos coletados foram observados parasitando plantas de dez famílias botânicas (Figura 3), dentre as quais se destacaram: </w:t>
      </w:r>
      <w:proofErr w:type="spellStart"/>
      <w:r w:rsidRPr="07334DB1">
        <w:rPr>
          <w:sz w:val="24"/>
          <w:szCs w:val="24"/>
        </w:rPr>
        <w:t>Cyperaceae</w:t>
      </w:r>
      <w:proofErr w:type="spellEnd"/>
      <w:r w:rsidRPr="07334DB1">
        <w:rPr>
          <w:sz w:val="24"/>
          <w:szCs w:val="24"/>
        </w:rPr>
        <w:t xml:space="preserve"> (21,4%), Asteraceae (14,3%) e </w:t>
      </w:r>
      <w:proofErr w:type="spellStart"/>
      <w:r w:rsidRPr="07334DB1">
        <w:rPr>
          <w:sz w:val="24"/>
          <w:szCs w:val="24"/>
        </w:rPr>
        <w:t>Bignoniaceae</w:t>
      </w:r>
      <w:proofErr w:type="spellEnd"/>
      <w:r w:rsidRPr="07334DB1">
        <w:rPr>
          <w:sz w:val="24"/>
          <w:szCs w:val="24"/>
        </w:rPr>
        <w:t xml:space="preserve"> (14,3%). </w:t>
      </w:r>
    </w:p>
    <w:p w14:paraId="491008AD" w14:textId="2F18B22F" w:rsidR="07334DB1" w:rsidRDefault="34810083" w:rsidP="00E964C2">
      <w:pPr>
        <w:widowControl/>
        <w:pBdr>
          <w:bottom w:val="none" w:sz="0" w:space="6" w:color="000000"/>
        </w:pBdr>
        <w:shd w:val="clear" w:color="auto" w:fill="FFFFFF" w:themeFill="background1"/>
        <w:tabs>
          <w:tab w:val="left" w:pos="2500"/>
        </w:tabs>
        <w:spacing w:line="360" w:lineRule="auto"/>
        <w:jc w:val="center"/>
        <w:rPr>
          <w:color w:val="FF0000"/>
        </w:rPr>
      </w:pPr>
      <w:r w:rsidRPr="34810083">
        <w:rPr>
          <w:b/>
          <w:bCs/>
          <w:highlight w:val="white"/>
        </w:rPr>
        <w:t xml:space="preserve">Figura 3 </w:t>
      </w:r>
      <w:r w:rsidRPr="34810083">
        <w:rPr>
          <w:highlight w:val="white"/>
        </w:rPr>
        <w:t>– Número de espécies por família do hospedeiro.</w:t>
      </w:r>
    </w:p>
    <w:p w14:paraId="6B683543" w14:textId="610D6673" w:rsidR="07334DB1" w:rsidRDefault="07334DB1" w:rsidP="176A5496">
      <w:pPr>
        <w:widowControl/>
        <w:spacing w:line="259" w:lineRule="auto"/>
        <w:jc w:val="center"/>
      </w:pPr>
      <w:r>
        <w:rPr>
          <w:noProof/>
        </w:rPr>
        <w:drawing>
          <wp:inline distT="0" distB="0" distL="0" distR="0" wp14:anchorId="219695CF" wp14:editId="72495153">
            <wp:extent cx="4907280" cy="1909998"/>
            <wp:effectExtent l="0" t="0" r="7620" b="0"/>
            <wp:docPr id="1487142550" name="drawing" title="Inserindo image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03578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8613" b="13241"/>
                    <a:stretch/>
                  </pic:blipFill>
                  <pic:spPr bwMode="auto">
                    <a:xfrm>
                      <a:off x="0" y="0"/>
                      <a:ext cx="4935532" cy="1920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F9B8FD" w14:textId="00A20DF5" w:rsidR="3459F7DF" w:rsidRDefault="3459F7DF" w:rsidP="3459F7DF">
      <w:pPr>
        <w:widowControl/>
        <w:spacing w:line="259" w:lineRule="auto"/>
        <w:jc w:val="both"/>
        <w:rPr>
          <w:color w:val="FF0000"/>
        </w:rPr>
      </w:pPr>
      <w:r w:rsidRPr="3459F7DF">
        <w:rPr>
          <w:highlight w:val="white"/>
        </w:rPr>
        <w:t>Fonte: Elaboração dos autores, 2025.</w:t>
      </w:r>
    </w:p>
    <w:p w14:paraId="6AAB681D" w14:textId="6F09AF80" w:rsidR="34D30320" w:rsidRDefault="176A5496" w:rsidP="00E964C2">
      <w:pPr>
        <w:spacing w:before="240" w:line="360" w:lineRule="auto"/>
        <w:ind w:firstLine="720"/>
        <w:jc w:val="both"/>
        <w:rPr>
          <w:sz w:val="24"/>
          <w:szCs w:val="24"/>
        </w:rPr>
      </w:pPr>
      <w:r w:rsidRPr="176A5496">
        <w:rPr>
          <w:sz w:val="24"/>
          <w:szCs w:val="24"/>
        </w:rPr>
        <w:t xml:space="preserve">Foram identificados 13 táxons de hospedeiros, variando em identificação a nível de espécie e gênero. Entre as espécies hospedeiras identificadas, o único táxon que ocorre repetição é a espécie </w:t>
      </w:r>
      <w:proofErr w:type="spellStart"/>
      <w:r w:rsidRPr="176A5496">
        <w:rPr>
          <w:i/>
          <w:iCs/>
          <w:sz w:val="24"/>
          <w:szCs w:val="24"/>
        </w:rPr>
        <w:t>Scleria</w:t>
      </w:r>
      <w:proofErr w:type="spellEnd"/>
      <w:r w:rsidRPr="176A5496">
        <w:rPr>
          <w:i/>
          <w:iCs/>
          <w:sz w:val="24"/>
          <w:szCs w:val="24"/>
        </w:rPr>
        <w:t xml:space="preserve"> </w:t>
      </w:r>
      <w:proofErr w:type="spellStart"/>
      <w:r w:rsidRPr="176A5496">
        <w:rPr>
          <w:i/>
          <w:iCs/>
          <w:sz w:val="24"/>
          <w:szCs w:val="24"/>
        </w:rPr>
        <w:t>gaertneri</w:t>
      </w:r>
      <w:proofErr w:type="spellEnd"/>
      <w:r w:rsidRPr="176A5496">
        <w:rPr>
          <w:i/>
          <w:iCs/>
          <w:sz w:val="24"/>
          <w:szCs w:val="24"/>
        </w:rPr>
        <w:t xml:space="preserve">, </w:t>
      </w:r>
      <w:r w:rsidRPr="176A5496">
        <w:rPr>
          <w:sz w:val="24"/>
          <w:szCs w:val="24"/>
        </w:rPr>
        <w:t>sendo parasitado por duas ferrugens distintas</w:t>
      </w:r>
      <w:r w:rsidRPr="176A5496">
        <w:rPr>
          <w:i/>
          <w:iCs/>
          <w:sz w:val="24"/>
          <w:szCs w:val="24"/>
        </w:rPr>
        <w:t xml:space="preserve">, </w:t>
      </w:r>
      <w:proofErr w:type="spellStart"/>
      <w:r w:rsidRPr="176A5496">
        <w:rPr>
          <w:i/>
          <w:iCs/>
          <w:sz w:val="24"/>
          <w:szCs w:val="24"/>
        </w:rPr>
        <w:t>Uromyces</w:t>
      </w:r>
      <w:proofErr w:type="spellEnd"/>
      <w:r w:rsidRPr="176A5496">
        <w:rPr>
          <w:i/>
          <w:iCs/>
          <w:sz w:val="24"/>
          <w:szCs w:val="24"/>
        </w:rPr>
        <w:t xml:space="preserve"> </w:t>
      </w:r>
      <w:proofErr w:type="spellStart"/>
      <w:r w:rsidRPr="176A5496">
        <w:rPr>
          <w:i/>
          <w:iCs/>
          <w:sz w:val="24"/>
          <w:szCs w:val="24"/>
        </w:rPr>
        <w:t>scleriae</w:t>
      </w:r>
      <w:proofErr w:type="spellEnd"/>
      <w:r w:rsidRPr="176A5496">
        <w:rPr>
          <w:i/>
          <w:iCs/>
          <w:sz w:val="24"/>
          <w:szCs w:val="24"/>
        </w:rPr>
        <w:t xml:space="preserve"> e </w:t>
      </w:r>
      <w:proofErr w:type="spellStart"/>
      <w:r w:rsidRPr="176A5496">
        <w:rPr>
          <w:i/>
          <w:iCs/>
          <w:sz w:val="24"/>
          <w:szCs w:val="24"/>
        </w:rPr>
        <w:t>Puccinia</w:t>
      </w:r>
      <w:proofErr w:type="spellEnd"/>
      <w:r w:rsidRPr="176A5496">
        <w:rPr>
          <w:i/>
          <w:iCs/>
          <w:sz w:val="24"/>
          <w:szCs w:val="24"/>
        </w:rPr>
        <w:t xml:space="preserve"> </w:t>
      </w:r>
      <w:proofErr w:type="spellStart"/>
      <w:r w:rsidRPr="176A5496">
        <w:rPr>
          <w:i/>
          <w:iCs/>
          <w:sz w:val="24"/>
          <w:szCs w:val="24"/>
        </w:rPr>
        <w:t>scleriae</w:t>
      </w:r>
      <w:proofErr w:type="spellEnd"/>
      <w:r w:rsidRPr="176A5496">
        <w:rPr>
          <w:i/>
          <w:iCs/>
          <w:sz w:val="24"/>
          <w:szCs w:val="24"/>
        </w:rPr>
        <w:t xml:space="preserve">.  </w:t>
      </w:r>
      <w:r w:rsidRPr="176A5496">
        <w:rPr>
          <w:sz w:val="24"/>
          <w:szCs w:val="24"/>
        </w:rPr>
        <w:t>A elevada diversidade das</w:t>
      </w:r>
      <w:r w:rsidRPr="00E964C2">
        <w:rPr>
          <w:sz w:val="24"/>
          <w:szCs w:val="24"/>
        </w:rPr>
        <w:t xml:space="preserve"> ferrugens</w:t>
      </w:r>
      <w:r w:rsidRPr="176A5496">
        <w:rPr>
          <w:sz w:val="24"/>
          <w:szCs w:val="24"/>
        </w:rPr>
        <w:t xml:space="preserve"> e suas relações com os hospedeiros reflete sua alta patogenicidade e ampla capacidade de infecção em diferentes grupos vegetais e partes das plantas. Essa versatilidade contribui tanto para processos de especiação quanto para </w:t>
      </w:r>
      <w:r w:rsidRPr="176A5496">
        <w:rPr>
          <w:sz w:val="24"/>
          <w:szCs w:val="24"/>
        </w:rPr>
        <w:lastRenderedPageBreak/>
        <w:t xml:space="preserve">o papel das ferrugens como agentes de </w:t>
      </w:r>
      <w:proofErr w:type="spellStart"/>
      <w:r w:rsidRPr="176A5496">
        <w:rPr>
          <w:sz w:val="24"/>
          <w:szCs w:val="24"/>
        </w:rPr>
        <w:t>biocontrole</w:t>
      </w:r>
      <w:proofErr w:type="spellEnd"/>
      <w:r w:rsidRPr="176A5496">
        <w:rPr>
          <w:sz w:val="24"/>
          <w:szCs w:val="24"/>
        </w:rPr>
        <w:t xml:space="preserve"> e moduladores da dinâmica das comunidades vegetais (</w:t>
      </w:r>
      <w:proofErr w:type="spellStart"/>
      <w:r w:rsidRPr="176A5496">
        <w:rPr>
          <w:sz w:val="24"/>
          <w:szCs w:val="24"/>
        </w:rPr>
        <w:t>Isaka</w:t>
      </w:r>
      <w:proofErr w:type="spellEnd"/>
      <w:r w:rsidRPr="176A5496">
        <w:rPr>
          <w:sz w:val="24"/>
          <w:szCs w:val="24"/>
        </w:rPr>
        <w:t xml:space="preserve">; </w:t>
      </w:r>
      <w:proofErr w:type="spellStart"/>
      <w:r w:rsidRPr="176A5496">
        <w:rPr>
          <w:sz w:val="24"/>
          <w:szCs w:val="24"/>
        </w:rPr>
        <w:t>Daranagama</w:t>
      </w:r>
      <w:proofErr w:type="spellEnd"/>
      <w:r w:rsidRPr="176A5496">
        <w:rPr>
          <w:sz w:val="24"/>
          <w:szCs w:val="24"/>
        </w:rPr>
        <w:t xml:space="preserve">, 2024). </w:t>
      </w:r>
    </w:p>
    <w:p w14:paraId="4EDEC422" w14:textId="583715DF" w:rsidR="34810083" w:rsidRDefault="34810083" w:rsidP="00E964C2">
      <w:pPr>
        <w:spacing w:line="360" w:lineRule="auto"/>
        <w:ind w:firstLine="720"/>
        <w:jc w:val="both"/>
        <w:rPr>
          <w:sz w:val="24"/>
          <w:szCs w:val="24"/>
        </w:rPr>
      </w:pPr>
      <w:r w:rsidRPr="34810083">
        <w:rPr>
          <w:sz w:val="24"/>
          <w:szCs w:val="24"/>
        </w:rPr>
        <w:t xml:space="preserve">Durante a identificação, foi registrada uma nova ocorrência para a Amazônia: </w:t>
      </w:r>
      <w:proofErr w:type="spellStart"/>
      <w:r w:rsidRPr="34810083">
        <w:rPr>
          <w:i/>
          <w:iCs/>
          <w:sz w:val="24"/>
          <w:szCs w:val="24"/>
        </w:rPr>
        <w:t>Prospodium</w:t>
      </w:r>
      <w:proofErr w:type="spellEnd"/>
      <w:r w:rsidRPr="34810083">
        <w:rPr>
          <w:i/>
          <w:iCs/>
          <w:sz w:val="24"/>
          <w:szCs w:val="24"/>
        </w:rPr>
        <w:t xml:space="preserve"> </w:t>
      </w:r>
      <w:proofErr w:type="spellStart"/>
      <w:r w:rsidRPr="34810083">
        <w:rPr>
          <w:i/>
          <w:iCs/>
          <w:sz w:val="24"/>
          <w:szCs w:val="24"/>
        </w:rPr>
        <w:t>palmatum</w:t>
      </w:r>
      <w:proofErr w:type="spellEnd"/>
      <w:r w:rsidRPr="34810083">
        <w:rPr>
          <w:i/>
          <w:iCs/>
          <w:sz w:val="24"/>
          <w:szCs w:val="24"/>
        </w:rPr>
        <w:t xml:space="preserve"> </w:t>
      </w:r>
      <w:r w:rsidRPr="34810083">
        <w:rPr>
          <w:sz w:val="24"/>
          <w:szCs w:val="24"/>
        </w:rPr>
        <w:t xml:space="preserve">H.S. </w:t>
      </w:r>
      <w:proofErr w:type="spellStart"/>
      <w:r w:rsidRPr="34810083">
        <w:rPr>
          <w:sz w:val="24"/>
          <w:szCs w:val="24"/>
        </w:rPr>
        <w:t>Jacks</w:t>
      </w:r>
      <w:proofErr w:type="spellEnd"/>
      <w:r w:rsidRPr="34810083">
        <w:rPr>
          <w:sz w:val="24"/>
          <w:szCs w:val="24"/>
        </w:rPr>
        <w:t xml:space="preserve">. &amp; </w:t>
      </w:r>
      <w:proofErr w:type="spellStart"/>
      <w:r w:rsidRPr="34810083">
        <w:rPr>
          <w:sz w:val="24"/>
          <w:szCs w:val="24"/>
        </w:rPr>
        <w:t>Holw</w:t>
      </w:r>
      <w:proofErr w:type="spellEnd"/>
      <w:r w:rsidRPr="34810083">
        <w:rPr>
          <w:sz w:val="24"/>
          <w:szCs w:val="24"/>
        </w:rPr>
        <w:t xml:space="preserve">., coletada sobre uma espécie de Ipê do gênero </w:t>
      </w:r>
      <w:proofErr w:type="spellStart"/>
      <w:r w:rsidRPr="34810083">
        <w:rPr>
          <w:i/>
          <w:iCs/>
          <w:sz w:val="24"/>
          <w:szCs w:val="24"/>
        </w:rPr>
        <w:t>Handroanthus</w:t>
      </w:r>
      <w:proofErr w:type="spellEnd"/>
      <w:r w:rsidRPr="34810083">
        <w:rPr>
          <w:sz w:val="24"/>
          <w:szCs w:val="24"/>
        </w:rPr>
        <w:t xml:space="preserve"> sp. (</w:t>
      </w:r>
      <w:proofErr w:type="spellStart"/>
      <w:r w:rsidRPr="34810083">
        <w:rPr>
          <w:sz w:val="24"/>
          <w:szCs w:val="24"/>
        </w:rPr>
        <w:t>Bignoniaceae</w:t>
      </w:r>
      <w:proofErr w:type="spellEnd"/>
      <w:r w:rsidRPr="34810083">
        <w:rPr>
          <w:sz w:val="24"/>
          <w:szCs w:val="24"/>
        </w:rPr>
        <w:t>) (Figura 4).</w:t>
      </w:r>
    </w:p>
    <w:p w14:paraId="31378D57" w14:textId="79B4B73B" w:rsidR="3459F7DF" w:rsidRDefault="64EEDB4D" w:rsidP="00E964C2">
      <w:pPr>
        <w:spacing w:before="240" w:after="240" w:line="360" w:lineRule="auto"/>
        <w:jc w:val="both"/>
      </w:pPr>
      <w:r w:rsidRPr="64EEDB4D">
        <w:rPr>
          <w:b/>
          <w:bCs/>
        </w:rPr>
        <w:t xml:space="preserve">Figura 4. </w:t>
      </w:r>
      <w:r>
        <w:t>Prancha científica de</w:t>
      </w:r>
      <w:r w:rsidRPr="64EEDB4D">
        <w:rPr>
          <w:i/>
          <w:iCs/>
        </w:rPr>
        <w:t xml:space="preserve"> </w:t>
      </w:r>
      <w:proofErr w:type="spellStart"/>
      <w:r w:rsidRPr="64EEDB4D">
        <w:rPr>
          <w:i/>
          <w:iCs/>
        </w:rPr>
        <w:t>Prospodium</w:t>
      </w:r>
      <w:proofErr w:type="spellEnd"/>
      <w:r w:rsidRPr="64EEDB4D">
        <w:rPr>
          <w:i/>
          <w:iCs/>
        </w:rPr>
        <w:t xml:space="preserve"> </w:t>
      </w:r>
      <w:proofErr w:type="spellStart"/>
      <w:r w:rsidRPr="64EEDB4D">
        <w:rPr>
          <w:i/>
          <w:iCs/>
        </w:rPr>
        <w:t>palmatum</w:t>
      </w:r>
      <w:proofErr w:type="spellEnd"/>
      <w:r w:rsidRPr="64EEDB4D">
        <w:rPr>
          <w:i/>
          <w:iCs/>
        </w:rPr>
        <w:t xml:space="preserve"> </w:t>
      </w:r>
      <w:r>
        <w:t xml:space="preserve">H.S. </w:t>
      </w:r>
      <w:proofErr w:type="spellStart"/>
      <w:r>
        <w:t>Jacks</w:t>
      </w:r>
      <w:proofErr w:type="spellEnd"/>
      <w:r>
        <w:t xml:space="preserve">. &amp; </w:t>
      </w:r>
      <w:proofErr w:type="spellStart"/>
      <w:r>
        <w:t>Holw</w:t>
      </w:r>
      <w:proofErr w:type="spellEnd"/>
      <w:r>
        <w:t>.</w:t>
      </w:r>
      <w:r w:rsidRPr="64EEDB4D">
        <w:rPr>
          <w:b/>
          <w:bCs/>
        </w:rPr>
        <w:t xml:space="preserve"> A</w:t>
      </w:r>
      <w:r>
        <w:t>. Folha de</w:t>
      </w:r>
      <w:r w:rsidRPr="64EEDB4D">
        <w:rPr>
          <w:i/>
          <w:iCs/>
        </w:rPr>
        <w:t xml:space="preserve"> </w:t>
      </w:r>
      <w:proofErr w:type="spellStart"/>
      <w:r w:rsidRPr="64EEDB4D">
        <w:rPr>
          <w:i/>
          <w:iCs/>
        </w:rPr>
        <w:t>Handroantus</w:t>
      </w:r>
      <w:proofErr w:type="spellEnd"/>
      <w:r>
        <w:t xml:space="preserve"> sp. parasitada pelo fungo </w:t>
      </w:r>
      <w:proofErr w:type="spellStart"/>
      <w:proofErr w:type="gramStart"/>
      <w:r w:rsidRPr="64EEDB4D">
        <w:rPr>
          <w:i/>
          <w:iCs/>
        </w:rPr>
        <w:t>P.palmatum</w:t>
      </w:r>
      <w:proofErr w:type="spellEnd"/>
      <w:proofErr w:type="gramEnd"/>
      <w:r>
        <w:t xml:space="preserve">. </w:t>
      </w:r>
      <w:r w:rsidRPr="64EEDB4D">
        <w:rPr>
          <w:b/>
          <w:bCs/>
        </w:rPr>
        <w:t>B</w:t>
      </w:r>
      <w:r>
        <w:t xml:space="preserve">. Sintomas de </w:t>
      </w:r>
      <w:r w:rsidRPr="64EEDB4D">
        <w:rPr>
          <w:i/>
          <w:iCs/>
        </w:rPr>
        <w:t xml:space="preserve">P. </w:t>
      </w:r>
      <w:proofErr w:type="spellStart"/>
      <w:r w:rsidRPr="64EEDB4D">
        <w:rPr>
          <w:i/>
          <w:iCs/>
        </w:rPr>
        <w:t>palmatum</w:t>
      </w:r>
      <w:proofErr w:type="spellEnd"/>
      <w:r>
        <w:t xml:space="preserve"> encontrados na folha do hospedeiro. </w:t>
      </w:r>
      <w:r w:rsidRPr="64EEDB4D">
        <w:rPr>
          <w:b/>
          <w:bCs/>
        </w:rPr>
        <w:t>C</w:t>
      </w:r>
      <w:r>
        <w:t xml:space="preserve">. </w:t>
      </w:r>
      <w:proofErr w:type="spellStart"/>
      <w:r>
        <w:t>Urediniósporos</w:t>
      </w:r>
      <w:proofErr w:type="spellEnd"/>
      <w:r>
        <w:t xml:space="preserve"> e </w:t>
      </w:r>
      <w:proofErr w:type="spellStart"/>
      <w:r>
        <w:t>Teliósporos</w:t>
      </w:r>
      <w:proofErr w:type="spellEnd"/>
      <w:r>
        <w:t xml:space="preserve"> em vista mediana. </w:t>
      </w:r>
      <w:r w:rsidRPr="64EEDB4D">
        <w:rPr>
          <w:b/>
          <w:bCs/>
        </w:rPr>
        <w:t>D-E.</w:t>
      </w:r>
      <w:r>
        <w:t xml:space="preserve"> </w:t>
      </w:r>
      <w:proofErr w:type="spellStart"/>
      <w:r>
        <w:t>Teliósporo</w:t>
      </w:r>
      <w:proofErr w:type="spellEnd"/>
      <w:r>
        <w:t xml:space="preserve"> em foco mediano e superficial.</w:t>
      </w:r>
      <w:r w:rsidRPr="64EEDB4D">
        <w:rPr>
          <w:b/>
          <w:bCs/>
        </w:rPr>
        <w:t xml:space="preserve"> F</w:t>
      </w:r>
      <w:r>
        <w:t xml:space="preserve">. </w:t>
      </w:r>
      <w:proofErr w:type="spellStart"/>
      <w:r>
        <w:t>Mesósporo</w:t>
      </w:r>
      <w:proofErr w:type="spellEnd"/>
      <w:r>
        <w:t xml:space="preserve"> em vista mediana, com um </w:t>
      </w:r>
      <w:proofErr w:type="spellStart"/>
      <w:r>
        <w:t>Urediniósporo</w:t>
      </w:r>
      <w:proofErr w:type="spellEnd"/>
      <w:r>
        <w:t xml:space="preserve"> ao lado. </w:t>
      </w:r>
      <w:r w:rsidRPr="64EEDB4D">
        <w:rPr>
          <w:b/>
          <w:bCs/>
        </w:rPr>
        <w:t>G</w:t>
      </w:r>
      <w:r>
        <w:t xml:space="preserve">. </w:t>
      </w:r>
      <w:proofErr w:type="spellStart"/>
      <w:r>
        <w:t>Urediniósporo</w:t>
      </w:r>
      <w:proofErr w:type="spellEnd"/>
      <w:r>
        <w:t xml:space="preserve"> em vista mediana.</w:t>
      </w:r>
    </w:p>
    <w:p w14:paraId="400F0608" w14:textId="2C51452E" w:rsidR="34D30320" w:rsidRDefault="00E964C2" w:rsidP="00E964C2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spacing w:line="432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4D7CA9B" wp14:editId="633C59B1">
            <wp:extent cx="4136963" cy="4764273"/>
            <wp:effectExtent l="0" t="0" r="0" b="0"/>
            <wp:docPr id="16277489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4891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210" cy="478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0F0CE" w14:textId="28EFB9A8" w:rsidR="3459F7DF" w:rsidRDefault="34566920" w:rsidP="00E964C2">
      <w:pPr>
        <w:widowControl/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spacing w:line="360" w:lineRule="auto"/>
        <w:rPr>
          <w:highlight w:val="white"/>
        </w:rPr>
      </w:pPr>
      <w:r w:rsidRPr="34566920">
        <w:rPr>
          <w:highlight w:val="white"/>
        </w:rPr>
        <w:t>Fonte: Elaboração dos Autores, 2025.</w:t>
      </w:r>
    </w:p>
    <w:p w14:paraId="6EF26A43" w14:textId="6DD0F077" w:rsidR="003949CE" w:rsidRDefault="07334DB1" w:rsidP="00734051">
      <w:pPr>
        <w:widowControl/>
        <w:spacing w:after="240" w:line="259" w:lineRule="auto"/>
        <w:jc w:val="both"/>
        <w:rPr>
          <w:color w:val="FF0000"/>
          <w:sz w:val="24"/>
          <w:szCs w:val="24"/>
        </w:rPr>
      </w:pPr>
      <w:r w:rsidRPr="07334DB1">
        <w:rPr>
          <w:b/>
          <w:bCs/>
          <w:sz w:val="24"/>
          <w:szCs w:val="24"/>
        </w:rPr>
        <w:lastRenderedPageBreak/>
        <w:t xml:space="preserve">4. CONCLUSÃO </w:t>
      </w:r>
    </w:p>
    <w:p w14:paraId="099846CA" w14:textId="20AC05D8" w:rsidR="07334DB1" w:rsidRDefault="07334DB1" w:rsidP="00E964C2">
      <w:pPr>
        <w:widowControl/>
        <w:tabs>
          <w:tab w:val="left" w:pos="1290"/>
        </w:tabs>
        <w:spacing w:after="160" w:line="360" w:lineRule="auto"/>
        <w:ind w:firstLine="720"/>
        <w:jc w:val="both"/>
        <w:rPr>
          <w:sz w:val="24"/>
          <w:szCs w:val="24"/>
        </w:rPr>
      </w:pPr>
      <w:r w:rsidRPr="07334DB1">
        <w:rPr>
          <w:sz w:val="24"/>
          <w:szCs w:val="24"/>
        </w:rPr>
        <w:t xml:space="preserve">O presente trabalho apresenta significativa relevância para o estudo de </w:t>
      </w:r>
      <w:proofErr w:type="spellStart"/>
      <w:r w:rsidRPr="07334DB1">
        <w:rPr>
          <w:sz w:val="24"/>
          <w:szCs w:val="24"/>
        </w:rPr>
        <w:t>Pucciniales</w:t>
      </w:r>
      <w:proofErr w:type="spellEnd"/>
      <w:r w:rsidRPr="07334DB1">
        <w:rPr>
          <w:sz w:val="24"/>
          <w:szCs w:val="24"/>
        </w:rPr>
        <w:t xml:space="preserve">, pois foi um primeiro passo fundamental para o registro da diversidade dessa funga em comunidades tradicionais de Mosqueiro - Mari-Mari e Caruaru - localizadas no Pará e inseridas na região Amazônica brasileira.  Entre as espécies identificadas constatou-se uma nova ocorrência para a Amazônia o que evidencia a necessidade de continuidade nos trabalhos de campo e taxonômicos em áreas poucos exploradas.  </w:t>
      </w:r>
    </w:p>
    <w:p w14:paraId="5D816746" w14:textId="2F141F9F" w:rsidR="003949CE" w:rsidRPr="00492A51" w:rsidRDefault="176A5496" w:rsidP="00734051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  <w:lang w:val="en-US"/>
        </w:rPr>
      </w:pPr>
      <w:r w:rsidRPr="00492A51">
        <w:rPr>
          <w:b/>
          <w:bCs/>
          <w:sz w:val="24"/>
          <w:szCs w:val="24"/>
          <w:lang w:val="en-US"/>
        </w:rPr>
        <w:t xml:space="preserve">REFERÊNCIAS </w:t>
      </w:r>
    </w:p>
    <w:p w14:paraId="136245E6" w14:textId="5CD55D37" w:rsidR="176A5496" w:rsidRDefault="176A5496" w:rsidP="176A5496">
      <w:pPr>
        <w:pStyle w:val="NormalWeb"/>
        <w:jc w:val="both"/>
        <w:rPr>
          <w:lang w:val="en-US"/>
        </w:rPr>
      </w:pPr>
      <w:r w:rsidRPr="176A5496">
        <w:rPr>
          <w:lang w:val="en-US"/>
        </w:rPr>
        <w:t xml:space="preserve">BERNDT, R. First catalogue of the rust fungi of French Guiana, northern South America. </w:t>
      </w:r>
      <w:r w:rsidRPr="176A5496">
        <w:rPr>
          <w:rStyle w:val="nfase"/>
          <w:lang w:val="en-US"/>
        </w:rPr>
        <w:t>Mycological Progress</w:t>
      </w:r>
      <w:r w:rsidRPr="176A5496">
        <w:rPr>
          <w:lang w:val="en-US"/>
        </w:rPr>
        <w:t>, v. 12, n. 2, p. 193–211, 2013. DOI:</w:t>
      </w:r>
      <w:r w:rsidR="00734051">
        <w:rPr>
          <w:lang w:val="en-US"/>
        </w:rPr>
        <w:t xml:space="preserve"> </w:t>
      </w:r>
      <w:r w:rsidR="00734051">
        <w:rPr>
          <w:rStyle w:val="normaltextrun"/>
          <w:color w:val="000000"/>
          <w:shd w:val="clear" w:color="auto" w:fill="FFFFFF"/>
          <w:lang w:val="en-US"/>
        </w:rPr>
        <w:t> </w:t>
      </w:r>
      <w:hyperlink r:id="rId14" w:tgtFrame="_blank" w:history="1">
        <w:r w:rsidR="00734051">
          <w:rPr>
            <w:rStyle w:val="normaltextrun"/>
            <w:color w:val="0000FF"/>
            <w:u w:val="single"/>
            <w:shd w:val="clear" w:color="auto" w:fill="FFFFFF"/>
            <w:lang w:val="en-US"/>
          </w:rPr>
          <w:t>https://doi.org/10.1007/s11557-012-0826-x</w:t>
        </w:r>
      </w:hyperlink>
      <w:r w:rsidR="00734051">
        <w:rPr>
          <w:rStyle w:val="normaltextrun"/>
          <w:color w:val="000000"/>
          <w:shd w:val="clear" w:color="auto" w:fill="FFFFFF"/>
          <w:lang w:val="en-US"/>
        </w:rPr>
        <w:t>.</w:t>
      </w:r>
    </w:p>
    <w:p w14:paraId="4DAECE29" w14:textId="76E1B59D" w:rsidR="176A5496" w:rsidRDefault="176A5496" w:rsidP="176A5496">
      <w:pPr>
        <w:pStyle w:val="NormalWeb"/>
        <w:jc w:val="both"/>
      </w:pPr>
      <w:r w:rsidRPr="176A5496">
        <w:rPr>
          <w:lang w:val="en-US"/>
        </w:rPr>
        <w:t xml:space="preserve">CUMMINS, G. B.; HIRATSUKA, Y. </w:t>
      </w:r>
      <w:r w:rsidRPr="176A5496">
        <w:rPr>
          <w:rStyle w:val="nfase"/>
          <w:lang w:val="en-US"/>
        </w:rPr>
        <w:t>Illustrated genera of rust fungi</w:t>
      </w:r>
      <w:r w:rsidRPr="176A5496">
        <w:rPr>
          <w:lang w:val="en-US"/>
        </w:rPr>
        <w:t xml:space="preserve">. 3. ed. St. Paul: The American </w:t>
      </w:r>
      <w:proofErr w:type="spellStart"/>
      <w:r w:rsidRPr="176A5496">
        <w:rPr>
          <w:lang w:val="en-US"/>
        </w:rPr>
        <w:t>Phytopathological</w:t>
      </w:r>
      <w:proofErr w:type="spellEnd"/>
      <w:r w:rsidRPr="176A5496">
        <w:rPr>
          <w:lang w:val="en-US"/>
        </w:rPr>
        <w:t xml:space="preserve"> Society, 2003. </w:t>
      </w:r>
      <w:r>
        <w:t>225 p.</w:t>
      </w:r>
    </w:p>
    <w:p w14:paraId="7A1646AB" w14:textId="7B7EDC1A" w:rsidR="176A5496" w:rsidRDefault="176A5496" w:rsidP="176A5496">
      <w:pPr>
        <w:pStyle w:val="NormalWeb"/>
        <w:jc w:val="both"/>
      </w:pPr>
      <w:r>
        <w:t>FRANÇA, I. F.; SOTÃO, H. M. P.; COSTA-NETO, S. V. Fungos causadores de ferrugens (</w:t>
      </w:r>
      <w:proofErr w:type="spellStart"/>
      <w:r>
        <w:t>Uredinales</w:t>
      </w:r>
      <w:proofErr w:type="spellEnd"/>
      <w:r>
        <w:t xml:space="preserve">) da Reserva Biológica do Lago </w:t>
      </w:r>
      <w:proofErr w:type="spellStart"/>
      <w:r>
        <w:t>Piratuba</w:t>
      </w:r>
      <w:proofErr w:type="spellEnd"/>
      <w:r>
        <w:t xml:space="preserve">, Amapá, Brasil. </w:t>
      </w:r>
      <w:proofErr w:type="spellStart"/>
      <w:r w:rsidRPr="176A5496">
        <w:rPr>
          <w:rStyle w:val="nfase"/>
        </w:rPr>
        <w:t>Rodriguésia</w:t>
      </w:r>
      <w:proofErr w:type="spellEnd"/>
      <w:r>
        <w:t xml:space="preserve">, Rio de Janeiro, v. 61, n. 2, p. 211–221, 2010. Disponível em: </w:t>
      </w:r>
      <w:hyperlink r:id="rId15">
        <w:r w:rsidRPr="176A5496">
          <w:rPr>
            <w:rStyle w:val="Hyperlink"/>
          </w:rPr>
          <w:t>https://www.scielo.br/j/rod/a/Y9vVS88XDhgJx65KLmSHR5k/?lang=pt</w:t>
        </w:r>
      </w:hyperlink>
      <w:r>
        <w:t>. Acesso em: 7 out. 2025.</w:t>
      </w:r>
    </w:p>
    <w:p w14:paraId="63785B5C" w14:textId="493C04F7" w:rsidR="176A5496" w:rsidRDefault="176A5496" w:rsidP="176A5496">
      <w:pPr>
        <w:pStyle w:val="NormalWeb"/>
        <w:jc w:val="both"/>
        <w:rPr>
          <w:lang w:val="en-US"/>
        </w:rPr>
      </w:pPr>
      <w:r>
        <w:t xml:space="preserve">GAUTAM, S.; HENS, L. Pandemia de SARS-CoV-2 na Índia: o que podemos esperar? </w:t>
      </w:r>
      <w:r w:rsidRPr="176A5496">
        <w:rPr>
          <w:rStyle w:val="nfase"/>
          <w:lang w:val="en-US"/>
        </w:rPr>
        <w:t>Environment, Development and Sustainability</w:t>
      </w:r>
      <w:r w:rsidRPr="176A5496">
        <w:rPr>
          <w:lang w:val="en-US"/>
        </w:rPr>
        <w:t xml:space="preserve">, v. 22, p. 3867–3869, 2020. </w:t>
      </w:r>
      <w:proofErr w:type="spellStart"/>
      <w:r w:rsidRPr="176A5496">
        <w:rPr>
          <w:lang w:val="en-US"/>
        </w:rPr>
        <w:t>Disponível</w:t>
      </w:r>
      <w:proofErr w:type="spellEnd"/>
      <w:r w:rsidRPr="176A5496">
        <w:rPr>
          <w:lang w:val="en-US"/>
        </w:rPr>
        <w:t xml:space="preserve"> </w:t>
      </w:r>
      <w:proofErr w:type="spellStart"/>
      <w:r w:rsidRPr="176A5496">
        <w:rPr>
          <w:lang w:val="en-US"/>
        </w:rPr>
        <w:t>em</w:t>
      </w:r>
      <w:proofErr w:type="spellEnd"/>
      <w:r w:rsidRPr="176A5496">
        <w:rPr>
          <w:lang w:val="en-US"/>
        </w:rPr>
        <w:t xml:space="preserve">: </w:t>
      </w:r>
      <w:hyperlink r:id="rId16">
        <w:r w:rsidRPr="176A5496">
          <w:rPr>
            <w:rStyle w:val="Hyperlink"/>
            <w:lang w:val="en-US"/>
          </w:rPr>
          <w:t>https://doi.org/10.1007/s10668-020-00739-5</w:t>
        </w:r>
      </w:hyperlink>
      <w:r w:rsidRPr="176A5496">
        <w:rPr>
          <w:lang w:val="en-US"/>
        </w:rPr>
        <w:t xml:space="preserve">. </w:t>
      </w:r>
      <w:proofErr w:type="spellStart"/>
      <w:r w:rsidRPr="176A5496">
        <w:rPr>
          <w:lang w:val="en-US"/>
        </w:rPr>
        <w:t>Acesso</w:t>
      </w:r>
      <w:proofErr w:type="spellEnd"/>
      <w:r w:rsidRPr="176A5496">
        <w:rPr>
          <w:lang w:val="en-US"/>
        </w:rPr>
        <w:t xml:space="preserve"> </w:t>
      </w:r>
      <w:proofErr w:type="spellStart"/>
      <w:r w:rsidRPr="176A5496">
        <w:rPr>
          <w:lang w:val="en-US"/>
        </w:rPr>
        <w:t>em</w:t>
      </w:r>
      <w:proofErr w:type="spellEnd"/>
      <w:r w:rsidRPr="176A5496">
        <w:rPr>
          <w:lang w:val="en-US"/>
        </w:rPr>
        <w:t>: 21 out. 2025.</w:t>
      </w:r>
    </w:p>
    <w:p w14:paraId="7A93A524" w14:textId="292A2E1E" w:rsidR="176A5496" w:rsidRDefault="176A5496" w:rsidP="176A5496">
      <w:pPr>
        <w:pStyle w:val="NormalWeb"/>
        <w:jc w:val="both"/>
      </w:pPr>
      <w:r w:rsidRPr="176A5496">
        <w:rPr>
          <w:lang w:val="en-US"/>
        </w:rPr>
        <w:t xml:space="preserve">HENNEN, J. F. </w:t>
      </w:r>
      <w:r w:rsidRPr="176A5496">
        <w:rPr>
          <w:i/>
          <w:iCs/>
          <w:lang w:val="en-US"/>
        </w:rPr>
        <w:t>et al</w:t>
      </w:r>
      <w:r w:rsidRPr="176A5496">
        <w:rPr>
          <w:lang w:val="en-US"/>
        </w:rPr>
        <w:t xml:space="preserve">. </w:t>
      </w:r>
      <w:r w:rsidRPr="176A5496">
        <w:rPr>
          <w:rStyle w:val="nfase"/>
          <w:lang w:val="en-US"/>
        </w:rPr>
        <w:t>Catalogue of plant rust (Uredinales) of Brazil</w:t>
      </w:r>
      <w:r w:rsidRPr="176A5496">
        <w:rPr>
          <w:lang w:val="en-US"/>
        </w:rPr>
        <w:t xml:space="preserve">. </w:t>
      </w:r>
      <w:r w:rsidRPr="00492A51">
        <w:t xml:space="preserve">2005. </w:t>
      </w:r>
      <w:r>
        <w:t xml:space="preserve">Disponível em: </w:t>
      </w:r>
      <w:hyperlink r:id="rId17">
        <w:r w:rsidRPr="176A5496">
          <w:rPr>
            <w:rStyle w:val="Hyperlink"/>
          </w:rPr>
          <w:t>http://www.jbrj.gov.br/sites/all/themes/corporateclean/content/publicacoes/catalogue.pdf</w:t>
        </w:r>
      </w:hyperlink>
      <w:r>
        <w:t>. Acesso em: 20 ago. 2022.</w:t>
      </w:r>
    </w:p>
    <w:p w14:paraId="3B6379E8" w14:textId="5D38D900" w:rsidR="176A5496" w:rsidRDefault="176A5496" w:rsidP="176A5496">
      <w:pPr>
        <w:pStyle w:val="NormalWeb"/>
        <w:jc w:val="both"/>
        <w:rPr>
          <w:lang w:val="en-US"/>
        </w:rPr>
      </w:pPr>
      <w:r>
        <w:t xml:space="preserve">INDEX FUNGORUM. </w:t>
      </w:r>
      <w:r w:rsidRPr="176A5496">
        <w:rPr>
          <w:rStyle w:val="nfase"/>
        </w:rPr>
        <w:t xml:space="preserve">Index </w:t>
      </w:r>
      <w:proofErr w:type="spellStart"/>
      <w:r w:rsidRPr="176A5496">
        <w:rPr>
          <w:rStyle w:val="nfase"/>
        </w:rPr>
        <w:t>Fungorum</w:t>
      </w:r>
      <w:proofErr w:type="spellEnd"/>
      <w:r w:rsidRPr="176A5496">
        <w:rPr>
          <w:rStyle w:val="nfase"/>
        </w:rPr>
        <w:t xml:space="preserve">: global </w:t>
      </w:r>
      <w:proofErr w:type="spellStart"/>
      <w:r w:rsidRPr="176A5496">
        <w:rPr>
          <w:rStyle w:val="nfase"/>
        </w:rPr>
        <w:t>fungal</w:t>
      </w:r>
      <w:proofErr w:type="spellEnd"/>
      <w:r w:rsidRPr="176A5496">
        <w:rPr>
          <w:rStyle w:val="nfase"/>
        </w:rPr>
        <w:t xml:space="preserve"> </w:t>
      </w:r>
      <w:proofErr w:type="spellStart"/>
      <w:r w:rsidRPr="176A5496">
        <w:rPr>
          <w:rStyle w:val="nfase"/>
        </w:rPr>
        <w:t>names</w:t>
      </w:r>
      <w:proofErr w:type="spellEnd"/>
      <w:r w:rsidRPr="176A5496">
        <w:rPr>
          <w:rStyle w:val="nfase"/>
        </w:rPr>
        <w:t xml:space="preserve"> </w:t>
      </w:r>
      <w:proofErr w:type="spellStart"/>
      <w:r w:rsidRPr="176A5496">
        <w:rPr>
          <w:rStyle w:val="nfase"/>
        </w:rPr>
        <w:t>database</w:t>
      </w:r>
      <w:proofErr w:type="spellEnd"/>
      <w:r>
        <w:t xml:space="preserve">. Disponível em: </w:t>
      </w:r>
      <w:hyperlink r:id="rId18">
        <w:r w:rsidRPr="176A5496">
          <w:rPr>
            <w:rStyle w:val="Hyperlink"/>
          </w:rPr>
          <w:t>https://www.indexfungorum.org</w:t>
        </w:r>
      </w:hyperlink>
      <w:r>
        <w:t xml:space="preserve">. </w:t>
      </w:r>
      <w:proofErr w:type="spellStart"/>
      <w:r w:rsidRPr="176A5496">
        <w:rPr>
          <w:lang w:val="en-US"/>
        </w:rPr>
        <w:t>Acesso</w:t>
      </w:r>
      <w:proofErr w:type="spellEnd"/>
      <w:r w:rsidRPr="176A5496">
        <w:rPr>
          <w:lang w:val="en-US"/>
        </w:rPr>
        <w:t xml:space="preserve"> </w:t>
      </w:r>
      <w:proofErr w:type="spellStart"/>
      <w:r w:rsidRPr="176A5496">
        <w:rPr>
          <w:lang w:val="en-US"/>
        </w:rPr>
        <w:t>em</w:t>
      </w:r>
      <w:proofErr w:type="spellEnd"/>
      <w:r w:rsidRPr="176A5496">
        <w:rPr>
          <w:lang w:val="en-US"/>
        </w:rPr>
        <w:t>: 27 jun. 2025.</w:t>
      </w:r>
    </w:p>
    <w:p w14:paraId="6F38E56E" w14:textId="77777777" w:rsidR="00F45788" w:rsidRDefault="01BD0460" w:rsidP="01BD0460">
      <w:pPr>
        <w:pStyle w:val="NormalWeb"/>
        <w:jc w:val="both"/>
      </w:pPr>
      <w:r w:rsidRPr="01BD0460">
        <w:rPr>
          <w:lang w:val="en-US"/>
        </w:rPr>
        <w:t xml:space="preserve">ISANKA, U. S. R.; DARANAGAMA, D. A. </w:t>
      </w:r>
      <w:proofErr w:type="spellStart"/>
      <w:r w:rsidRPr="01BD0460">
        <w:rPr>
          <w:lang w:val="en-US"/>
        </w:rPr>
        <w:t>Pucciniales</w:t>
      </w:r>
      <w:proofErr w:type="spellEnd"/>
      <w:r w:rsidRPr="01BD0460">
        <w:rPr>
          <w:lang w:val="en-US"/>
        </w:rPr>
        <w:t xml:space="preserve"> (Rust fungi): diversity, host interaction, and evolutionary insights. </w:t>
      </w:r>
      <w:r w:rsidRPr="01BD0460">
        <w:rPr>
          <w:rStyle w:val="nfase"/>
          <w:lang w:val="en-US"/>
        </w:rPr>
        <w:t>Journal of Desk Research Review and Analysis</w:t>
      </w:r>
      <w:r w:rsidRPr="01BD0460">
        <w:rPr>
          <w:lang w:val="en-US"/>
        </w:rPr>
        <w:t xml:space="preserve">, v. 2, n. 2, p. 133–144, 2024. </w:t>
      </w:r>
      <w:r>
        <w:t>DOI: https://doi.org/10.4038/jdrra.v2i2.46.</w:t>
      </w:r>
    </w:p>
    <w:p w14:paraId="43509784" w14:textId="749A47AD" w:rsidR="176A5496" w:rsidRDefault="176A5496" w:rsidP="176A5496">
      <w:pPr>
        <w:pStyle w:val="NormalWeb"/>
        <w:jc w:val="both"/>
      </w:pPr>
      <w:r>
        <w:t xml:space="preserve">LISBOA, M. </w:t>
      </w:r>
      <w:proofErr w:type="spellStart"/>
      <w:r>
        <w:t>da</w:t>
      </w:r>
      <w:proofErr w:type="spellEnd"/>
      <w:r>
        <w:t xml:space="preserve"> S. </w:t>
      </w:r>
      <w:r w:rsidRPr="176A5496">
        <w:rPr>
          <w:i/>
          <w:iCs/>
        </w:rPr>
        <w:t>et al.</w:t>
      </w:r>
      <w:r>
        <w:t xml:space="preserve"> </w:t>
      </w:r>
      <w:proofErr w:type="spellStart"/>
      <w:r>
        <w:t>Microempreendedorismo</w:t>
      </w:r>
      <w:proofErr w:type="spellEnd"/>
      <w:r>
        <w:t xml:space="preserve"> rural: estudo de caso do programa Amazônia Florescer Rural, na ilha de Mosqueiro, Belém – Pará. 2020. Disponível em: </w:t>
      </w:r>
      <w:hyperlink r:id="rId19">
        <w:r w:rsidRPr="176A5496">
          <w:rPr>
            <w:rStyle w:val="Hyperlink"/>
          </w:rPr>
          <w:t>https://doi.org/10.31692/2526-7701.vcointerpdvagro.0332</w:t>
        </w:r>
      </w:hyperlink>
      <w:r>
        <w:t>. Acesso em: 23 nov. 2025.</w:t>
      </w:r>
    </w:p>
    <w:p w14:paraId="778037C5" w14:textId="420CEDF3" w:rsidR="176A5496" w:rsidRPr="00492A51" w:rsidRDefault="176A5496" w:rsidP="176A5496">
      <w:pPr>
        <w:pStyle w:val="NormalWeb"/>
        <w:jc w:val="both"/>
        <w:rPr>
          <w:lang w:val="en-US"/>
        </w:rPr>
      </w:pPr>
      <w:r w:rsidRPr="00492A51">
        <w:lastRenderedPageBreak/>
        <w:t xml:space="preserve">MAIA, L. C. </w:t>
      </w:r>
      <w:r w:rsidRPr="00492A51">
        <w:rPr>
          <w:i/>
          <w:iCs/>
        </w:rPr>
        <w:t>et al</w:t>
      </w:r>
      <w:r w:rsidRPr="00492A51">
        <w:t xml:space="preserve">. </w:t>
      </w:r>
      <w:r w:rsidRPr="00E964C2">
        <w:rPr>
          <w:lang w:val="en-US"/>
        </w:rPr>
        <w:t xml:space="preserve">Diversity of Brazilian fungi. </w:t>
      </w:r>
      <w:proofErr w:type="spellStart"/>
      <w:r w:rsidRPr="00492A51">
        <w:rPr>
          <w:rStyle w:val="nfase"/>
          <w:lang w:val="en-US"/>
        </w:rPr>
        <w:t>Rodriguésia</w:t>
      </w:r>
      <w:proofErr w:type="spellEnd"/>
      <w:r w:rsidRPr="00492A51">
        <w:rPr>
          <w:lang w:val="en-US"/>
        </w:rPr>
        <w:t>, v. 66, p. 1033–1045, 2015.</w:t>
      </w:r>
    </w:p>
    <w:p w14:paraId="729A9A30" w14:textId="4A9615AC" w:rsidR="176A5496" w:rsidRDefault="176A5496" w:rsidP="176A5496">
      <w:pPr>
        <w:pStyle w:val="NormalWeb"/>
        <w:jc w:val="both"/>
      </w:pPr>
      <w:r w:rsidRPr="00492A51">
        <w:rPr>
          <w:lang w:val="en-US"/>
        </w:rPr>
        <w:t xml:space="preserve">MARTINS JUNIOR, A. D. S. </w:t>
      </w:r>
      <w:r w:rsidRPr="00492A51">
        <w:rPr>
          <w:i/>
          <w:iCs/>
          <w:lang w:val="en-US"/>
        </w:rPr>
        <w:t>et al</w:t>
      </w:r>
      <w:r w:rsidRPr="00492A51">
        <w:rPr>
          <w:lang w:val="en-US"/>
        </w:rPr>
        <w:t xml:space="preserve">. </w:t>
      </w:r>
      <w:r w:rsidRPr="176A5496">
        <w:rPr>
          <w:lang w:val="en-US"/>
        </w:rPr>
        <w:t xml:space="preserve">Contributions to the knowledge and distribution of </w:t>
      </w:r>
      <w:proofErr w:type="spellStart"/>
      <w:r w:rsidRPr="176A5496">
        <w:rPr>
          <w:lang w:val="en-US"/>
        </w:rPr>
        <w:t>Pucciniales</w:t>
      </w:r>
      <w:proofErr w:type="spellEnd"/>
      <w:r w:rsidRPr="176A5496">
        <w:rPr>
          <w:lang w:val="en-US"/>
        </w:rPr>
        <w:t xml:space="preserve"> (rust fungi) in three Brazilian biomes. </w:t>
      </w:r>
      <w:proofErr w:type="spellStart"/>
      <w:r w:rsidRPr="176A5496">
        <w:rPr>
          <w:rStyle w:val="nfase"/>
        </w:rPr>
        <w:t>Phytotaxa</w:t>
      </w:r>
      <w:proofErr w:type="spellEnd"/>
      <w:r>
        <w:t xml:space="preserve">, v. 577, n. 1, p. 79–117, 2022. Disponível em: </w:t>
      </w:r>
      <w:hyperlink r:id="rId20">
        <w:r w:rsidRPr="176A5496">
          <w:rPr>
            <w:rStyle w:val="Hyperlink"/>
          </w:rPr>
          <w:t>https://phytotaxa.mapress.com/pt/article/view/phytotaxa.577.1.4</w:t>
        </w:r>
      </w:hyperlink>
      <w:r>
        <w:t>. Acesso em: 7 out. 2025.</w:t>
      </w:r>
    </w:p>
    <w:p w14:paraId="728A5843" w14:textId="1E9F03B9" w:rsidR="176A5496" w:rsidRDefault="176A5496" w:rsidP="176A5496">
      <w:pPr>
        <w:pStyle w:val="NormalWeb"/>
        <w:jc w:val="both"/>
      </w:pPr>
      <w:r>
        <w:t xml:space="preserve">SALAZAR, M. Y.; CARVALHO, A. A. J. </w:t>
      </w:r>
      <w:proofErr w:type="spellStart"/>
      <w:r w:rsidRPr="176A5496">
        <w:rPr>
          <w:rStyle w:val="nfase"/>
        </w:rPr>
        <w:t>Pucciniales</w:t>
      </w:r>
      <w:proofErr w:type="spellEnd"/>
      <w:r w:rsidRPr="176A5496">
        <w:rPr>
          <w:rStyle w:val="nfase"/>
        </w:rPr>
        <w:t xml:space="preserve"> do Parque Nacional do Itatiaia</w:t>
      </w:r>
      <w:r>
        <w:t xml:space="preserve">. Boletim n. 22. Ministério do Meio Ambiente; </w:t>
      </w:r>
      <w:proofErr w:type="spellStart"/>
      <w:r>
        <w:t>ICMBio</w:t>
      </w:r>
      <w:proofErr w:type="spellEnd"/>
      <w:r>
        <w:t>; Parque Nacional do Itatiaia, 2016. 21 p.</w:t>
      </w:r>
    </w:p>
    <w:p w14:paraId="65872EAA" w14:textId="38921A18" w:rsidR="176A5496" w:rsidRDefault="176A5496" w:rsidP="176A5496">
      <w:pPr>
        <w:pStyle w:val="NormalWeb"/>
        <w:jc w:val="both"/>
      </w:pPr>
      <w:r>
        <w:t xml:space="preserve">SOTÃO, H. M. P.; FRANÇA, I. F.; HENNEN, J. F. Fungos das famílias </w:t>
      </w:r>
      <w:proofErr w:type="spellStart"/>
      <w:r>
        <w:t>Phakopsoraceae</w:t>
      </w:r>
      <w:proofErr w:type="spellEnd"/>
      <w:r>
        <w:t xml:space="preserve"> e </w:t>
      </w:r>
      <w:proofErr w:type="spellStart"/>
      <w:r>
        <w:t>Uropyxidaceae</w:t>
      </w:r>
      <w:proofErr w:type="spellEnd"/>
      <w:r>
        <w:t xml:space="preserve"> (</w:t>
      </w:r>
      <w:proofErr w:type="spellStart"/>
      <w:r>
        <w:t>Uredinales</w:t>
      </w:r>
      <w:proofErr w:type="spellEnd"/>
      <w:r>
        <w:t xml:space="preserve">) da Floresta Nacional de </w:t>
      </w:r>
      <w:proofErr w:type="spellStart"/>
      <w:r>
        <w:t>Caxiuanã</w:t>
      </w:r>
      <w:proofErr w:type="spellEnd"/>
      <w:r>
        <w:t xml:space="preserve">, Pará, Brasil. </w:t>
      </w:r>
      <w:proofErr w:type="spellStart"/>
      <w:r w:rsidRPr="176A5496">
        <w:rPr>
          <w:rStyle w:val="nfase"/>
        </w:rPr>
        <w:t>Hoehnea</w:t>
      </w:r>
      <w:proofErr w:type="spellEnd"/>
      <w:r>
        <w:t>, v. 33, n. 4, p. 407–417, 2006</w:t>
      </w:r>
      <w:r w:rsidR="00E964C2">
        <w:t>.</w:t>
      </w:r>
    </w:p>
    <w:p w14:paraId="45825043" w14:textId="6A966AC6" w:rsidR="176A5496" w:rsidRDefault="176A5496" w:rsidP="176A5496">
      <w:pPr>
        <w:pStyle w:val="NormalWeb"/>
        <w:jc w:val="both"/>
      </w:pPr>
      <w:r>
        <w:t xml:space="preserve">WU, Q. </w:t>
      </w:r>
      <w:r w:rsidRPr="176A5496">
        <w:rPr>
          <w:i/>
          <w:iCs/>
        </w:rPr>
        <w:t>et al</w:t>
      </w:r>
      <w:r>
        <w:t xml:space="preserve">. Fungos de ferrugem em plantas medicinais na província de </w:t>
      </w:r>
      <w:proofErr w:type="spellStart"/>
      <w:r>
        <w:t>Guizhou</w:t>
      </w:r>
      <w:proofErr w:type="spellEnd"/>
      <w:r>
        <w:t xml:space="preserve"> com descrições de três novas espécies. </w:t>
      </w:r>
      <w:proofErr w:type="spellStart"/>
      <w:r w:rsidRPr="176A5496">
        <w:rPr>
          <w:rStyle w:val="nfase"/>
        </w:rPr>
        <w:t>Journal</w:t>
      </w:r>
      <w:proofErr w:type="spellEnd"/>
      <w:r w:rsidRPr="176A5496">
        <w:rPr>
          <w:rStyle w:val="nfase"/>
        </w:rPr>
        <w:t xml:space="preserve"> </w:t>
      </w:r>
      <w:proofErr w:type="spellStart"/>
      <w:r w:rsidRPr="176A5496">
        <w:rPr>
          <w:rStyle w:val="nfase"/>
        </w:rPr>
        <w:t>of</w:t>
      </w:r>
      <w:proofErr w:type="spellEnd"/>
      <w:r w:rsidRPr="176A5496">
        <w:rPr>
          <w:rStyle w:val="nfase"/>
        </w:rPr>
        <w:t xml:space="preserve"> </w:t>
      </w:r>
      <w:proofErr w:type="spellStart"/>
      <w:r w:rsidRPr="176A5496">
        <w:rPr>
          <w:rStyle w:val="nfase"/>
        </w:rPr>
        <w:t>Fungi</w:t>
      </w:r>
      <w:proofErr w:type="spellEnd"/>
      <w:r>
        <w:t xml:space="preserve">, v. 9, 2023. Disponível em: </w:t>
      </w:r>
      <w:hyperlink r:id="rId21">
        <w:r w:rsidRPr="176A5496">
          <w:rPr>
            <w:rStyle w:val="Hyperlink"/>
          </w:rPr>
          <w:t>https://doi.org/10.3390/jof9090953</w:t>
        </w:r>
      </w:hyperlink>
      <w:r>
        <w:t>. Acesso em: 20 out. 2025.</w:t>
      </w:r>
    </w:p>
    <w:p w14:paraId="1E4FF6A5" w14:textId="76E65FFE" w:rsidR="176A5496" w:rsidRDefault="176A5496" w:rsidP="176A5496">
      <w:pPr>
        <w:pStyle w:val="NormalWeb"/>
        <w:jc w:val="both"/>
      </w:pPr>
      <w:r>
        <w:t xml:space="preserve">ZHANG, K.; GÓMEZ-ZAPATA, P. A.; OLSON, Å. Distinguir as formas </w:t>
      </w:r>
      <w:proofErr w:type="spellStart"/>
      <w:r>
        <w:t>autoica</w:t>
      </w:r>
      <w:proofErr w:type="spellEnd"/>
      <w:r>
        <w:t xml:space="preserve"> e </w:t>
      </w:r>
      <w:proofErr w:type="spellStart"/>
      <w:r>
        <w:t>heteroica</w:t>
      </w:r>
      <w:proofErr w:type="spellEnd"/>
      <w:r>
        <w:t xml:space="preserve"> da ferrugem da bolha do pinheiro silvestre por PCR digital e germinação de </w:t>
      </w:r>
      <w:proofErr w:type="spellStart"/>
      <w:r>
        <w:t>eciósporos</w:t>
      </w:r>
      <w:proofErr w:type="spellEnd"/>
      <w:r>
        <w:t xml:space="preserve">. </w:t>
      </w:r>
      <w:proofErr w:type="spellStart"/>
      <w:r w:rsidRPr="176A5496">
        <w:rPr>
          <w:rStyle w:val="nfase"/>
        </w:rPr>
        <w:t>Phytopathology</w:t>
      </w:r>
      <w:proofErr w:type="spellEnd"/>
      <w:r>
        <w:t>, 2025.</w:t>
      </w:r>
    </w:p>
    <w:p w14:paraId="532661F9" w14:textId="77777777" w:rsidR="00F45788" w:rsidRDefault="01BD0460" w:rsidP="01BD0460">
      <w:pPr>
        <w:pStyle w:val="NormalWeb"/>
        <w:jc w:val="both"/>
      </w:pPr>
      <w:r>
        <w:t xml:space="preserve">ZHAO, P. </w:t>
      </w:r>
      <w:r w:rsidRPr="01BD0460">
        <w:rPr>
          <w:i/>
          <w:iCs/>
        </w:rPr>
        <w:t>et al</w:t>
      </w:r>
      <w:r>
        <w:t xml:space="preserve">. Contribuição para a flora de ferrugem na China I: enorme diversidade de reservas naturais e parques. </w:t>
      </w:r>
      <w:proofErr w:type="spellStart"/>
      <w:r w:rsidRPr="01BD0460">
        <w:rPr>
          <w:rStyle w:val="nfase"/>
        </w:rPr>
        <w:t>Fungal</w:t>
      </w:r>
      <w:proofErr w:type="spellEnd"/>
      <w:r w:rsidRPr="01BD0460">
        <w:rPr>
          <w:rStyle w:val="nfase"/>
        </w:rPr>
        <w:t xml:space="preserve"> </w:t>
      </w:r>
      <w:proofErr w:type="spellStart"/>
      <w:r w:rsidRPr="01BD0460">
        <w:rPr>
          <w:rStyle w:val="nfase"/>
        </w:rPr>
        <w:t>Diversity</w:t>
      </w:r>
      <w:proofErr w:type="spellEnd"/>
      <w:r>
        <w:t xml:space="preserve">, v. 110, p. 1–58, 2021. Disponível em: </w:t>
      </w:r>
      <w:hyperlink r:id="rId22">
        <w:r w:rsidRPr="01BD0460">
          <w:rPr>
            <w:rStyle w:val="Hyperlink"/>
          </w:rPr>
          <w:t>https://doi.org/10.1007/s13225-021-00482-w</w:t>
        </w:r>
      </w:hyperlink>
      <w:r>
        <w:t>. Acesso em: 3 nov. 2025.</w:t>
      </w:r>
    </w:p>
    <w:p w14:paraId="594F025F" w14:textId="3F03F61E" w:rsidR="1B31EA28" w:rsidRDefault="1B31EA28" w:rsidP="1D4AD13A">
      <w:pPr>
        <w:spacing w:before="240" w:after="240" w:line="259" w:lineRule="auto"/>
        <w:jc w:val="both"/>
        <w:rPr>
          <w:sz w:val="24"/>
          <w:szCs w:val="24"/>
        </w:rPr>
      </w:pPr>
    </w:p>
    <w:sectPr w:rsidR="1B31EA28" w:rsidSect="005A1575">
      <w:headerReference w:type="default" r:id="rId23"/>
      <w:footerReference w:type="default" r:id="rId24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BF285" w14:textId="77777777" w:rsidR="00DB4EAA" w:rsidRDefault="00DB4EAA" w:rsidP="005A1575">
      <w:r>
        <w:separator/>
      </w:r>
    </w:p>
  </w:endnote>
  <w:endnote w:type="continuationSeparator" w:id="0">
    <w:p w14:paraId="652317E0" w14:textId="77777777" w:rsidR="00DB4EAA" w:rsidRDefault="00DB4EAA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4C9B6" w14:textId="77777777" w:rsidR="00DB4EAA" w:rsidRDefault="00DB4EAA" w:rsidP="005A1575">
      <w:r>
        <w:separator/>
      </w:r>
    </w:p>
  </w:footnote>
  <w:footnote w:type="continuationSeparator" w:id="0">
    <w:p w14:paraId="2680DBD8" w14:textId="77777777" w:rsidR="00DB4EAA" w:rsidRDefault="00DB4EAA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10B107F8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vLKaPnb7hMQ/q" int2:id="ZHIsFJWa">
      <int2:state int2:value="Rejected" int2:type="spell"/>
    </int2:textHash>
    <int2:textHash int2:hashCode="n9MGKPjuGGCBxJ" int2:id="iNh72oUA">
      <int2:state int2:value="Rejected" int2:type="spell"/>
    </int2:textHash>
    <int2:textHash int2:hashCode="SuGk39HdO7E3VJ" int2:id="DUJE8Ldu">
      <int2:state int2:value="Rejected" int2:type="spell"/>
    </int2:textHash>
    <int2:textHash int2:hashCode="Z8TZpJuj+2OItK" int2:id="HazLISrn">
      <int2:state int2:value="Rejected" int2:type="spell"/>
    </int2:textHash>
    <int2:textHash int2:hashCode="ArehKTXfROea3T" int2:id="13Br06ys">
      <int2:state int2:value="Rejected" int2:type="spell"/>
    </int2:textHash>
    <int2:textHash int2:hashCode="1Dcug8uOPiznnr" int2:id="L9pEjkp6">
      <int2:state int2:value="Rejected" int2:type="spell"/>
    </int2:textHash>
    <int2:textHash int2:hashCode="8nteqgPBHlDuDe" int2:id="aepOJsbg">
      <int2:state int2:value="Rejected" int2:type="spell"/>
    </int2:textHash>
    <int2:textHash int2:hashCode="gaucwchA7T44dT" int2:id="rr5XI4TG">
      <int2:state int2:value="Rejected" int2:type="spell"/>
    </int2:textHash>
    <int2:textHash int2:hashCode="5BYFWQE7RXadbS" int2:id="Insk8rN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A790259"/>
    <w:multiLevelType w:val="hybridMultilevel"/>
    <w:tmpl w:val="2E585DFA"/>
    <w:lvl w:ilvl="0" w:tplc="DE40D4BA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94DC54B4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E542D6CE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3CC25C0E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D9C4CD8E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404AE630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7C1EEAE0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3AE1366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89FE4116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12DC7"/>
    <w:rsid w:val="000436E8"/>
    <w:rsid w:val="00050A98"/>
    <w:rsid w:val="00054377"/>
    <w:rsid w:val="000A1B4B"/>
    <w:rsid w:val="000B3B46"/>
    <w:rsid w:val="000C7A71"/>
    <w:rsid w:val="000E6288"/>
    <w:rsid w:val="00177FDF"/>
    <w:rsid w:val="001D4FA5"/>
    <w:rsid w:val="002053C3"/>
    <w:rsid w:val="00260A69"/>
    <w:rsid w:val="002D46FA"/>
    <w:rsid w:val="002E51D3"/>
    <w:rsid w:val="002F3682"/>
    <w:rsid w:val="0031571D"/>
    <w:rsid w:val="00340B04"/>
    <w:rsid w:val="003949CE"/>
    <w:rsid w:val="003F0893"/>
    <w:rsid w:val="00455E94"/>
    <w:rsid w:val="00492A51"/>
    <w:rsid w:val="004B3806"/>
    <w:rsid w:val="004E409D"/>
    <w:rsid w:val="0058621C"/>
    <w:rsid w:val="005A1575"/>
    <w:rsid w:val="005D3650"/>
    <w:rsid w:val="00645BA4"/>
    <w:rsid w:val="006A404B"/>
    <w:rsid w:val="006B309C"/>
    <w:rsid w:val="006B406E"/>
    <w:rsid w:val="006F0DA6"/>
    <w:rsid w:val="00725D20"/>
    <w:rsid w:val="00734051"/>
    <w:rsid w:val="00744CF7"/>
    <w:rsid w:val="007701A8"/>
    <w:rsid w:val="007A3840"/>
    <w:rsid w:val="007B00E2"/>
    <w:rsid w:val="00836259"/>
    <w:rsid w:val="009613E3"/>
    <w:rsid w:val="00962C69"/>
    <w:rsid w:val="00A13B96"/>
    <w:rsid w:val="00A516D6"/>
    <w:rsid w:val="00BA079A"/>
    <w:rsid w:val="00C34BB0"/>
    <w:rsid w:val="00CC1008"/>
    <w:rsid w:val="00CE2B1C"/>
    <w:rsid w:val="00D054DD"/>
    <w:rsid w:val="00D34549"/>
    <w:rsid w:val="00DB4EAA"/>
    <w:rsid w:val="00DB5854"/>
    <w:rsid w:val="00DE04D3"/>
    <w:rsid w:val="00E4538F"/>
    <w:rsid w:val="00E964C2"/>
    <w:rsid w:val="00F45788"/>
    <w:rsid w:val="00F46632"/>
    <w:rsid w:val="00F948A7"/>
    <w:rsid w:val="00FA4043"/>
    <w:rsid w:val="01BD0460"/>
    <w:rsid w:val="07334DB1"/>
    <w:rsid w:val="07E5588C"/>
    <w:rsid w:val="0D7D30F6"/>
    <w:rsid w:val="158622C2"/>
    <w:rsid w:val="176A5496"/>
    <w:rsid w:val="1B31EA28"/>
    <w:rsid w:val="1D289671"/>
    <w:rsid w:val="1D4AD13A"/>
    <w:rsid w:val="236502DE"/>
    <w:rsid w:val="2BF6B6AF"/>
    <w:rsid w:val="2C82FF52"/>
    <w:rsid w:val="34566920"/>
    <w:rsid w:val="3459F7DF"/>
    <w:rsid w:val="34810083"/>
    <w:rsid w:val="34D30320"/>
    <w:rsid w:val="3C2818FD"/>
    <w:rsid w:val="4713D880"/>
    <w:rsid w:val="526D276E"/>
    <w:rsid w:val="54A6092B"/>
    <w:rsid w:val="5A5B683B"/>
    <w:rsid w:val="5CF614E9"/>
    <w:rsid w:val="64EEDB4D"/>
    <w:rsid w:val="7010AFF5"/>
    <w:rsid w:val="70792747"/>
    <w:rsid w:val="75F6002F"/>
    <w:rsid w:val="7914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75F6002F"/>
    <w:rPr>
      <w:rFonts w:ascii="Times New Roman" w:eastAsia="Times New Roman" w:hAnsi="Times New Roman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75F6002F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75F6002F"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75F6002F"/>
  </w:style>
  <w:style w:type="paragraph" w:styleId="Cabealho">
    <w:name w:val="header"/>
    <w:basedOn w:val="Normal"/>
    <w:link w:val="CabealhoChar"/>
    <w:uiPriority w:val="99"/>
    <w:unhideWhenUsed/>
    <w:rsid w:val="75F600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75F600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75F6002F"/>
    <w:rPr>
      <w:color w:val="0000FF"/>
      <w:u w:val="single"/>
    </w:rPr>
  </w:style>
  <w:style w:type="paragraph" w:styleId="Reviso">
    <w:name w:val="Revision"/>
    <w:hidden/>
    <w:uiPriority w:val="99"/>
    <w:semiHidden/>
    <w:rsid w:val="00CC1008"/>
    <w:pPr>
      <w:widowControl/>
      <w:autoSpaceDE/>
      <w:autoSpaceDN/>
    </w:pPr>
    <w:rPr>
      <w:rFonts w:ascii="Times New Roman" w:eastAsia="Times New Roman" w:hAnsi="Times New Roman" w:cs="Times New Roman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CC10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C100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C1008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10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1008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F4578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5788"/>
    <w:rPr>
      <w:i/>
      <w:iCs/>
    </w:rPr>
  </w:style>
  <w:style w:type="character" w:customStyle="1" w:styleId="normaltextrun">
    <w:name w:val="normaltextrun"/>
    <w:basedOn w:val="Fontepargpadro"/>
    <w:rsid w:val="0073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nniferrafaely686@gmail.com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indexfungorum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3390/jof909095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jbrj.gov.br/sites/all/themes/corporateclean/content/publicacoes/catalogue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0668-020-00739-5" TargetMode="External"/><Relationship Id="rId20" Type="http://schemas.openxmlformats.org/officeDocument/2006/relationships/hyperlink" Target="https://phytotaxa.mapress.com/pt/article/view/phytotaxa.577.1.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scielo.br/j/rod/a/Y9vVS88XDhgJx65KLmSHR5k/?lang=pt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s://doi.org/10.31692/2526-7701.vcointerpdvagro.03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dexfungorum.org" TargetMode="External"/><Relationship Id="rId14" Type="http://schemas.openxmlformats.org/officeDocument/2006/relationships/hyperlink" Target="https://doi.org/10.1007/s11557-012-0826-x" TargetMode="External"/><Relationship Id="rId22" Type="http://schemas.openxmlformats.org/officeDocument/2006/relationships/hyperlink" Target="https://doi.org/10.1007/s13225-021-00482-w" TargetMode="External"/><Relationship Id="rId27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AFAC-F423-42D6-9453-02509419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2207</Words>
  <Characters>11918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PROF.IONARA</cp:lastModifiedBy>
  <cp:revision>17</cp:revision>
  <dcterms:created xsi:type="dcterms:W3CDTF">2025-11-24T13:02:00Z</dcterms:created>
  <dcterms:modified xsi:type="dcterms:W3CDTF">2025-12-03T16:37:00Z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  <property fmtid="{D5CDD505-2E9C-101B-9397-08002B2CF9AE}" pid="5" name="GrammarlyDocumentId">
    <vt:lpwstr>8fb65f20-618f-450c-b853-8985dce03f9a</vt:lpwstr>
  </property>
</Properties>
</file>