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 w:bidi="ar"/>
        </w:rPr>
        <w:t>DIAGNÓSTICO DE TUBERCULOSE PULMONAR E EXTRAPULMONAR EM PORTADORES DE HIV/AIDS</w:t>
      </w:r>
    </w:p>
    <w:p>
      <w:pPr>
        <w:spacing w:after="120"/>
        <w:jc w:val="center"/>
        <w:rPr>
          <w:vertAlign w:val="superscript"/>
        </w:rPr>
      </w:pPr>
      <w:r>
        <w:rPr>
          <w:lang w:bidi="ar"/>
        </w:rPr>
        <w:t>MAURÍCIO ANTONIO POMPÍLIO</w:t>
      </w:r>
      <w:r>
        <w:rPr>
          <w:lang w:val="en-US" w:bidi="ar"/>
        </w:rPr>
        <w:t>¹</w:t>
      </w:r>
      <w:r>
        <w:rPr>
          <w:lang w:bidi="ar"/>
        </w:rPr>
        <w:t>; ERIVALDO ELIAS JÚNIOR</w:t>
      </w:r>
      <w:r>
        <w:rPr>
          <w:lang w:val="en-US" w:bidi="ar"/>
        </w:rPr>
        <w:t>²</w:t>
      </w:r>
      <w:r>
        <w:rPr>
          <w:lang w:bidi="ar"/>
        </w:rPr>
        <w:t>; RAYSSA DE SOUSA MATOS DA COSTA</w:t>
      </w:r>
      <w:r>
        <w:rPr>
          <w:vertAlign w:val="superscript"/>
          <w:lang w:val="en-US" w:bidi="ar"/>
        </w:rPr>
        <w:t>3</w:t>
      </w:r>
      <w:r>
        <w:rPr>
          <w:lang w:val="en-US" w:bidi="ar"/>
        </w:rPr>
        <w:t>; ANGELA MARIA DIAS DE QUEIROZ</w:t>
      </w:r>
      <w:r>
        <w:rPr>
          <w:vertAlign w:val="superscript"/>
          <w:lang w:val="en-US" w:bidi="ar"/>
        </w:rPr>
        <w:t>4</w:t>
      </w:r>
      <w:r>
        <w:rPr>
          <w:lang w:val="en-US" w:bidi="ar"/>
        </w:rPr>
        <w:t>; CLAUDIA GONÇALVES GOLVEIA</w:t>
      </w:r>
      <w:r>
        <w:rPr>
          <w:vertAlign w:val="superscript"/>
          <w:lang w:val="en-US" w:bidi="ar"/>
        </w:rPr>
        <w:t>5</w:t>
      </w:r>
    </w:p>
    <w:p>
      <w:pPr>
        <w:jc w:val="center"/>
        <w:rPr>
          <w:rStyle w:val="12"/>
          <w:sz w:val="16"/>
          <w:szCs w:val="16"/>
        </w:rPr>
      </w:pPr>
      <w:r>
        <w:rPr>
          <w:lang w:val="en-US" w:bidi="ar"/>
        </w:rPr>
        <w:t>¹</w:t>
      </w:r>
      <w:r>
        <w:rPr>
          <w:lang w:bidi="ar"/>
        </w:rPr>
        <w:t xml:space="preserve">Universidade Federal de Mato Grosso do Sul – mapompilio@yahoo.com.br ; </w:t>
      </w:r>
      <w:r>
        <w:rPr>
          <w:lang w:val="en-US" w:bidi="ar"/>
        </w:rPr>
        <w:t>²</w:t>
      </w:r>
      <w:r>
        <w:rPr>
          <w:lang w:bidi="ar"/>
        </w:rPr>
        <w:t xml:space="preserve">Universidade Federal de Mato Grosso do Sul – </w:t>
      </w:r>
      <w:r>
        <w:fldChar w:fldCharType="begin"/>
      </w:r>
      <w:r>
        <w:instrText xml:space="preserve"> HYPERLINK "mailto:erivaldo.junior@ufms.br" </w:instrText>
      </w:r>
      <w:r>
        <w:fldChar w:fldCharType="separate"/>
      </w:r>
      <w:r>
        <w:rPr>
          <w:rStyle w:val="12"/>
          <w:lang w:bidi="ar"/>
        </w:rPr>
        <w:t>erivaldo.junior@ufms.br</w:t>
      </w:r>
      <w:r>
        <w:rPr>
          <w:rStyle w:val="12"/>
          <w:lang w:bidi="ar"/>
        </w:rPr>
        <w:fldChar w:fldCharType="end"/>
      </w:r>
      <w:r>
        <w:rPr>
          <w:lang w:bidi="ar"/>
        </w:rPr>
        <w:t xml:space="preserve"> ; </w:t>
      </w:r>
      <w:r>
        <w:rPr>
          <w:lang w:val="en-US" w:bidi="ar"/>
        </w:rPr>
        <w:t>³</w:t>
      </w:r>
      <w:r>
        <w:rPr>
          <w:lang w:bidi="ar"/>
        </w:rPr>
        <w:t xml:space="preserve">Universidade Federal de Mato Grosso do Sul – </w:t>
      </w:r>
      <w:r>
        <w:fldChar w:fldCharType="begin"/>
      </w:r>
      <w:r>
        <w:instrText xml:space="preserve"> HYPERLINK "mailto:rayssa_smc@hotmail.com" </w:instrText>
      </w:r>
      <w:r>
        <w:fldChar w:fldCharType="separate"/>
      </w:r>
      <w:r>
        <w:rPr>
          <w:rStyle w:val="12"/>
          <w:lang w:bidi="ar"/>
        </w:rPr>
        <w:t>rayssa_smc@hotmail.com</w:t>
      </w:r>
      <w:r>
        <w:rPr>
          <w:rStyle w:val="12"/>
          <w:lang w:bidi="ar"/>
        </w:rPr>
        <w:fldChar w:fldCharType="end"/>
      </w:r>
      <w:r>
        <w:rPr>
          <w:lang w:bidi="ar"/>
        </w:rPr>
        <w:t xml:space="preserve">; </w:t>
      </w:r>
      <w:r>
        <w:rPr>
          <w:vertAlign w:val="superscript"/>
          <w:lang w:bidi="ar"/>
        </w:rPr>
        <w:t>4</w:t>
      </w:r>
      <w:r>
        <w:rPr>
          <w:lang w:bidi="ar"/>
        </w:rPr>
        <w:t xml:space="preserve">Hospital São Julião – </w:t>
      </w:r>
      <w:r>
        <w:fldChar w:fldCharType="begin"/>
      </w:r>
      <w:r>
        <w:instrText xml:space="preserve"> HYPERLINK "mailto:diasqueiroz@hotmail.com" </w:instrText>
      </w:r>
      <w:r>
        <w:fldChar w:fldCharType="separate"/>
      </w:r>
      <w:r>
        <w:rPr>
          <w:rStyle w:val="12"/>
          <w:lang w:bidi="ar"/>
        </w:rPr>
        <w:t>diasqueiroz@hotmail.com</w:t>
      </w:r>
      <w:r>
        <w:rPr>
          <w:rStyle w:val="12"/>
          <w:lang w:bidi="ar"/>
        </w:rPr>
        <w:fldChar w:fldCharType="end"/>
      </w:r>
      <w:r>
        <w:rPr>
          <w:lang w:bidi="ar"/>
        </w:rPr>
        <w:t xml:space="preserve">; </w:t>
      </w:r>
      <w:r>
        <w:rPr>
          <w:vertAlign w:val="superscript"/>
          <w:lang w:bidi="ar"/>
        </w:rPr>
        <w:t>5</w:t>
      </w:r>
      <w:r>
        <w:rPr>
          <w:lang w:bidi="ar"/>
        </w:rPr>
        <w:t xml:space="preserve"> Hospital São Julião – claudia@saojuliao.org.br </w:t>
      </w:r>
    </w:p>
    <w:p>
      <w:pPr>
        <w:jc w:val="both"/>
        <w:textAlignment w:val="baseline"/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Introdução: </w:t>
      </w:r>
      <w:r>
        <w:rPr>
          <w:color w:val="000000"/>
        </w:rPr>
        <w:t xml:space="preserve">Em 2015 a tuberculose (TB) se manteve entre as 10 principais causas de morte no mundo, com 1,8 milhões de mortes registradas e 400 mil casos de coinfecções TB/HIV.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Revisão da literatura: </w:t>
      </w:r>
      <w:r>
        <w:rPr>
          <w:color w:val="000000"/>
        </w:rPr>
        <w:t xml:space="preserve">No mundo, cerca de 37 milhões de pessoas convivem com HIV/AIDS, pois na imunodeficiência a TB infecção progride mais frequentemente para a TB doença, portanto é necessária a sua investigação para que se obtenha diagnóstico e tratamento rápidos e se evite complicações e óbito. Desta forma, o Ministério da Saúde preconiza que em todas as consultas de pessoa vivendo com HIV/AIDS (PVHA) seja investigada TB. Atualmente, como método diagnóstico de TB foi incluída a biologia molecular (genexpert - TRM-TB), a qual foi incorporada à rede SUS. Um desafio diagnóstico ainda é enfrentado, já que a TB pode mais facilmente se manifestar de formas atípicas e extrapulmonares nos pacientes imunodeprimidos, levando a um tratamento empírico que pode vir aumentar a resistência aos métodos disponíveis.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Objetivo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  <w:r>
        <w:rPr>
          <w:color w:val="000000"/>
        </w:rPr>
        <w:t xml:space="preserve">Este estudo tem por objetivo avaliar </w:t>
      </w:r>
      <w:r>
        <w:t xml:space="preserve">a sensibilidade do método TRM-TB em amostras extraídas de sítios extra-pulmonares; avaliar a resistência à rifampicina.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Materiais e métodos (descrição do caso):</w:t>
      </w:r>
      <w:r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/>
          <w:color w:val="000000" w:themeColor="text1"/>
          <w:lang w:val="pt-BR"/>
          <w14:textFill>
            <w14:solidFill>
              <w14:schemeClr w14:val="tx1"/>
            </w14:solidFill>
          </w14:textFill>
        </w:rPr>
        <w:t>Foram</w:t>
      </w:r>
      <w:r>
        <w:rPr>
          <w:b w:val="0"/>
          <w:bCs/>
        </w:rPr>
        <w:t xml:space="preserve"> a</w:t>
      </w:r>
      <w:r>
        <w:t>valiados resultados de exames diagnósticos do Genexpert de janeiro de 2016 a junho 2017, realizados no laboratório do Hospital São Julião e procedentes de diversas unidades de saúde da capital. Trata-se de dados parc</w:t>
      </w:r>
      <w:bookmarkStart w:id="0" w:name="_GoBack"/>
      <w:bookmarkEnd w:id="0"/>
      <w:r>
        <w:t xml:space="preserve">iais de 431 amostras, sendo 118 de mulheres e 313 de homens. Tipo de material: 266 foram escarro, 52 de líquor, 33 de líquido pleural, 23 de aspirado traqueal, 20 de lavado broncoalveolar, 11 de urina, 8 de fragmento ganglionar, 6 de líquido ascítico, 12 </w:t>
      </w:r>
      <w:r>
        <w:rPr>
          <w:b w:val="0"/>
          <w:bCs w:val="0"/>
          <w:highlight w:val="none"/>
        </w:rPr>
        <w:t xml:space="preserve">de outras espécimes. Dos resultados, 90 (20,54%) foram positivos. Dentre os positivos, 80% - escarro, 4,4% - lavado broncoalveolar e líquido pleural, 3,3% - líquor, 2,2% - aspirado ganglionar e 1,1% - lavado gástrico. Conclusão: As amostras encaminhadas foram predominantemente de homens o que pode indicar maior suspeita de TB entre eles. Constatou-se a presença de casos de resistência à rifampicina. Escarro continua como amostra de maior positividade para TB. </w:t>
      </w:r>
      <w:r>
        <w:t xml:space="preserve">É necessário mais estudos para validar a positividade do TRM-TB em outras amostras. </w:t>
      </w:r>
    </w:p>
    <w:p>
      <w:pPr>
        <w:jc w:val="both"/>
        <w:textAlignment w:val="baseline"/>
      </w:pPr>
      <w:r>
        <w:rPr>
          <w:b/>
          <w:bCs/>
        </w:rPr>
        <w:t>Palavras-chave</w:t>
      </w:r>
      <w:r>
        <w:t>: Tuberculose; HIV; Biologia molecular.</w:t>
      </w:r>
    </w:p>
    <w:sectPr>
      <w:headerReference r:id="rId3" w:type="default"/>
      <w:pgSz w:w="11906" w:h="16838"/>
      <w:pgMar w:top="1418" w:right="1701" w:bottom="141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380"/>
          <wp:effectExtent l="0" t="0" r="0" b="8255"/>
          <wp:wrapThrough wrapText="bothSides">
            <wp:wrapPolygon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622B6"/>
    <w:rsid w:val="000B5CFC"/>
    <w:rsid w:val="001277D1"/>
    <w:rsid w:val="00136998"/>
    <w:rsid w:val="001D3C8B"/>
    <w:rsid w:val="00216ABD"/>
    <w:rsid w:val="0024504A"/>
    <w:rsid w:val="002B6F5A"/>
    <w:rsid w:val="00300882"/>
    <w:rsid w:val="003B2895"/>
    <w:rsid w:val="00436DB2"/>
    <w:rsid w:val="004467FD"/>
    <w:rsid w:val="004F7417"/>
    <w:rsid w:val="00522920"/>
    <w:rsid w:val="00554366"/>
    <w:rsid w:val="005859AD"/>
    <w:rsid w:val="005B304C"/>
    <w:rsid w:val="005C1F5C"/>
    <w:rsid w:val="00604518"/>
    <w:rsid w:val="00640BF8"/>
    <w:rsid w:val="0066056D"/>
    <w:rsid w:val="006869D9"/>
    <w:rsid w:val="006E5692"/>
    <w:rsid w:val="00714114"/>
    <w:rsid w:val="007235C7"/>
    <w:rsid w:val="00763B9D"/>
    <w:rsid w:val="00887009"/>
    <w:rsid w:val="008C7EED"/>
    <w:rsid w:val="0094563F"/>
    <w:rsid w:val="00A266F3"/>
    <w:rsid w:val="00A620B2"/>
    <w:rsid w:val="00BD30E9"/>
    <w:rsid w:val="00BD4518"/>
    <w:rsid w:val="00BD7E07"/>
    <w:rsid w:val="00BF4E75"/>
    <w:rsid w:val="00C36E7F"/>
    <w:rsid w:val="00C422FB"/>
    <w:rsid w:val="00CC40EB"/>
    <w:rsid w:val="00D95DFA"/>
    <w:rsid w:val="00D9682F"/>
    <w:rsid w:val="00E62F99"/>
    <w:rsid w:val="00EE2F99"/>
    <w:rsid w:val="00EF002D"/>
    <w:rsid w:val="00FA39B2"/>
    <w:rsid w:val="00FC6247"/>
    <w:rsid w:val="04C52EEF"/>
    <w:rsid w:val="0A2620C3"/>
    <w:rsid w:val="10023F5F"/>
    <w:rsid w:val="14FE1E33"/>
    <w:rsid w:val="1513559C"/>
    <w:rsid w:val="19291A57"/>
    <w:rsid w:val="1A1C271F"/>
    <w:rsid w:val="1A593AE7"/>
    <w:rsid w:val="1B5769F1"/>
    <w:rsid w:val="1CBA3A76"/>
    <w:rsid w:val="2C7D6414"/>
    <w:rsid w:val="32D8396A"/>
    <w:rsid w:val="421A2FCC"/>
    <w:rsid w:val="43562148"/>
    <w:rsid w:val="4C522799"/>
    <w:rsid w:val="4CAC6F2A"/>
    <w:rsid w:val="54EA36E8"/>
    <w:rsid w:val="55D431D2"/>
    <w:rsid w:val="575C0784"/>
    <w:rsid w:val="6700161A"/>
    <w:rsid w:val="72136CD8"/>
    <w:rsid w:val="72F42D08"/>
    <w:rsid w:val="77A677B2"/>
    <w:rsid w:val="7BA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outlineLvl w:val="0"/>
    </w:pPr>
    <w:rPr>
      <w:b/>
      <w:smallCaps/>
      <w:u w:val="single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uiPriority w:val="0"/>
    <w:pPr>
      <w:jc w:val="both"/>
    </w:pPr>
    <w:rPr>
      <w:rFonts w:ascii="Arial" w:hAnsi="Arial"/>
      <w:szCs w:val="20"/>
    </w:rPr>
  </w:style>
  <w:style w:type="paragraph" w:styleId="4">
    <w:name w:val="annotation text"/>
    <w:basedOn w:val="1"/>
    <w:link w:val="21"/>
    <w:unhideWhenUsed/>
    <w:uiPriority w:val="99"/>
    <w:pPr>
      <w:spacing w:line="240" w:lineRule="auto"/>
    </w:pPr>
    <w:rPr>
      <w:sz w:val="20"/>
      <w:szCs w:val="20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annotation subject"/>
    <w:basedOn w:val="4"/>
    <w:next w:val="4"/>
    <w:link w:val="22"/>
    <w:unhideWhenUsed/>
    <w:uiPriority w:val="99"/>
    <w:rPr>
      <w:b/>
      <w:bCs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ody Text Indent 3"/>
    <w:basedOn w:val="1"/>
    <w:link w:val="19"/>
    <w:uiPriority w:val="0"/>
    <w:pPr>
      <w:spacing w:after="120"/>
      <w:ind w:left="283"/>
    </w:pPr>
    <w:rPr>
      <w:sz w:val="16"/>
      <w:szCs w:val="16"/>
    </w:rPr>
  </w:style>
  <w:style w:type="paragraph" w:styleId="9">
    <w:name w:val="Balloon Text"/>
    <w:basedOn w:val="1"/>
    <w:link w:val="16"/>
    <w:unhideWhenUsed/>
    <w:qFormat/>
    <w:uiPriority w:val="99"/>
    <w:rPr>
      <w:rFonts w:ascii="Tahoma" w:hAnsi="Tahoma" w:cs="Tahoma"/>
      <w:sz w:val="16"/>
      <w:szCs w:val="16"/>
    </w:rPr>
  </w:style>
  <w:style w:type="character" w:styleId="11">
    <w:name w:val="annotation reference"/>
    <w:basedOn w:val="10"/>
    <w:unhideWhenUsed/>
    <w:uiPriority w:val="99"/>
    <w:rPr>
      <w:sz w:val="16"/>
      <w:szCs w:val="16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4">
    <w:name w:val="Cabeçalho Char"/>
    <w:basedOn w:val="10"/>
    <w:link w:val="5"/>
    <w:qFormat/>
    <w:uiPriority w:val="99"/>
    <w:rPr>
      <w:sz w:val="24"/>
      <w:szCs w:val="24"/>
      <w:lang w:eastAsia="pt-BR"/>
    </w:rPr>
  </w:style>
  <w:style w:type="character" w:customStyle="1" w:styleId="15">
    <w:name w:val="Rodapé Char"/>
    <w:basedOn w:val="10"/>
    <w:link w:val="7"/>
    <w:qFormat/>
    <w:uiPriority w:val="99"/>
    <w:rPr>
      <w:sz w:val="24"/>
      <w:szCs w:val="24"/>
      <w:lang w:eastAsia="pt-BR"/>
    </w:rPr>
  </w:style>
  <w:style w:type="character" w:customStyle="1" w:styleId="16">
    <w:name w:val="Texto de balão Char"/>
    <w:basedOn w:val="10"/>
    <w:link w:val="9"/>
    <w:semiHidden/>
    <w:qFormat/>
    <w:uiPriority w:val="99"/>
    <w:rPr>
      <w:rFonts w:ascii="Tahoma" w:hAnsi="Tahoma" w:cs="Tahoma"/>
      <w:sz w:val="16"/>
      <w:szCs w:val="16"/>
      <w:lang w:eastAsia="pt-BR"/>
    </w:rPr>
  </w:style>
  <w:style w:type="character" w:customStyle="1" w:styleId="17">
    <w:name w:val="Título 1 Char"/>
    <w:basedOn w:val="10"/>
    <w:link w:val="2"/>
    <w:uiPriority w:val="0"/>
    <w:rPr>
      <w:b/>
      <w:smallCaps/>
      <w:sz w:val="24"/>
      <w:szCs w:val="24"/>
      <w:u w:val="single"/>
      <w:lang w:eastAsia="pt-BR"/>
    </w:rPr>
  </w:style>
  <w:style w:type="character" w:customStyle="1" w:styleId="18">
    <w:name w:val="Corpo de texto Char"/>
    <w:basedOn w:val="10"/>
    <w:link w:val="3"/>
    <w:uiPriority w:val="0"/>
    <w:rPr>
      <w:rFonts w:ascii="Arial" w:hAnsi="Arial"/>
      <w:sz w:val="24"/>
      <w:lang w:eastAsia="pt-BR"/>
    </w:rPr>
  </w:style>
  <w:style w:type="character" w:customStyle="1" w:styleId="19">
    <w:name w:val="Recuo de corpo de texto 3 Char"/>
    <w:basedOn w:val="10"/>
    <w:link w:val="8"/>
    <w:qFormat/>
    <w:uiPriority w:val="0"/>
    <w:rPr>
      <w:sz w:val="16"/>
      <w:szCs w:val="16"/>
      <w:lang w:eastAsia="pt-BR"/>
    </w:rPr>
  </w:style>
  <w:style w:type="paragraph" w:customStyle="1" w:styleId="20">
    <w:name w:val="Parágrafo da Lista1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1">
    <w:name w:val="Texto de comentário Char"/>
    <w:basedOn w:val="10"/>
    <w:link w:val="4"/>
    <w:semiHidden/>
    <w:uiPriority w:val="99"/>
    <w:rPr>
      <w:rFonts w:eastAsia="Times New Roman"/>
    </w:rPr>
  </w:style>
  <w:style w:type="character" w:customStyle="1" w:styleId="22">
    <w:name w:val="Assunto do comentário Char"/>
    <w:basedOn w:val="21"/>
    <w:link w:val="6"/>
    <w:semiHidden/>
    <w:uiPriority w:val="99"/>
    <w:rPr>
      <w:rFonts w:eastAsia="Times New Roman"/>
      <w:b/>
      <w:bCs/>
    </w:rPr>
  </w:style>
  <w:style w:type="character" w:customStyle="1" w:styleId="23">
    <w:name w:val="Menção Pendente1"/>
    <w:basedOn w:val="10"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2498</Characters>
  <Lines>20</Lines>
  <Paragraphs>5</Paragraphs>
  <ScaleCrop>false</ScaleCrop>
  <LinksUpToDate>false</LinksUpToDate>
  <CharactersWithSpaces>2955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2018-04-06T23:39:00Z</dcterms:created>
  <dc:creator>Mônica</dc:creator>
  <cp:lastModifiedBy>Matos</cp:lastModifiedBy>
  <dcterms:modified xsi:type="dcterms:W3CDTF">2018-04-06T23:45:07Z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