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4CB64ECB" w:rsidR="004B2BD6" w:rsidRPr="004B2BD6" w:rsidRDefault="00C244D9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4D9">
        <w:rPr>
          <w:rFonts w:ascii="Times New Roman" w:hAnsi="Times New Roman" w:cs="Times New Roman"/>
          <w:b/>
          <w:bCs/>
          <w:sz w:val="28"/>
          <w:szCs w:val="28"/>
        </w:rPr>
        <w:t>ASPECTOS GENÉTICOS DA FIBROSE CÍSTICA: UMA REVISÃO INTEGRATIVA</w:t>
      </w:r>
    </w:p>
    <w:p w14:paraId="4CFB10B5" w14:textId="62A1FE4E" w:rsidR="00C45D74" w:rsidRPr="00C244D9" w:rsidRDefault="00C244D9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4D9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Pr="00C244D9">
        <w:rPr>
          <w:rFonts w:ascii="Times New Roman" w:hAnsi="Times New Roman" w:cs="Times New Roman"/>
          <w:bCs/>
          <w:sz w:val="24"/>
          <w:szCs w:val="24"/>
        </w:rPr>
        <w:t xml:space="preserve">A fibrose cística (FC), conhecida como “Doença do beijo salgado” ou Mucoviscidose é uma doença autossômica recessiva, que afeta os pulmões, pâncreas e o sistema digestivo e é causada por alterações no gene que codifica a proteína </w:t>
      </w:r>
      <w:r w:rsidRPr="00C244D9">
        <w:rPr>
          <w:rFonts w:ascii="Times New Roman" w:hAnsi="Times New Roman" w:cs="Times New Roman"/>
          <w:bCs/>
          <w:i/>
          <w:sz w:val="24"/>
          <w:szCs w:val="24"/>
        </w:rPr>
        <w:t>Cystic Fibrosis Transmembrane Conductance Regulator</w:t>
      </w:r>
      <w:r w:rsidRPr="00C244D9">
        <w:rPr>
          <w:rFonts w:ascii="Times New Roman" w:hAnsi="Times New Roman" w:cs="Times New Roman"/>
          <w:bCs/>
          <w:sz w:val="24"/>
          <w:szCs w:val="24"/>
        </w:rPr>
        <w:t xml:space="preserve"> (CFTR). OBJETIVO: Revisar a literatura em relação aos aspectos genéticos da Fibrose Cística.</w:t>
      </w:r>
      <w:r w:rsidRPr="00C244D9">
        <w:rPr>
          <w:rFonts w:ascii="Times New Roman" w:hAnsi="Times New Roman" w:cs="Times New Roman"/>
          <w:b/>
          <w:bCs/>
          <w:sz w:val="24"/>
          <w:szCs w:val="24"/>
        </w:rPr>
        <w:t xml:space="preserve"> MÉTODOS: </w:t>
      </w:r>
      <w:r w:rsidRPr="00C244D9">
        <w:rPr>
          <w:rFonts w:ascii="Times New Roman" w:hAnsi="Times New Roman" w:cs="Times New Roman"/>
          <w:bCs/>
          <w:sz w:val="24"/>
          <w:szCs w:val="24"/>
        </w:rPr>
        <w:t>Trata-se de um estudo de revisão integrativa da literatura selecionados no portal da Biblioteca Virtual em Saúde, PubMed e SciELO (</w:t>
      </w:r>
      <w:r w:rsidRPr="00C244D9">
        <w:rPr>
          <w:rFonts w:ascii="Times New Roman" w:hAnsi="Times New Roman" w:cs="Times New Roman"/>
          <w:bCs/>
          <w:i/>
          <w:sz w:val="24"/>
          <w:szCs w:val="24"/>
        </w:rPr>
        <w:t>Scientific Electronic Library Online</w:t>
      </w:r>
      <w:r w:rsidRPr="00C244D9">
        <w:rPr>
          <w:rFonts w:ascii="Times New Roman" w:hAnsi="Times New Roman" w:cs="Times New Roman"/>
          <w:bCs/>
          <w:sz w:val="24"/>
          <w:szCs w:val="24"/>
        </w:rPr>
        <w:t xml:space="preserve">), utilizando as palavras-chave: genética, fibrose cística, mucoviscidose, CFTR e seus correspondentes em inglês. Os critérios de inclusão utilizados foram: artigos completos, publicados em português e inglês, que abordassem quais os principais fatores genéticos associados à fibrose cística. </w:t>
      </w:r>
      <w:r w:rsidRPr="00C244D9">
        <w:rPr>
          <w:rFonts w:ascii="Times New Roman" w:hAnsi="Times New Roman" w:cs="Times New Roman"/>
          <w:b/>
          <w:bCs/>
          <w:sz w:val="24"/>
          <w:szCs w:val="24"/>
        </w:rPr>
        <w:t xml:space="preserve">RESULTADOS: </w:t>
      </w:r>
      <w:r w:rsidRPr="00C244D9">
        <w:rPr>
          <w:rFonts w:ascii="Times New Roman" w:hAnsi="Times New Roman" w:cs="Times New Roman"/>
          <w:bCs/>
          <w:sz w:val="24"/>
          <w:szCs w:val="24"/>
        </w:rPr>
        <w:t>Foram encontrados no total 73 artigos nas referidas bases de dados. Destes, 10 artigos foram analisados de acordo com os critérios de inclusão estabelecidos. A literatura apresenta que a maioria das mutações está presente no gene ΔF508del de classe II em indivíduos homozigotos, seguida de variações de ΔF508del com alterações de classe I e III, notados principalmente em crianças, por último foram observadas variações de classe IV e VI, observados principalmente em adultos. A mutação de classe II realiza o processamento incorreto da proteína CFTR e está associada à gravidade clínica desta patologia, principalmente à suas variáveis no início da doença e também na apresentação fenotípica. Essas modificações genéticas também apresentam relação com a via de Ubiquitina C, que levam às doenças concomitantes à FC (hepática e pancreática). Além disso, também é destacada a importância da triagem do gene ΔF508del, já que esse é o mais frequente, e isso facilita o tratamento, a fim de amenizar os sintomas e reduzir as complicações.</w:t>
      </w:r>
      <w:r w:rsidRPr="00C244D9">
        <w:rPr>
          <w:rFonts w:ascii="Times New Roman" w:hAnsi="Times New Roman" w:cs="Times New Roman"/>
          <w:b/>
          <w:bCs/>
          <w:sz w:val="24"/>
          <w:szCs w:val="24"/>
        </w:rPr>
        <w:t xml:space="preserve"> CONCLUSÃO: </w:t>
      </w:r>
      <w:r w:rsidRPr="00C244D9">
        <w:rPr>
          <w:rFonts w:ascii="Times New Roman" w:hAnsi="Times New Roman" w:cs="Times New Roman"/>
          <w:bCs/>
          <w:sz w:val="24"/>
          <w:szCs w:val="24"/>
        </w:rPr>
        <w:t>As variações genéticas observadas nos genes ΔF508del permitem compreender as principais variações nas manifestações clínicas e suas consequências no percuso da doença, ou seja, possibilitam entender a</w:t>
      </w:r>
      <w:bookmarkStart w:id="0" w:name="_GoBack"/>
      <w:bookmarkEnd w:id="0"/>
      <w:r w:rsidRPr="00C244D9">
        <w:rPr>
          <w:rFonts w:ascii="Times New Roman" w:hAnsi="Times New Roman" w:cs="Times New Roman"/>
          <w:bCs/>
          <w:sz w:val="24"/>
          <w:szCs w:val="24"/>
        </w:rPr>
        <w:t>s diferentes apresentações fenotípicas.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6EA47461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244D9">
        <w:rPr>
          <w:rFonts w:ascii="Times New Roman" w:hAnsi="Times New Roman" w:cs="Times New Roman"/>
          <w:sz w:val="24"/>
          <w:szCs w:val="24"/>
        </w:rPr>
        <w:t>G</w:t>
      </w:r>
      <w:r w:rsidR="00C244D9" w:rsidRPr="00A300F0">
        <w:rPr>
          <w:rFonts w:ascii="Times New Roman" w:hAnsi="Times New Roman" w:cs="Times New Roman"/>
          <w:sz w:val="24"/>
          <w:szCs w:val="24"/>
        </w:rPr>
        <w:t>enética,</w:t>
      </w:r>
      <w:r w:rsidR="00C244D9">
        <w:rPr>
          <w:rFonts w:ascii="Times New Roman" w:hAnsi="Times New Roman" w:cs="Times New Roman"/>
          <w:sz w:val="24"/>
          <w:szCs w:val="24"/>
        </w:rPr>
        <w:t xml:space="preserve"> fibrose cística, CFTR.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36169" w14:textId="77777777" w:rsidR="008E3396" w:rsidRDefault="008E3396" w:rsidP="007218E2">
      <w:pPr>
        <w:spacing w:after="0" w:line="240" w:lineRule="auto"/>
      </w:pPr>
      <w:r>
        <w:separator/>
      </w:r>
    </w:p>
  </w:endnote>
  <w:endnote w:type="continuationSeparator" w:id="0">
    <w:p w14:paraId="5D30015C" w14:textId="77777777" w:rsidR="008E3396" w:rsidRDefault="008E3396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49A59" w14:textId="77777777" w:rsidR="008E3396" w:rsidRDefault="008E3396" w:rsidP="007218E2">
      <w:pPr>
        <w:spacing w:after="0" w:line="240" w:lineRule="auto"/>
      </w:pPr>
      <w:r>
        <w:separator/>
      </w:r>
    </w:p>
  </w:footnote>
  <w:footnote w:type="continuationSeparator" w:id="0">
    <w:p w14:paraId="44C78569" w14:textId="77777777" w:rsidR="008E3396" w:rsidRDefault="008E3396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8E3396"/>
    <w:rsid w:val="009D62B9"/>
    <w:rsid w:val="00B27934"/>
    <w:rsid w:val="00BD6D9B"/>
    <w:rsid w:val="00C244D9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Leonardo</cp:lastModifiedBy>
  <cp:revision>2</cp:revision>
  <dcterms:created xsi:type="dcterms:W3CDTF">2023-05-04T12:59:00Z</dcterms:created>
  <dcterms:modified xsi:type="dcterms:W3CDTF">2023-05-04T12:59:00Z</dcterms:modified>
</cp:coreProperties>
</file>