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DESAFIOS E OPORTUNIDADES DA LICENCIATURA EM EXPRESSÃO GRÁFICA NO ENSINO TÉCNICO DE DESIGN GRÁFICO: EXPERIÊNCIA DO PIBID NA ESCOLA TÉCNICA ESTADUAL MIGUEL BATISTA</w:t>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line="36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José Daécio Andrade de Oliveira Neto</w:t>
      </w:r>
      <w:r w:rsidDel="00000000" w:rsidR="00000000" w:rsidRPr="00000000">
        <w:rPr>
          <w:rFonts w:ascii="Times New Roman" w:cs="Times New Roman" w:eastAsia="Times New Roman" w:hAnsi="Times New Roman"/>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5">
      <w:pPr>
        <w:spacing w:line="36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Thaywane Liberal de Siqueira</w:t>
      </w:r>
      <w:r w:rsidDel="00000000" w:rsidR="00000000" w:rsidRPr="00000000">
        <w:rPr>
          <w:rFonts w:ascii="Times New Roman" w:cs="Times New Roman" w:eastAsia="Times New Roman" w:hAnsi="Times New Roman"/>
          <w:b w:val="1"/>
          <w:sz w:val="24"/>
          <w:szCs w:val="24"/>
          <w:vertAlign w:val="superscript"/>
        </w:rPr>
        <w:footnoteReference w:customMarkFollows="0" w:id="1"/>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6">
      <w:pPr>
        <w:spacing w:line="360" w:lineRule="auto"/>
        <w:jc w:val="right"/>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Glauco Vinícius Pires Pereira Cartaxo</w:t>
      </w:r>
      <w:r w:rsidDel="00000000" w:rsidR="00000000" w:rsidRPr="00000000">
        <w:rPr>
          <w:rFonts w:ascii="Times New Roman" w:cs="Times New Roman" w:eastAsia="Times New Roman" w:hAnsi="Times New Roman"/>
          <w:b w:val="1"/>
          <w:sz w:val="24"/>
          <w:szCs w:val="24"/>
          <w:highlight w:val="white"/>
          <w:vertAlign w:val="superscript"/>
        </w:rPr>
        <w:footnoteReference w:customMarkFollows="0" w:id="2"/>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b w:val="1"/>
          <w:sz w:val="24"/>
          <w:szCs w:val="24"/>
          <w:highlight w:val="white"/>
          <w:rtl w:val="0"/>
        </w:rPr>
        <w:t xml:space="preserve">Amauri José Lopes Junior</w:t>
      </w:r>
      <w:r w:rsidDel="00000000" w:rsidR="00000000" w:rsidRPr="00000000">
        <w:rPr>
          <w:rFonts w:ascii="Times New Roman" w:cs="Times New Roman" w:eastAsia="Times New Roman" w:hAnsi="Times New Roman"/>
          <w:b w:val="1"/>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07">
      <w:pPr>
        <w:spacing w:line="360" w:lineRule="auto"/>
        <w:jc w:val="right"/>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Thyago José Oliveira Costa</w:t>
      </w:r>
      <w:r w:rsidDel="00000000" w:rsidR="00000000" w:rsidRPr="00000000">
        <w:rPr>
          <w:rFonts w:ascii="Times New Roman" w:cs="Times New Roman" w:eastAsia="Times New Roman" w:hAnsi="Times New Roman"/>
          <w:b w:val="1"/>
          <w:sz w:val="24"/>
          <w:szCs w:val="24"/>
          <w:highlight w:val="white"/>
          <w:vertAlign w:val="superscript"/>
        </w:rPr>
        <w:footnoteReference w:customMarkFollows="0" w:id="4"/>
      </w:r>
      <w:r w:rsidDel="00000000" w:rsidR="00000000" w:rsidRPr="00000000">
        <w:rPr>
          <w:rtl w:val="0"/>
        </w:rPr>
      </w:r>
    </w:p>
    <w:p w:rsidR="00000000" w:rsidDel="00000000" w:rsidP="00000000" w:rsidRDefault="00000000" w:rsidRPr="00000000" w14:paraId="00000008">
      <w:pPr>
        <w:spacing w:line="360" w:lineRule="auto"/>
        <w:jc w:val="right"/>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Thyana Farias Galvão</w:t>
      </w:r>
      <w:r w:rsidDel="00000000" w:rsidR="00000000" w:rsidRPr="00000000">
        <w:rPr>
          <w:rFonts w:ascii="Times New Roman" w:cs="Times New Roman" w:eastAsia="Times New Roman" w:hAnsi="Times New Roman"/>
          <w:b w:val="1"/>
          <w:sz w:val="24"/>
          <w:szCs w:val="24"/>
          <w:highlight w:val="white"/>
          <w:vertAlign w:val="superscript"/>
        </w:rPr>
        <w:footnoteReference w:customMarkFollows="0" w:id="5"/>
      </w:r>
      <w:r w:rsidDel="00000000" w:rsidR="00000000" w:rsidRPr="00000000">
        <w:rPr>
          <w:rtl w:val="0"/>
        </w:rPr>
      </w:r>
    </w:p>
    <w:p w:rsidR="00000000" w:rsidDel="00000000" w:rsidP="00000000" w:rsidRDefault="00000000" w:rsidRPr="00000000" w14:paraId="00000009">
      <w:pPr>
        <w:spacing w:line="360" w:lineRule="auto"/>
        <w:jc w:val="right"/>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RESUMO</w:t>
      </w:r>
      <w:r w:rsidDel="00000000" w:rsidR="00000000" w:rsidRPr="00000000">
        <w:rPr>
          <w:rtl w:val="0"/>
        </w:rPr>
      </w:r>
    </w:p>
    <w:p w:rsidR="00000000" w:rsidDel="00000000" w:rsidP="00000000" w:rsidRDefault="00000000" w:rsidRPr="00000000" w14:paraId="0000000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Programa Institucional de Bolsas de Iniciação à Docência (PIBID) promove articulação entre formação universitária e prática escolar na educação básica. Este relato de experiência analisa a inserção de licenciandos em Expressão Gráfica no curso técnico de Design Gráfico da Escola Técnica Estadual (ETE) Miguel Batista (Recife-PE), investigando desafios e oportunidades dessa articulação no ensino técnico integrado. O objetivo foi relatar e analisar como essa vivência contribui para a formação docente e inovação de práticas pedagógicas. A metodologia baseou-se em pesquisa-ação, com dados coletados através de diários de campo dos quatro licenciandos, observações participantes e registros de oficinas, durante fevereiro-agosto de 2025. Foram desenvolvidas três oficinas (corte laser, tesselação e modelagem 3D) com duas turmas de 45 alunos cada. Os resultados evidenciaram cinco desafios principais: cronograma exaustivo (7h30-17h00), infraestrutura limitada (20 computadores/45 alunos), tensão formação técnica versus preparação vestibular, imediatismo digital dos estudantes e subutilização de recursos maker. Como oportunidades, identificaram-se: integração efetiva entre Expressão Gráfica e Design Gráfico, aplicação bem-sucedida de metodologias ativas, exploração do laboratório CRIA para fabricação digital e desenvolvimento da identidade docente através da reflexão sobre a prática. O PIBID configurou-se como espaço formativo essencial, demonstrando que limitações estruturais podem ser transformadas em oportunidades pedagógicas através de metodologias participativas e reflexão crítica.</w:t>
      </w: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PALAVRAS CHAVES</w:t>
      </w:r>
    </w:p>
    <w:p w:rsidR="00000000" w:rsidDel="00000000" w:rsidP="00000000" w:rsidRDefault="00000000" w:rsidRPr="00000000" w14:paraId="0000000E">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PIBID; Formação de Professores; Expressão Gráfica; Ensino Técnico.</w:t>
      </w:r>
    </w:p>
    <w:p w:rsidR="00000000" w:rsidDel="00000000" w:rsidP="00000000" w:rsidRDefault="00000000" w:rsidRPr="00000000" w14:paraId="0000000F">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INTRODUÇÃO</w:t>
      </w:r>
    </w:p>
    <w:p w:rsidR="00000000" w:rsidDel="00000000" w:rsidP="00000000" w:rsidRDefault="00000000" w:rsidRPr="00000000" w14:paraId="0000001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formação de professores no Brasil enfrenta desafios históricos e contemporâneos que exigem o fortalecimento de políticas públicas capazes de conectar a universidade ao cotidiano escolar e promover práticas pedagógicas significativas (Freire, 2002; Imbernón, 2011; Nóvoa, 2009). Nesse contexto, o PIBID, é uma política nacional do Ministério da Educação que fomenta a iniciação à docência e o aperfeiçoamento da formação docente (BRASIL, 2024), destaca-se por promover articulação imersiva entre teoria acadêmica e prática escolar, contribuindo para a construção de identidade docente reflexiva e contextualizada (Ambrosetti et al., 2013; Pimenta; Lima, 2006).</w:t>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inserção de licenciandos no ensino técnico integrado apresenta oportunidades formativas ainda pouco exploradas, especialmente considerando os desafios históricos dessa modalidade educacional. O ensino técnico brasileiro carrega tensões decorrentes da dualidade estrutural que tradicionalmente separam a formação propedêutica e profissionalizante (Nascimento, 2007), manifestando-se contemporaneamente em dificuldades de articulação curricular, pressão por resultados em avaliações externas e ênfase em habilidades técnico-operacionais em detrimento de abordagens integradoras que promovam pensamento crítico e criativo (Pena, 2016; Silva; Ramos, 2018). Nesse contexto, a experiência de licenciandos em Expressão Gráfica atuando em cursos de Design Gráfico configura campo fértil para investigar possibilidades de práticas pedagógicas que superem essas fragmentações históricas.</w:t>
      </w:r>
    </w:p>
    <w:p w:rsidR="00000000" w:rsidDel="00000000" w:rsidP="00000000" w:rsidRDefault="00000000" w:rsidRPr="00000000" w14:paraId="0000001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ETE Miguel Batista, localizada no Recife-PE, oferece curso técnico integrado em Design Gráfico e constitui campo de atuação do PIBID Expressão Gráfica da UFPE. Essa instituição exemplifica as tensões características do ensino técnico integrado, onde coexistem demandas por formação profissional específica e preparação para avaliações gerais, configurando contexto apropriado para investigar os desafios e oportunidades da inserção de licenciandos em Expressão Gráfica.</w:t>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Diante desse cenário, o objetivo deste estudo é relatar e analisar os desafios e oportunidades que emergem do ensino de Expressão Gráfica no curso técnico de Design Gráfico da ETE Miguel Batista, contribuindo para a consolidação de práticas pedagógicas integradoras e para a qualificação da formação docente na área. A partir das experiências desenvolvidas no âmbito do PIBID, busca-se compreender como essa vivência contribui para o aprimoramento das práticas pedagógicas dos licenciandos e, consequentemente, para a construção de modelos replicáveis de integração curricular que possam orientar outros núcleos do PIBID e instituições de ensino técnico na implementação de propostas similares.</w:t>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2. REFERENCIAL TEÓRICO</w:t>
        <w:br w:type="textWrapping"/>
      </w:r>
      <w:r w:rsidDel="00000000" w:rsidR="00000000" w:rsidRPr="00000000">
        <w:rPr>
          <w:rFonts w:ascii="Times New Roman" w:cs="Times New Roman" w:eastAsia="Times New Roman" w:hAnsi="Times New Roman"/>
          <w:sz w:val="24"/>
          <w:szCs w:val="24"/>
          <w:rtl w:val="0"/>
        </w:rPr>
        <w:tab/>
        <w:t xml:space="preserve">A formação de professores demanda abordagens que superem a dicotomia entre teoria e prática através da construção de saberes contextualizados e reflexivos. O PIBID materializa essa perspectiva ao proporcionar inserção prolongada no ambiente escolar, alinhando-se à concepção de Pimenta e Lima (2006) que defendem o estágio como "campo de conhecimento" que articula pesquisa e reflexão crítica, superando sua redução à "atividade prática instrumental". Essa abordagem dialoga com Nóvoa (2009) sobre a importância da "partilha de saberes" na construção da identidade profissional e com Freire (2002), que concebe a formação como práxis transformadora através da reflexão crítica sobre a ação educativa.</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t>
      </w:r>
      <w:r w:rsidDel="00000000" w:rsidR="00000000" w:rsidRPr="00000000">
        <w:rPr>
          <w:rFonts w:ascii="Times New Roman" w:cs="Times New Roman" w:eastAsia="Times New Roman" w:hAnsi="Times New Roman"/>
          <w:sz w:val="24"/>
          <w:szCs w:val="24"/>
          <w:rtl w:val="0"/>
        </w:rPr>
        <w:t xml:space="preserve">ensino técnico integrado</w:t>
      </w:r>
      <w:r w:rsidDel="00000000" w:rsidR="00000000" w:rsidRPr="00000000">
        <w:rPr>
          <w:rFonts w:ascii="Times New Roman" w:cs="Times New Roman" w:eastAsia="Times New Roman" w:hAnsi="Times New Roman"/>
          <w:sz w:val="24"/>
          <w:szCs w:val="24"/>
          <w:rtl w:val="0"/>
        </w:rPr>
        <w:t xml:space="preserve">, modalidade “oferecida somente a quem já tenha concluído o ensino fundamental, sendo o curso planejado de modo a conduzir o aluno à habilitação profissional técnica de nível médio, na mesma instituição de ensino contando com a matrícula única para cada aluno” (BRASIL, 1996, Art.36-C,I)  a essa formação enfrenta desafios específicos decorrentes da dualidade estrutural histórica da educação profissional brasileira. Nascimento (2007) demonstra como essa dualidade estabeleceu políticas educacionais distintas - ensino propedêutico para elites e profissionalizante para classes trabalhadoras - criando tensões persistentes. Silva e Ramos (2018) evidenciam que essa herança resulta em "intensificação do trabalho docente e discente” e “estreitamento curricular”, comprometendo o potencial integrador da formação técnica.</w:t>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pesquisa-ação emerge como metodologia alinhada aos princípios da formação crítica, operando através de ciclos de observação-reflexão-intervenção que transformam desafios da prática em problemas de pesquisa (Thiollent, 2011). Essa abordagem potencializa as experiências do PIBID ao gerar intervenções fundamentadas e criticamente avaliadas.</w:t>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Licenciatura em Expressão Gráfica constitui campo formativo específico e relativamente recente no contexto brasileiro, tendo sido implementada na UFPE em 2010 como resposta às exigências do Ministério da Educação para reformulação dos cursos de formação de professores (UFPE, 2024). Essa licenciatura emergiu da transformação do antigo curso de “Licenciatura em Desenho e Plástica”, buscando maior adequação às demandas da educação profissional integrada. O curso atende à ampliação do conceito de Educação Básica que, em 2005, passou a incluir o ensino técnico, representando campo promissor para os licenciados em Expressão Gráfica. A formação específica objetiva capacitar professores para o ensino de Geometria Bidimensional, Geometria Tridimensional, Sistemas de Representação e Desenho Técnico, desenvolvendo “habilidades relacionadas à inteligência espacial” e possibilitando atuação em “eixos profissionais afins à geometria, como: Artes Visuais, Arquitetura, Design, Engenharias e Tecnologias Computacionais” (UFPE, 2024).</w:t>
      </w:r>
    </w:p>
    <w:p w:rsidR="00000000" w:rsidDel="00000000" w:rsidP="00000000" w:rsidRDefault="00000000" w:rsidRPr="00000000" w14:paraId="0000001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Design Gráfico constitui disciplina projetual que organiza metodologicamente esses elementos visuais para solucionar problemas comunicacionais específicos (Munari, 1997; Dondis, 2015). A articulação entre Expressão Gráfica e Design Gráfico no contexto do ensino técnico integrado cria oportunidades formativas que integram conhecimento técnico, pensamento projetual e reflexão crítica, configurando campo fértil para experiências como as proporcionadas pelo PIBID na construção de práticas pedagógicas inovadoras e contextualmente situadas.</w:t>
      </w:r>
    </w:p>
    <w:p w:rsidR="00000000" w:rsidDel="00000000" w:rsidP="00000000" w:rsidRDefault="00000000" w:rsidRPr="00000000" w14:paraId="0000001B">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3. METODOLOGIA</w:t>
      </w:r>
      <w:r w:rsidDel="00000000" w:rsidR="00000000" w:rsidRPr="00000000">
        <w:rPr>
          <w:rtl w:val="0"/>
        </w:rPr>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trabalho caracteriza-se como um relato de experiência fundamentado na pesquisa-ação (Thiollent, 2011), desenvolvido no âmbito do PIBID Expressão Gráfica durante o período de fevereiro a agosto de 2025 na Escola Técnica Estadual Miguel Batista, Recife-PE.</w:t>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estudo foi realizado com estudantes do primeiro ano do curso técnico integrado em Design Gráfico, especificamente com as turmas do primeiro ano do curso de design gráfico (DG) , 1º DG B e 1º DG A, composta por </w:t>
      </w:r>
      <w:r w:rsidDel="00000000" w:rsidR="00000000" w:rsidRPr="00000000">
        <w:rPr>
          <w:rFonts w:ascii="Times New Roman" w:cs="Times New Roman" w:eastAsia="Times New Roman" w:hAnsi="Times New Roman"/>
          <w:sz w:val="24"/>
          <w:szCs w:val="24"/>
          <w:rtl w:val="0"/>
        </w:rPr>
        <w:t xml:space="preserve">45 alunos de cada turma</w:t>
      </w:r>
      <w:r w:rsidDel="00000000" w:rsidR="00000000" w:rsidRPr="00000000">
        <w:rPr>
          <w:rFonts w:ascii="Times New Roman" w:cs="Times New Roman" w:eastAsia="Times New Roman" w:hAnsi="Times New Roman"/>
          <w:sz w:val="24"/>
          <w:szCs w:val="24"/>
          <w:rtl w:val="0"/>
        </w:rPr>
        <w:t xml:space="preserve">. Participaram também quatro licenciandos bolsistas do PIBID, um professor supervisor da escola e um coordenador de área da universidade.</w:t>
      </w:r>
    </w:p>
    <w:p w:rsidR="00000000" w:rsidDel="00000000" w:rsidP="00000000" w:rsidRDefault="00000000" w:rsidRPr="00000000" w14:paraId="0000001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dados foram coletados através de: (a) observações participantes durante as aulas regulares e oficinas desenvolvidas; (b) diários de campo elaborados individualmente pelos licenciandos após cada encontro, seguindo roteiro estruturado com descrição das atividades, reflexões sobre as práticas observadas e identificação de desafios e oportunidades; (c) registros fotográficos e documentais das três oficinas implementadas (corte a laser, tesselação e modelagem 3D); (d) relatos reflexivos coletivos sobre o processo de intervenção pedagógica realizados semanalmente.</w:t>
      </w:r>
    </w:p>
    <w:p w:rsidR="00000000" w:rsidDel="00000000" w:rsidP="00000000" w:rsidRDefault="00000000" w:rsidRPr="00000000" w14:paraId="0000002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material coletado foi submetido à análise de conteúdo temática, identificando-se categorias emergentes relacionadas aos desafios estruturais, pedagógicos e socioculturais, bem como às oportunidades de inovação e aprendizagem docente. A abordagem da pesquisa-ação operacionalizou-se através de ciclos de observação-reflexão-intervenção, nos quais as dificuldades identificadas foram transformadas em problemas de pesquisa, gerando oficinas pedagógicas como ações investigativas para testar soluções colaborativas.(Thiollent, 2011)</w:t>
      </w:r>
    </w:p>
    <w:p w:rsidR="00000000" w:rsidDel="00000000" w:rsidP="00000000" w:rsidRDefault="00000000" w:rsidRPr="00000000" w14:paraId="0000002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estudo foi conduzido com autorização formal da direção da ETE Miguel Batista e supervisão do coordenador institucional do PIBID, respeitando-se os princípios éticos da pesquisa educacional e garantindo o anonimato dos participantes nos registros utilizados.</w:t>
      </w:r>
    </w:p>
    <w:p w:rsidR="00000000" w:rsidDel="00000000" w:rsidP="00000000" w:rsidRDefault="00000000" w:rsidRPr="00000000" w14:paraId="00000022">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RESULTADOS E DISCUSSÕES</w:t>
      </w:r>
    </w:p>
    <w:p w:rsidR="00000000" w:rsidDel="00000000" w:rsidP="00000000" w:rsidRDefault="00000000" w:rsidRPr="00000000" w14:paraId="0000002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análise dos registros da experiência do PIBID na ETE Miguel Batista revela um cenário complexo, onde desafios estruturais e pedagógicos coexistem com oportunidades de estudos aprofundados e reflexão sobre o processo de</w:t>
      </w:r>
      <w:r w:rsidDel="00000000" w:rsidR="00000000" w:rsidRPr="00000000">
        <w:rPr>
          <w:rFonts w:ascii="Times New Roman" w:cs="Times New Roman" w:eastAsia="Times New Roman" w:hAnsi="Times New Roman"/>
          <w:color w:val="99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aprendizagem. Esta seção se dedica a aprofundar a discussão sobre essa dualidade, conectando as observações da prática com o arcabouço teórico que fundamenta este trabalho, a fim de responder à questão central da pesquisa.</w:t>
      </w:r>
    </w:p>
    <w:p w:rsidR="00000000" w:rsidDel="00000000" w:rsidP="00000000" w:rsidRDefault="00000000" w:rsidRPr="00000000" w14:paraId="0000002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Os Desafios da Prática Docente no Contexto do Ensino Técnico</w:t>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imersão na realidade escolar permitiu identificar desafios que transcendem a sala de aula, refletindo sobre a educação profissional no Brasil. O primeiro deles é de ordem estrutural, os laboratórios possuem 20 computadores, enquanto as turmas possuem 45 alunos, o que obriga o trabalho em grupo e intensifica a demanda de apoio.</w:t>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segundo desafio observado relaciona-se à carga horária extensa. A ETE Miguel Batista mantém uma rotina integral, com aulas das 7:30h às 17:00h, buscando equilibrar o currículo da base comum com a formação técnica. Contudo, essa estrutura resulta em um cronograma exaustivo para os estudantes.</w:t>
      </w:r>
    </w:p>
    <w:p w:rsidR="00000000" w:rsidDel="00000000" w:rsidP="00000000" w:rsidRDefault="00000000" w:rsidRPr="00000000" w14:paraId="0000002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realidade exemplifica o que Silva e Ramos (2018, p. 580) identificam como “intensificação do trabalho docente e discente”, em que a escola busca mais que comprometimento escolar seja autônoma e em prol de resultados. Como foi observado durante o período de realização de eventos na instituição, muitos dos alunos ficavam comprometidos com as atividades dos eventos ao invés de estarem comprometidos com as aulas, mas a pressão em cima do estudante ainda continuaria a mesma independentemente da circunstância em que o educando esteja. </w:t>
      </w:r>
    </w:p>
    <w:p w:rsidR="00000000" w:rsidDel="00000000" w:rsidP="00000000" w:rsidRDefault="00000000" w:rsidRPr="00000000" w14:paraId="0000002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ETE Miguel Batista, essa “intensificação do trabalho” também se manifesta com uma matriz curricular de 19 disciplinas semanais. Esta rotina intensa resulta em um calendário restrito, criando um obstáculo para conciliar as atividades regulares entre os nossos projetos relacionados ao PIBID, as aulas e outras atividades da escola. Essa dinâmica gera um ciclo de cansaço físico e mental, isso é notado quando os estudantes utilizam seu horário de almoço para realizar atividades extracurriculares que, por sua vez, resultam na dificuldade de concentração ao longo do dia. Observamos que essa rotina, ao priorizar o cumprimento de uma extensa matriz curricular, pode comprometer a qualidade do ensino e o bem-estar do estudante, criando fatores limitantes para o trabalho pedagógico em diversas camadas.</w:t>
      </w:r>
    </w:p>
    <w:p w:rsidR="00000000" w:rsidDel="00000000" w:rsidP="00000000" w:rsidRDefault="00000000" w:rsidRPr="00000000" w14:paraId="0000002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dos desafios mais significativos observados na ETE Miguel Batista é o conflito de identidade institucional, que emerge da tensão entre a sua vocação para formação técnica e a crescente pressão para a preparação dos alunos para o Exame Nacional do Ensino Médio (ENEM) e outros vestibulares. Esta situação marcou o ensino no Brasil, separando a via profissionalizante da propedêutica (NASCIMENTO, 2007). Na prática, essa tensão se manifesta em um currículo sobrecarregado que tenta atender a ambas as demandas, resultando em um outro ponto que causa pressão entre os estudantes pela carga de necessitarem trabalhar o ensino profissionalizante e o que seguir para o ensino superior, criando essa intensa realidade, como apontam Silva e Ramos (2018). </w:t>
      </w:r>
    </w:p>
    <w:p w:rsidR="00000000" w:rsidDel="00000000" w:rsidP="00000000" w:rsidRDefault="00000000" w:rsidRPr="00000000" w14:paraId="0000002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desafio, de ordem sociocultural, é a tendência dos estudantes ao imediatismo, buscando respostas prontas na Internet em detrimento do desenvolvimento do raciocínio lógico e do senso crítico. Durante as atividades, observou-se que, diante de um problema projetual, a primeira reação de muitos alunos era procurar por soluções visuais prontas em plataformas online, em vez de exercitar o processo de ideação e experimentação. Essa prática limita a elaboração de processos criativos autônomos e reflete na necessidade de um trabalho voltado para o letramento digital crítico, que ficou mais evidente durante as primeiras avaliações institucionais que foram realizadas em computadores que trouxeram dificuldades para sua aplicação, que, segundo Soares (2002), demonstrando o deterioramento das capacidade de pensamentos autônomos e produção de ideias advindas dos estudantes criando situações onde alunos não se esforçam para tentarem busca a solução de problemas ou processo criativo estagnante. Esta postura representa um obstáculo direto à pedagogia da autonomia defendida por Freire (2002), pois substitui a investigação e a criação que são centrais para a aprendizagem em Design Gráfico, pela mera replicação de informações.</w:t>
      </w:r>
    </w:p>
    <w:p w:rsidR="00000000" w:rsidDel="00000000" w:rsidP="00000000" w:rsidRDefault="00000000" w:rsidRPr="00000000" w14:paraId="0000002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Além dos desafios acima, um problema recorrente foi adaptar as metodologias ao ritmo de aprendizagem dos estudantes. O imediatismo dos estudantes, alinhado à curiosidade de explorar as ferramentas dos softwares, dificultou a assimilação do conteúdo, resultando em uma demanda expressiva de dúvidas para executar os exercícios propostos. O processo em questão revelou-se ineficaz, contribuindo para a ampliação das dificuldades enfrentadas tanto por professores quanto por estudantes. A tentativa de associar conteúdos teóricos e práticos, sem a devida articulação entre ambos, resultou em desequilíbrios que comprometem a aprendizagem. Tal abordagem gerou obstáculos adicionais para discentes que já apresentavam dificuldades de acompanhamento. Verificou-se, de forma recorrente, que após a exposição do conteúdo, muitos estudantes não conseguiam dar início às atividades propostas, manifestando dúvidas constantes ou demandando explicações reiteradas acerca das orientações previamente apresentadas. Esse cenário pode ser interpretado à luz da crítica de Pimenta e Lima (2006) à concepção de “prática como instrumentalização técnica”.</w:t>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instrumentalização técnica vem de uma crítica que aborda o processo educativo como mais amplo e complexo. O aluno não vai só entender duas coisas ao mesmo tempo, mas o que é relevante para o estudante e o que ele compreende (Pimenta e Lima, 2026). Então o processo de o professor supervisor Thyago Costa utiliza este método, porém sendo “bem aplicado” intercalando entre a necessidade da turma para o entendimento do conteúdo, por exemplo se uma turma é mais receptiva ao conceito teórico ele irá desenvolver, mas separando momento prático que sejam relevantes e se comuniquem bem com o que está sendo realizado, aspecto da qual ele utiliza de referência é a “Aprendizagem Ativa” (Moran, 2018). </w:t>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Além disso, no campo sociocultural, nos mostrou lidar com diferentes perfis de estudantes, marcados pela cultura digital. Advento a isso, os alunos possuem o défice no processo criativo e reflexivo, foi uma barreira observada. Tal comportamento evidencia a necessidade de um trabalho voltado ao letramento digital crítico, que, como aponta Soares (2002), envolve a capacidade de analisar e produzir conhecimento de forma consciente.</w:t>
      </w:r>
    </w:p>
    <w:p w:rsidR="00000000" w:rsidDel="00000000" w:rsidP="00000000" w:rsidRDefault="00000000" w:rsidRPr="00000000" w14:paraId="0000003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Paradoxalmente, apesar dos desafios estruturais, a instituição possui um recurso de grande valia, o Espaço Cria, projetado para o aprendizado de tecnologias emergentes como cortadora laser e impressoras 3D. Este laboratório representa uma oportunidade singular para a inovação pedagógica, alinhada à necessidade de preparar os futuros professores para a utilização e promover aprendizagem ativa engajadora.</w:t>
      </w:r>
    </w:p>
    <w:p w:rsidR="00000000" w:rsidDel="00000000" w:rsidP="00000000" w:rsidRDefault="00000000" w:rsidRPr="00000000" w14:paraId="0000003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Contudo, observamos que a falta de preparo específico de parte do corpo docente para a utilização deste espaço resulta em sua subutilização. Diante da valorização do conhecimento em conteúdo ao invés de novas metodologias de ensino o que dialoga com a pesquisa de Pena (2016), traz o processo dos professores não receberem preparação necessária para terem a oportunidade de utilização do espaço e a de explorarem o que as tecnologias podem oferecer devido ao cronograma institucional que já observado sendo demasiado intenso. Como consequência desta situação, os maquinários apresentam dificuldades de uso por falta de manutenção e utilização, limitando seu potencial do recurso pedagógico e como agregador para a formação docente e discente na instituição.</w:t>
      </w:r>
    </w:p>
    <w:p w:rsidR="00000000" w:rsidDel="00000000" w:rsidP="00000000" w:rsidRDefault="00000000" w:rsidRPr="00000000" w14:paraId="00000032">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As Oportunidades de Inovação e Aprendizagem no PIBID</w:t>
      </w:r>
    </w:p>
    <w:p w:rsidR="00000000" w:rsidDel="00000000" w:rsidP="00000000" w:rsidRDefault="00000000" w:rsidRPr="00000000" w14:paraId="0000003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desses desafios observados, surgiram oportunidades significativas. A principal delas foi a possibilidade de promover uma integração real entre a Expressão Gráfica e o Design Gráfico através da pesquisa-ação (Thiollent, 2011). Atividades como os projetos de corte laser, </w:t>
      </w:r>
      <w:r w:rsidDel="00000000" w:rsidR="00000000" w:rsidRPr="00000000">
        <w:rPr>
          <w:rFonts w:ascii="Times New Roman" w:cs="Times New Roman" w:eastAsia="Times New Roman" w:hAnsi="Times New Roman"/>
          <w:sz w:val="24"/>
          <w:szCs w:val="24"/>
          <w:rtl w:val="0"/>
        </w:rPr>
        <w:t xml:space="preserve">tesselação</w:t>
      </w:r>
      <w:r w:rsidDel="00000000" w:rsidR="00000000" w:rsidRPr="00000000">
        <w:rPr>
          <w:rFonts w:ascii="Times New Roman" w:cs="Times New Roman" w:eastAsia="Times New Roman" w:hAnsi="Times New Roman"/>
          <w:sz w:val="24"/>
          <w:szCs w:val="24"/>
          <w:rtl w:val="0"/>
        </w:rPr>
        <w:t xml:space="preserve"> e sobre tecnologias 3D não eram apenas exercícios técnicos, mas investigações práticas que favoreciam o protagonismo discente, em consonância com a pedagogia da autonomia de Freire (2002).</w:t>
      </w:r>
    </w:p>
    <w:p w:rsidR="00000000" w:rsidDel="00000000" w:rsidP="00000000" w:rsidRDefault="00000000" w:rsidRPr="00000000" w14:paraId="0000003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vivência na Escola Técnica Estadual (ETE) Miguel Batista consistiu no desenvolvimento de um conjunto de atividades planejadas, mesmo com o intenso cronograma institucional, nós alinhamos com o professor supervisor e organizamos para realização dos projetos nos horários de aula da disciplina acompanhada e em momentos extracurriculares. A primeira ação foi uma oficina de formação maker focada na tecnologia de corte a laser. Esta atividade buscou articular os conhecimentos tecnológicos da Expressão Gráfica com a construção de mídias digitais, culminando na criação de um artefato que serviu como ponto de partida para explorar as potencialidades desta ferramenta de fabricação digital.</w:t>
      </w:r>
    </w:p>
    <w:p w:rsidR="00000000" w:rsidDel="00000000" w:rsidP="00000000" w:rsidRDefault="00000000" w:rsidRPr="00000000" w14:paraId="0000003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Dando sequência, a oficina “Tesselação aos Olhos de M. C. Escher” foi aplicada em sala de aula como uma oportunidade de transpor conceitos da licenciatura em Expressão Gráfica para o contexto do Design Gráfico. O objetivo desta prática foi desenvolver nos alunos os fundamentos da visualização e da desconstrução de formas, habilidades essenciais para um trabalho de composição visual mais apurado. Essa abordagem prática permitiu aos estudantes explorar a sintaxe da linguagem visual de forma concreta, aplicando princípios de repetição, simetria e encaixe.</w:t>
      </w:r>
    </w:p>
    <w:p w:rsidR="00000000" w:rsidDel="00000000" w:rsidP="00000000" w:rsidRDefault="00000000" w:rsidRPr="00000000" w14:paraId="0000003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foi introduzido um trabalho de formação em tecnologias 3D, com foco em modelagem digital. Esta última etapa visou apresentar, tanto para os alunos quanto para os professores da instituição, as capacidades de uma impressora 3D como recurso pedagógico. A intenção foi demonstrar como a fabricação de modelos físicos pode adicionar uma camada de tangibilidade e experimentação ao processo de ensino-aprendizagem em sala de aula, conectando o digital ao concreto.</w:t>
      </w:r>
    </w:p>
    <w:p w:rsidR="00000000" w:rsidDel="00000000" w:rsidP="00000000" w:rsidRDefault="00000000" w:rsidRPr="00000000" w14:paraId="0000003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o processo de observação, foi possível perceber o contraste entre as dinâmicas das turmas do primeiro ano de Design Gráfico, especificamente, a turma 1º DG B demonstrou um perfil que demandava uma abordagem pedagógica diferenciada, levando o professor supervisor aplicar uma metodologia denominada 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“Aprendizagem Ativa”</w:t>
      </w:r>
      <w:r w:rsidDel="00000000" w:rsidR="00000000" w:rsidRPr="00000000">
        <w:rPr>
          <w:rFonts w:ascii="Times New Roman" w:cs="Times New Roman" w:eastAsia="Times New Roman" w:hAnsi="Times New Roman"/>
          <w:sz w:val="24"/>
          <w:szCs w:val="24"/>
          <w:rtl w:val="0"/>
        </w:rPr>
        <w:t xml:space="preserve"> (M</w:t>
      </w:r>
      <w:r w:rsidDel="00000000" w:rsidR="00000000" w:rsidRPr="00000000">
        <w:rPr>
          <w:rFonts w:ascii="Times New Roman" w:cs="Times New Roman" w:eastAsia="Times New Roman" w:hAnsi="Times New Roman"/>
          <w:sz w:val="24"/>
          <w:szCs w:val="24"/>
          <w:rtl w:val="0"/>
        </w:rPr>
        <w:t xml:space="preserve">oran, 2018)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Segundo o autor,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esta metodologia é um conjunto de estratégias pedagógicas que visam colocar o estudante no centro do processo e o protagonista do seu aprendizado, o aluno estará na posição de buscar a partir da prática para que  consiga problematizar e compreender a teoria.</w:t>
      </w:r>
    </w:p>
    <w:p w:rsidR="00000000" w:rsidDel="00000000" w:rsidP="00000000" w:rsidRDefault="00000000" w:rsidRPr="00000000" w14:paraId="0000003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Observou-se que a turma apresentava um perfil dinâmico, com altos níveis de energia e menor engajamento em abordagens puramente expositivas, demonstrando pouca paciência para a apresentação de conceitos teóricos desvinculados de uma aplicação imediata. Diante desse desafio, a estratégia de “Aprendizagem Ativa” mostrou-se eficaz ao modificar a sequência tradicional do ensino, partindo do momento prático que a partir dele construir o entendimento dos conceitos teóricos.</w:t>
      </w:r>
    </w:p>
    <w:p w:rsidR="00000000" w:rsidDel="00000000" w:rsidP="00000000" w:rsidRDefault="00000000" w:rsidRPr="00000000" w14:paraId="0000003A">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método gerou maior interesse e engajamento dos alunos. Aplicação desta abordagem na resolução de problemas da própria instituição, por exemplo, resultou em um bom desenvolvimento da turma 1º DG B, sem que houvesse prejuízo aos fundamentos teóricos do conteúdo. Essa prática docente ilustra a superação da “imitação de modelos”, conforme discutido por Pìmenta e Lima (2006), e demonstra a construção de um saber pedagógico que nasce da reflexão sobre o processo de aprendizado realizado durante a vivência em sala de aula algo que pudermos perceber, após o início das atividades na instituição parceira e a sua importância desta flexibilidade.</w:t>
      </w:r>
    </w:p>
    <w:p w:rsidR="00000000" w:rsidDel="00000000" w:rsidP="00000000" w:rsidRDefault="00000000" w:rsidRPr="00000000" w14:paraId="0000003B">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experiência representou uma oportunidade ímpar para a construção da identidade docente. O “choque de realidade” ao confrontar as dificuldades estruturais e pedagógicas, foi um catalisador para a reflexão crítica para as formas que iríamos trabalhar na instituição. A interação com o professor supervisor, nesse sentido, validou a perspectiva de Nóvoa (2009) sobre a importância da partilha de saberes entre pares. A vivência transformou o estágio em um verdadeiro "campo de conhecimento", abrindo espaço para o desenvolvimento de processos de maneira mais confiante e quais formas de abordagem poderiam ser usadas para trabalhar com os projetos na instituição.</w:t>
      </w:r>
    </w:p>
    <w:p w:rsidR="00000000" w:rsidDel="00000000" w:rsidP="00000000" w:rsidRDefault="00000000" w:rsidRPr="00000000" w14:paraId="0000003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a estrutura física da escola revelou uma oportunidade inesperada. Apesar da limitação de computadores de uso geral, a existência do laboratório CRIA, com impressora 3D e cortadora a laser, abriu as portas para explorar a cultura maker. Esta abordagem, que conecta a pesquisa-ação ao construcionismo, permitiu que os licenciandos propusessem atividades em que os alunos pudessem projetar e fabricar artefatos, tornando a aprendizagem da Expressão Gráfica e do Design um processo concreto e engajador. O PIBID, portanto, não apenas mediou a relação entre teoria e prática, mas também atuou como um agente de inovação, mostrando que, mesmo diante de desafios históricos e estruturais, é possível construir práticas pedagógicas mais integradas e humanizadoras.</w:t>
      </w:r>
    </w:p>
    <w:p w:rsidR="00000000" w:rsidDel="00000000" w:rsidP="00000000" w:rsidRDefault="00000000" w:rsidRPr="00000000" w14:paraId="0000003D">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Style w:val="Heading3"/>
        <w:keepNext w:val="0"/>
        <w:keepLines w:val="0"/>
        <w:spacing w:after="0" w:before="0" w:line="360" w:lineRule="auto"/>
        <w:jc w:val="both"/>
        <w:rPr>
          <w:rFonts w:ascii="Times New Roman" w:cs="Times New Roman" w:eastAsia="Times New Roman" w:hAnsi="Times New Roman"/>
          <w:b w:val="1"/>
          <w:color w:val="000000"/>
          <w:sz w:val="26"/>
          <w:szCs w:val="26"/>
        </w:rPr>
      </w:pPr>
      <w:bookmarkStart w:colFirst="0" w:colLast="0" w:name="_p5vkothlei43" w:id="0"/>
      <w:bookmarkEnd w:id="0"/>
      <w:r w:rsidDel="00000000" w:rsidR="00000000" w:rsidRPr="00000000">
        <w:rPr>
          <w:rFonts w:ascii="Times New Roman" w:cs="Times New Roman" w:eastAsia="Times New Roman" w:hAnsi="Times New Roman"/>
          <w:b w:val="1"/>
          <w:color w:val="000000"/>
          <w:sz w:val="26"/>
          <w:szCs w:val="26"/>
          <w:rtl w:val="0"/>
        </w:rPr>
        <w:t xml:space="preserve">4.3. </w:t>
      </w:r>
      <w:r w:rsidDel="00000000" w:rsidR="00000000" w:rsidRPr="00000000">
        <w:rPr>
          <w:rFonts w:ascii="Times New Roman" w:cs="Times New Roman" w:eastAsia="Times New Roman" w:hAnsi="Times New Roman"/>
          <w:b w:val="1"/>
          <w:color w:val="000000"/>
          <w:sz w:val="24"/>
          <w:szCs w:val="24"/>
          <w:rtl w:val="0"/>
        </w:rPr>
        <w:t xml:space="preserve"> Transformando Desafios Em Oportunidades Formativas</w:t>
      </w:r>
      <w:r w:rsidDel="00000000" w:rsidR="00000000" w:rsidRPr="00000000">
        <w:rPr>
          <w:rtl w:val="0"/>
        </w:rPr>
      </w:r>
    </w:p>
    <w:p w:rsidR="00000000" w:rsidDel="00000000" w:rsidP="00000000" w:rsidRDefault="00000000" w:rsidRPr="00000000" w14:paraId="0000003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experiência do PIBID na ETE Miguel Batista revelou um processo dialético em que cada desafio identificado catalisou o desenvolvimento de estratégias pedagógicas inovadoras. A limitação de recursos computacionais impulsionou metodologias colaborativas; a sobrecarga curricular motivou a experimentação 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Aprendizagem Ativa” (Moran, 2018); e o conflito entre formação técnica e preparação para o ENEM demandou uma visão mais integrada do currículo.</w:t>
      </w:r>
    </w:p>
    <w:p w:rsidR="00000000" w:rsidDel="00000000" w:rsidP="00000000" w:rsidRDefault="00000000" w:rsidRPr="00000000" w14:paraId="0000004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programa atuou como mediador na transformação do “choque de realidade” (Ambrosetti et al., 2013) em processo formativo reflexivo. Através da pesquisa-ação, foi possível converter problemas em questões de investigação, exemplificados nas oficinas desenvolvidas que articularam Expressão Gráfica e Design Gráfico, superando tanto o imediatismo digital dos estudantes quanto a subutilização do laboratório CRIA.</w:t>
      </w:r>
    </w:p>
    <w:p w:rsidR="00000000" w:rsidDel="00000000" w:rsidP="00000000" w:rsidRDefault="00000000" w:rsidRPr="00000000" w14:paraId="0000004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síntese evidencia que o PIBID, ao proporcionar imersão prolongada no ambiente escolar complexo do ensino técnico, configura-se como “campo de conhecimento” (Pimenta e Lima, 2006) essencial para desenvolver competências específicas: mediar tensões institucionais, criar metodologias contextualizadas e transformar limitações em recursos pedagógicos. As lições aprendidas reforçam a necessidade de políticas de formação docente que reconheçam as especificidades do ensino técnico integrado.</w:t>
      </w:r>
    </w:p>
    <w:p w:rsidR="00000000" w:rsidDel="00000000" w:rsidP="00000000" w:rsidRDefault="00000000" w:rsidRPr="00000000" w14:paraId="00000042">
      <w:pPr>
        <w:spacing w:line="360" w:lineRule="auto"/>
        <w:ind w:left="0" w:firstLine="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3">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5. CONSIDERAÇÕES FINAIS</w:t>
      </w:r>
      <w:r w:rsidDel="00000000" w:rsidR="00000000" w:rsidRPr="00000000">
        <w:rPr>
          <w:rtl w:val="0"/>
        </w:rPr>
      </w:r>
    </w:p>
    <w:p w:rsidR="00000000" w:rsidDel="00000000" w:rsidP="00000000" w:rsidRDefault="00000000" w:rsidRPr="00000000" w14:paraId="0000004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trabalho teve como objetivo relatar e analisar os desafios e oportunidades que emergem do ensino de Expressão Gráfica no curso técnico de Design Gráfico da ETE Miguel Batista, respondendo à questão norteadora sobre quais desafios e oportunidades emergem do PIBID em Expressão Gráfica no contexto do ensino técnico integrado. Os objetivos foram plenamente alcançados: a vivência do PIBID entre fevereiro e agosto de 2025 permitiu identificar sistematicamente os obstáculos enfrentados e as possibilidades concretas de inovação, além de demonstrar como essa experiência contribui para o aprimoramento das práticas pedagógicas dos licenciandos e para a formação de profissionais mais qualificados e reflexivos.</w:t>
      </w:r>
    </w:p>
    <w:p w:rsidR="00000000" w:rsidDel="00000000" w:rsidP="00000000" w:rsidRDefault="00000000" w:rsidRPr="00000000" w14:paraId="0000004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resultados evidenciam que os desafios identificados - cronograma exaustivo, infraestrutura limitada, tensão entre formação técnica e preparação para vestibular, e imediatismo digital dos estudantes - não constituem barreiras intransponíveis. As oportunidades emergiram precisamente desses desafios: a integração efetiva entre Expressão Gráfica e Design Gráfico através de oficinas práticas, a aplicação bem-sucedida da "inversão pedagógica" para engajamento discente, e a configuração do PIBID como espaço privilegiado de articulação teoria-prática que qualifica a formação docente inicial.</w:t>
      </w:r>
    </w:p>
    <w:p w:rsidR="00000000" w:rsidDel="00000000" w:rsidP="00000000" w:rsidRDefault="00000000" w:rsidRPr="00000000" w14:paraId="0000004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limitações incluem o período restrito de observação (cinco meses), contexto específico de uma única turma de uma escola particular, ausência de instrumentos de avaliação formal do desempenho discente, e foco predominante na perspectiva dos licenciandos com limitada participação da voz dos estudantes da educação básica. Essas limitações restringem a possibilidade de generalizações e a avaliação de impactos de longo prazo.</w:t>
      </w:r>
    </w:p>
    <w:p w:rsidR="00000000" w:rsidDel="00000000" w:rsidP="00000000" w:rsidRDefault="00000000" w:rsidRPr="00000000" w14:paraId="0000004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desdobramentos futuros incluem: desenvolvimento de sequências didáticas replicáveis para outros contextos do ensino técnico integrado; investigação longitudinal sobre impactos da integração curricular entre Expressão Gráfica e Design Gráfico; estudos comparativos em diferentes escolas técnicas; pesquisas sobre o potencial dos espaços maker para articulação entre representação e fabricação digital; e desenvolvimento de instrumentos específicos para avaliação de competências visuais em estudantes da educação profissional.</w:t>
      </w: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9">
      <w:pPr>
        <w:spacing w:line="36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REFERÊNCIAS</w:t>
      </w:r>
    </w:p>
    <w:p w:rsidR="00000000" w:rsidDel="00000000" w:rsidP="00000000" w:rsidRDefault="00000000" w:rsidRPr="00000000" w14:paraId="0000004A">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AMBROSETTI, Neusa Barreto et al. O PIBID e a formação inicial de professores: um espaço de aprendizagem docente. </w:t>
      </w:r>
      <w:r w:rsidDel="00000000" w:rsidR="00000000" w:rsidRPr="00000000">
        <w:rPr>
          <w:rFonts w:ascii="Times New Roman" w:cs="Times New Roman" w:eastAsia="Times New Roman" w:hAnsi="Times New Roman"/>
          <w:b w:val="1"/>
          <w:sz w:val="24"/>
          <w:szCs w:val="24"/>
          <w:rtl w:val="0"/>
        </w:rPr>
        <w:t xml:space="preserve">Educação em Revista</w:t>
      </w:r>
      <w:r w:rsidDel="00000000" w:rsidR="00000000" w:rsidRPr="00000000">
        <w:rPr>
          <w:rFonts w:ascii="Times New Roman" w:cs="Times New Roman" w:eastAsia="Times New Roman" w:hAnsi="Times New Roman"/>
          <w:sz w:val="24"/>
          <w:szCs w:val="24"/>
          <w:rtl w:val="0"/>
        </w:rPr>
        <w:t xml:space="preserve">, Belo Horizonte, v. 29, n. 1, p. 123-146, jan./mar. 2013.</w:t>
      </w:r>
    </w:p>
    <w:p w:rsidR="00000000" w:rsidDel="00000000" w:rsidP="00000000" w:rsidRDefault="00000000" w:rsidRPr="00000000" w14:paraId="0000004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BACICH, L.; MORAN, J. (Org.). </w:t>
      </w:r>
      <w:r w:rsidDel="00000000" w:rsidR="00000000" w:rsidRPr="00000000">
        <w:rPr>
          <w:rFonts w:ascii="Times New Roman" w:cs="Times New Roman" w:eastAsia="Times New Roman" w:hAnsi="Times New Roman"/>
          <w:b w:val="1"/>
          <w:sz w:val="24"/>
          <w:szCs w:val="24"/>
          <w:rtl w:val="0"/>
        </w:rPr>
        <w:t xml:space="preserve">Metodologias ativas para uma educação inovadora</w:t>
      </w:r>
      <w:r w:rsidDel="00000000" w:rsidR="00000000" w:rsidRPr="00000000">
        <w:rPr>
          <w:rFonts w:ascii="Times New Roman" w:cs="Times New Roman" w:eastAsia="Times New Roman" w:hAnsi="Times New Roman"/>
          <w:sz w:val="24"/>
          <w:szCs w:val="24"/>
          <w:rtl w:val="0"/>
        </w:rPr>
        <w:t xml:space="preserve">: uma abordagem teórico-prática. Porto Alegre: Penso, 2018.</w:t>
      </w:r>
    </w:p>
    <w:p w:rsidR="00000000" w:rsidDel="00000000" w:rsidP="00000000" w:rsidRDefault="00000000" w:rsidRPr="00000000" w14:paraId="0000004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Lei nº 9.394, de 20 de dezembro de 1996. Estabelece as diretrizes e bases da educação nacional. </w:t>
      </w:r>
      <w:r w:rsidDel="00000000" w:rsidR="00000000" w:rsidRPr="00000000">
        <w:rPr>
          <w:rFonts w:ascii="Times New Roman" w:cs="Times New Roman" w:eastAsia="Times New Roman" w:hAnsi="Times New Roman"/>
          <w:b w:val="1"/>
          <w:sz w:val="24"/>
          <w:szCs w:val="24"/>
          <w:rtl w:val="0"/>
        </w:rPr>
        <w:t xml:space="preserve">Diário Oficial da União</w:t>
      </w:r>
      <w:r w:rsidDel="00000000" w:rsidR="00000000" w:rsidRPr="00000000">
        <w:rPr>
          <w:rFonts w:ascii="Times New Roman" w:cs="Times New Roman" w:eastAsia="Times New Roman" w:hAnsi="Times New Roman"/>
          <w:sz w:val="24"/>
          <w:szCs w:val="24"/>
          <w:rtl w:val="0"/>
        </w:rPr>
        <w:t xml:space="preserve">, Brasília, DF, 23 dez. 1996. Disponível em:</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http://www.planalto.gov.br/ccivil_03/leis/l9394.htm</w:t>
        </w:r>
      </w:hyperlink>
      <w:r w:rsidDel="00000000" w:rsidR="00000000" w:rsidRPr="00000000">
        <w:rPr>
          <w:rFonts w:ascii="Times New Roman" w:cs="Times New Roman" w:eastAsia="Times New Roman" w:hAnsi="Times New Roman"/>
          <w:sz w:val="24"/>
          <w:szCs w:val="24"/>
          <w:rtl w:val="0"/>
        </w:rPr>
        <w:t xml:space="preserve">. Acesso em: 23 set. 2025.</w:t>
      </w:r>
    </w:p>
    <w:p w:rsidR="00000000" w:rsidDel="00000000" w:rsidP="00000000" w:rsidRDefault="00000000" w:rsidRPr="00000000" w14:paraId="0000004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COORDENAÇÃO DE APERFEIÇOAMENTO DE PESSOAL DE NÍVEL SUPERIOR (CAPES). </w:t>
      </w:r>
      <w:r w:rsidDel="00000000" w:rsidR="00000000" w:rsidRPr="00000000">
        <w:rPr>
          <w:rFonts w:ascii="Times New Roman" w:cs="Times New Roman" w:eastAsia="Times New Roman" w:hAnsi="Times New Roman"/>
          <w:b w:val="1"/>
          <w:sz w:val="24"/>
          <w:szCs w:val="24"/>
          <w:rtl w:val="0"/>
        </w:rPr>
        <w:t xml:space="preserve">Pibid - Programa Institucional de Bolsa de Iniciação à Docência</w:t>
      </w:r>
      <w:r w:rsidDel="00000000" w:rsidR="00000000" w:rsidRPr="00000000">
        <w:rPr>
          <w:rFonts w:ascii="Times New Roman" w:cs="Times New Roman" w:eastAsia="Times New Roman" w:hAnsi="Times New Roman"/>
          <w:sz w:val="24"/>
          <w:szCs w:val="24"/>
          <w:rtl w:val="0"/>
        </w:rPr>
        <w:t xml:space="preserve">. Brasília, DF: CAPES, 2024. Disponível em:</w:t>
      </w:r>
      <w:hyperlink r:id="rId9">
        <w:r w:rsidDel="00000000" w:rsidR="00000000" w:rsidRPr="00000000">
          <w:rPr>
            <w:rFonts w:ascii="Times New Roman" w:cs="Times New Roman" w:eastAsia="Times New Roman" w:hAnsi="Times New Roman"/>
            <w:sz w:val="24"/>
            <w:szCs w:val="24"/>
            <w:rtl w:val="0"/>
          </w:rPr>
          <w:t xml:space="preserve"> </w:t>
        </w:r>
      </w:hyperlink>
      <w:hyperlink r:id="rId10">
        <w:r w:rsidDel="00000000" w:rsidR="00000000" w:rsidRPr="00000000">
          <w:rPr>
            <w:rFonts w:ascii="Times New Roman" w:cs="Times New Roman" w:eastAsia="Times New Roman" w:hAnsi="Times New Roman"/>
            <w:color w:val="1155cc"/>
            <w:sz w:val="24"/>
            <w:szCs w:val="24"/>
            <w:u w:val="single"/>
            <w:rtl w:val="0"/>
          </w:rPr>
          <w:t xml:space="preserve">https://www.gov.br/capes/pt-br/acesso-a-informacao/acoes-e-programas/educacao-basica/pibid/pibid</w:t>
        </w:r>
      </w:hyperlink>
      <w:r w:rsidDel="00000000" w:rsidR="00000000" w:rsidRPr="00000000">
        <w:rPr>
          <w:rFonts w:ascii="Times New Roman" w:cs="Times New Roman" w:eastAsia="Times New Roman" w:hAnsi="Times New Roman"/>
          <w:sz w:val="24"/>
          <w:szCs w:val="24"/>
          <w:rtl w:val="0"/>
        </w:rPr>
        <w:t xml:space="preserve">. Acesso em: 23 set. 2025.</w:t>
      </w:r>
    </w:p>
    <w:p w:rsidR="00000000" w:rsidDel="00000000" w:rsidP="00000000" w:rsidRDefault="00000000" w:rsidRPr="00000000" w14:paraId="0000004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DONDIS, Donis A. </w:t>
      </w:r>
      <w:r w:rsidDel="00000000" w:rsidR="00000000" w:rsidRPr="00000000">
        <w:rPr>
          <w:rFonts w:ascii="Times New Roman" w:cs="Times New Roman" w:eastAsia="Times New Roman" w:hAnsi="Times New Roman"/>
          <w:b w:val="1"/>
          <w:sz w:val="24"/>
          <w:szCs w:val="24"/>
          <w:rtl w:val="0"/>
        </w:rPr>
        <w:t xml:space="preserve">A sintaxe da linguagem visual</w:t>
      </w:r>
      <w:r w:rsidDel="00000000" w:rsidR="00000000" w:rsidRPr="00000000">
        <w:rPr>
          <w:rFonts w:ascii="Times New Roman" w:cs="Times New Roman" w:eastAsia="Times New Roman" w:hAnsi="Times New Roman"/>
          <w:sz w:val="24"/>
          <w:szCs w:val="24"/>
          <w:rtl w:val="0"/>
        </w:rPr>
        <w:t xml:space="preserve">. 2. ed. São Paulo: Martins Fontes, 2015.</w:t>
      </w:r>
    </w:p>
    <w:p w:rsidR="00000000" w:rsidDel="00000000" w:rsidP="00000000" w:rsidRDefault="00000000" w:rsidRPr="00000000" w14:paraId="0000004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FREIRE, Paulo. </w:t>
      </w:r>
      <w:r w:rsidDel="00000000" w:rsidR="00000000" w:rsidRPr="00000000">
        <w:rPr>
          <w:rFonts w:ascii="Times New Roman" w:cs="Times New Roman" w:eastAsia="Times New Roman" w:hAnsi="Times New Roman"/>
          <w:b w:val="1"/>
          <w:sz w:val="24"/>
          <w:szCs w:val="24"/>
          <w:rtl w:val="0"/>
        </w:rPr>
        <w:t xml:space="preserve">Pedagogia da autonomia</w:t>
      </w:r>
      <w:r w:rsidDel="00000000" w:rsidR="00000000" w:rsidRPr="00000000">
        <w:rPr>
          <w:rFonts w:ascii="Times New Roman" w:cs="Times New Roman" w:eastAsia="Times New Roman" w:hAnsi="Times New Roman"/>
          <w:sz w:val="24"/>
          <w:szCs w:val="24"/>
          <w:rtl w:val="0"/>
        </w:rPr>
        <w:t xml:space="preserve">: saberes necessários à prática educativa. 25. ed. São Paulo: Paz e Terra, 2002.</w:t>
      </w:r>
    </w:p>
    <w:p w:rsidR="00000000" w:rsidDel="00000000" w:rsidP="00000000" w:rsidRDefault="00000000" w:rsidRPr="00000000" w14:paraId="0000005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GÓES, Marcelo. </w:t>
      </w:r>
      <w:r w:rsidDel="00000000" w:rsidR="00000000" w:rsidRPr="00000000">
        <w:rPr>
          <w:rFonts w:ascii="Times New Roman" w:cs="Times New Roman" w:eastAsia="Times New Roman" w:hAnsi="Times New Roman"/>
          <w:b w:val="1"/>
          <w:sz w:val="24"/>
          <w:szCs w:val="24"/>
          <w:rtl w:val="0"/>
        </w:rPr>
        <w:t xml:space="preserve">Expressão gráfica</w:t>
      </w:r>
      <w:r w:rsidDel="00000000" w:rsidR="00000000" w:rsidRPr="00000000">
        <w:rPr>
          <w:rFonts w:ascii="Times New Roman" w:cs="Times New Roman" w:eastAsia="Times New Roman" w:hAnsi="Times New Roman"/>
          <w:sz w:val="24"/>
          <w:szCs w:val="24"/>
          <w:rtl w:val="0"/>
        </w:rPr>
        <w:t xml:space="preserve">: linguagem, comunicação e ensino. Curitiba: Appris, 2012.</w:t>
      </w:r>
    </w:p>
    <w:p w:rsidR="00000000" w:rsidDel="00000000" w:rsidP="00000000" w:rsidRDefault="00000000" w:rsidRPr="00000000" w14:paraId="0000005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IMBERNÓN, Francisco. </w:t>
      </w:r>
      <w:r w:rsidDel="00000000" w:rsidR="00000000" w:rsidRPr="00000000">
        <w:rPr>
          <w:rFonts w:ascii="Times New Roman" w:cs="Times New Roman" w:eastAsia="Times New Roman" w:hAnsi="Times New Roman"/>
          <w:b w:val="1"/>
          <w:sz w:val="24"/>
          <w:szCs w:val="24"/>
          <w:rtl w:val="0"/>
        </w:rPr>
        <w:t xml:space="preserve">Formação docente e profissional</w:t>
      </w:r>
      <w:r w:rsidDel="00000000" w:rsidR="00000000" w:rsidRPr="00000000">
        <w:rPr>
          <w:rFonts w:ascii="Times New Roman" w:cs="Times New Roman" w:eastAsia="Times New Roman" w:hAnsi="Times New Roman"/>
          <w:sz w:val="24"/>
          <w:szCs w:val="24"/>
          <w:rtl w:val="0"/>
        </w:rPr>
        <w:t xml:space="preserve">: formar-se para a mudança e a incerteza. 9. ed. São Paulo: Cortez, 2011.</w:t>
      </w:r>
    </w:p>
    <w:p w:rsidR="00000000" w:rsidDel="00000000" w:rsidP="00000000" w:rsidRDefault="00000000" w:rsidRPr="00000000" w14:paraId="0000005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LIBÂNEO, José Carlos. </w:t>
      </w:r>
      <w:r w:rsidDel="00000000" w:rsidR="00000000" w:rsidRPr="00000000">
        <w:rPr>
          <w:rFonts w:ascii="Times New Roman" w:cs="Times New Roman" w:eastAsia="Times New Roman" w:hAnsi="Times New Roman"/>
          <w:b w:val="1"/>
          <w:sz w:val="24"/>
          <w:szCs w:val="24"/>
          <w:rtl w:val="0"/>
        </w:rPr>
        <w:t xml:space="preserve">Educação escolar</w:t>
      </w:r>
      <w:r w:rsidDel="00000000" w:rsidR="00000000" w:rsidRPr="00000000">
        <w:rPr>
          <w:rFonts w:ascii="Times New Roman" w:cs="Times New Roman" w:eastAsia="Times New Roman" w:hAnsi="Times New Roman"/>
          <w:sz w:val="24"/>
          <w:szCs w:val="24"/>
          <w:rtl w:val="0"/>
        </w:rPr>
        <w:t xml:space="preserve">: políticas, estrutura e organização. São Paulo: Cortez, 2002.</w:t>
      </w:r>
    </w:p>
    <w:p w:rsidR="00000000" w:rsidDel="00000000" w:rsidP="00000000" w:rsidRDefault="00000000" w:rsidRPr="00000000" w14:paraId="0000005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MUNARI, Bruno. </w:t>
      </w:r>
      <w:r w:rsidDel="00000000" w:rsidR="00000000" w:rsidRPr="00000000">
        <w:rPr>
          <w:rFonts w:ascii="Times New Roman" w:cs="Times New Roman" w:eastAsia="Times New Roman" w:hAnsi="Times New Roman"/>
          <w:b w:val="1"/>
          <w:sz w:val="24"/>
          <w:szCs w:val="24"/>
          <w:rtl w:val="0"/>
        </w:rPr>
        <w:t xml:space="preserve">Das coisas nascem coisas</w:t>
      </w:r>
      <w:r w:rsidDel="00000000" w:rsidR="00000000" w:rsidRPr="00000000">
        <w:rPr>
          <w:rFonts w:ascii="Times New Roman" w:cs="Times New Roman" w:eastAsia="Times New Roman" w:hAnsi="Times New Roman"/>
          <w:sz w:val="24"/>
          <w:szCs w:val="24"/>
          <w:rtl w:val="0"/>
        </w:rPr>
        <w:t xml:space="preserve">. 2. ed. São Paulo: Martins Fontes, 1997.</w:t>
      </w:r>
    </w:p>
    <w:p w:rsidR="00000000" w:rsidDel="00000000" w:rsidP="00000000" w:rsidRDefault="00000000" w:rsidRPr="00000000" w14:paraId="0000005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NASCIMENTO, Manoel Nelito M. Ensino Médio no Brasil: determinações históricas. </w:t>
      </w:r>
      <w:r w:rsidDel="00000000" w:rsidR="00000000" w:rsidRPr="00000000">
        <w:rPr>
          <w:rFonts w:ascii="Times New Roman" w:cs="Times New Roman" w:eastAsia="Times New Roman" w:hAnsi="Times New Roman"/>
          <w:b w:val="1"/>
          <w:sz w:val="24"/>
          <w:szCs w:val="24"/>
          <w:rtl w:val="0"/>
        </w:rPr>
        <w:t xml:space="preserve">Publicação UEPG: Ciências Humanas, Ciências Sociais Aplicadas, Linguística, Letras e Artes</w:t>
      </w:r>
      <w:r w:rsidDel="00000000" w:rsidR="00000000" w:rsidRPr="00000000">
        <w:rPr>
          <w:rFonts w:ascii="Times New Roman" w:cs="Times New Roman" w:eastAsia="Times New Roman" w:hAnsi="Times New Roman"/>
          <w:sz w:val="24"/>
          <w:szCs w:val="24"/>
          <w:rtl w:val="0"/>
        </w:rPr>
        <w:t xml:space="preserve">, Ponta Grossa, v. 15, n. 1, p. 77-87, jun. 2007.</w:t>
      </w:r>
    </w:p>
    <w:p w:rsidR="00000000" w:rsidDel="00000000" w:rsidP="00000000" w:rsidRDefault="00000000" w:rsidRPr="00000000" w14:paraId="0000005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NÓVOA, António. </w:t>
      </w:r>
      <w:r w:rsidDel="00000000" w:rsidR="00000000" w:rsidRPr="00000000">
        <w:rPr>
          <w:rFonts w:ascii="Times New Roman" w:cs="Times New Roman" w:eastAsia="Times New Roman" w:hAnsi="Times New Roman"/>
          <w:b w:val="1"/>
          <w:sz w:val="24"/>
          <w:szCs w:val="24"/>
          <w:rtl w:val="0"/>
        </w:rPr>
        <w:t xml:space="preserve">Professores</w:t>
      </w:r>
      <w:r w:rsidDel="00000000" w:rsidR="00000000" w:rsidRPr="00000000">
        <w:rPr>
          <w:rFonts w:ascii="Times New Roman" w:cs="Times New Roman" w:eastAsia="Times New Roman" w:hAnsi="Times New Roman"/>
          <w:sz w:val="24"/>
          <w:szCs w:val="24"/>
          <w:rtl w:val="0"/>
        </w:rPr>
        <w:t xml:space="preserve">: imagens do futuro presente. Lisboa: Educa, 2009.</w:t>
      </w:r>
    </w:p>
    <w:p w:rsidR="00000000" w:rsidDel="00000000" w:rsidP="00000000" w:rsidRDefault="00000000" w:rsidRPr="00000000" w14:paraId="0000005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PENA, Alexandre. </w:t>
      </w:r>
      <w:r w:rsidDel="00000000" w:rsidR="00000000" w:rsidRPr="00000000">
        <w:rPr>
          <w:rFonts w:ascii="Times New Roman" w:cs="Times New Roman" w:eastAsia="Times New Roman" w:hAnsi="Times New Roman"/>
          <w:b w:val="1"/>
          <w:sz w:val="24"/>
          <w:szCs w:val="24"/>
          <w:rtl w:val="0"/>
        </w:rPr>
        <w:t xml:space="preserve">Educação profissional e tecnológica</w:t>
      </w:r>
      <w:r w:rsidDel="00000000" w:rsidR="00000000" w:rsidRPr="00000000">
        <w:rPr>
          <w:rFonts w:ascii="Times New Roman" w:cs="Times New Roman" w:eastAsia="Times New Roman" w:hAnsi="Times New Roman"/>
          <w:sz w:val="24"/>
          <w:szCs w:val="24"/>
          <w:rtl w:val="0"/>
        </w:rPr>
        <w:t xml:space="preserve">: políticas, currículo e trabalho docente. Campinas: Mercado de Letras, 2016.</w:t>
      </w:r>
    </w:p>
    <w:p w:rsidR="00000000" w:rsidDel="00000000" w:rsidP="00000000" w:rsidRDefault="00000000" w:rsidRPr="00000000" w14:paraId="0000005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PIMENTA, Selma Garrido; LIMA, Maria Socorro Lucena. Estágio e docência: diferentes concepções. </w:t>
      </w:r>
      <w:r w:rsidDel="00000000" w:rsidR="00000000" w:rsidRPr="00000000">
        <w:rPr>
          <w:rFonts w:ascii="Times New Roman" w:cs="Times New Roman" w:eastAsia="Times New Roman" w:hAnsi="Times New Roman"/>
          <w:b w:val="1"/>
          <w:sz w:val="24"/>
          <w:szCs w:val="24"/>
          <w:rtl w:val="0"/>
        </w:rPr>
        <w:t xml:space="preserve">Revista Poíesis</w:t>
      </w:r>
      <w:r w:rsidDel="00000000" w:rsidR="00000000" w:rsidRPr="00000000">
        <w:rPr>
          <w:rFonts w:ascii="Times New Roman" w:cs="Times New Roman" w:eastAsia="Times New Roman" w:hAnsi="Times New Roman"/>
          <w:sz w:val="24"/>
          <w:szCs w:val="24"/>
          <w:rtl w:val="0"/>
        </w:rPr>
        <w:t xml:space="preserve">, v. 3, n. 3 e 4, p. 5-24, 2006.</w:t>
      </w:r>
    </w:p>
    <w:p w:rsidR="00000000" w:rsidDel="00000000" w:rsidP="00000000" w:rsidRDefault="00000000" w:rsidRPr="00000000" w14:paraId="0000005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Mônica Ribeiro da; RAMOS, Marise Nogueira. Trabalho, educação e currículo integrado. </w:t>
      </w:r>
      <w:r w:rsidDel="00000000" w:rsidR="00000000" w:rsidRPr="00000000">
        <w:rPr>
          <w:rFonts w:ascii="Times New Roman" w:cs="Times New Roman" w:eastAsia="Times New Roman" w:hAnsi="Times New Roman"/>
          <w:b w:val="1"/>
          <w:sz w:val="24"/>
          <w:szCs w:val="24"/>
          <w:rtl w:val="0"/>
        </w:rPr>
        <w:t xml:space="preserve">Educação &amp; Sociedade</w:t>
      </w:r>
      <w:r w:rsidDel="00000000" w:rsidR="00000000" w:rsidRPr="00000000">
        <w:rPr>
          <w:rFonts w:ascii="Times New Roman" w:cs="Times New Roman" w:eastAsia="Times New Roman" w:hAnsi="Times New Roman"/>
          <w:sz w:val="24"/>
          <w:szCs w:val="24"/>
          <w:rtl w:val="0"/>
        </w:rPr>
        <w:t xml:space="preserve">, Campinas, v. 39, n. 145, p. 571-590, out./dez. 2018.</w:t>
      </w:r>
    </w:p>
    <w:p w:rsidR="00000000" w:rsidDel="00000000" w:rsidP="00000000" w:rsidRDefault="00000000" w:rsidRPr="00000000" w14:paraId="0000005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SOARES, Magda. </w:t>
      </w:r>
      <w:r w:rsidDel="00000000" w:rsidR="00000000" w:rsidRPr="00000000">
        <w:rPr>
          <w:rFonts w:ascii="Times New Roman" w:cs="Times New Roman" w:eastAsia="Times New Roman" w:hAnsi="Times New Roman"/>
          <w:b w:val="1"/>
          <w:sz w:val="24"/>
          <w:szCs w:val="24"/>
          <w:rtl w:val="0"/>
        </w:rPr>
        <w:t xml:space="preserve">Letramento</w:t>
      </w:r>
      <w:r w:rsidDel="00000000" w:rsidR="00000000" w:rsidRPr="00000000">
        <w:rPr>
          <w:rFonts w:ascii="Times New Roman" w:cs="Times New Roman" w:eastAsia="Times New Roman" w:hAnsi="Times New Roman"/>
          <w:sz w:val="24"/>
          <w:szCs w:val="24"/>
          <w:rtl w:val="0"/>
        </w:rPr>
        <w:t xml:space="preserve">: um tema em três gêneros. Belo Horizonte: Autêntica, 2002.</w:t>
      </w:r>
    </w:p>
    <w:sectPr>
      <w:footerReference r:id="rId11" w:type="default"/>
      <w:pgSz w:h="16838" w:w="11906"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Universidade Federal de Pernambuco (UFPE) </w:t>
      </w:r>
      <w:hyperlink r:id="rId1">
        <w:r w:rsidDel="00000000" w:rsidR="00000000" w:rsidRPr="00000000">
          <w:rPr>
            <w:color w:val="1155cc"/>
            <w:sz w:val="20"/>
            <w:szCs w:val="20"/>
            <w:u w:val="single"/>
            <w:rtl w:val="0"/>
          </w:rPr>
          <w:t xml:space="preserve">JoseDaecio.OliveiraNeto@ufpe.br</w:t>
        </w:r>
      </w:hyperlink>
      <w:r w:rsidDel="00000000" w:rsidR="00000000" w:rsidRPr="00000000">
        <w:rPr>
          <w:rtl w:val="0"/>
        </w:rPr>
      </w:r>
    </w:p>
  </w:footnote>
  <w:footnote w:id="1">
    <w:p w:rsidR="00000000" w:rsidDel="00000000" w:rsidP="00000000" w:rsidRDefault="00000000" w:rsidRPr="00000000" w14:paraId="0000005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Universidade Federal de Pernambuco (UFPE) </w:t>
      </w:r>
      <w:hyperlink r:id="rId2">
        <w:r w:rsidDel="00000000" w:rsidR="00000000" w:rsidRPr="00000000">
          <w:rPr>
            <w:color w:val="1155cc"/>
            <w:sz w:val="20"/>
            <w:szCs w:val="20"/>
            <w:u w:val="single"/>
            <w:rtl w:val="0"/>
          </w:rPr>
          <w:t xml:space="preserve">thaywane.liberal@ufpe.br</w:t>
        </w:r>
      </w:hyperlink>
      <w:r w:rsidDel="00000000" w:rsidR="00000000" w:rsidRPr="00000000">
        <w:rPr>
          <w:rtl w:val="0"/>
        </w:rPr>
      </w:r>
    </w:p>
  </w:footnote>
  <w:footnote w:id="2">
    <w:p w:rsidR="00000000" w:rsidDel="00000000" w:rsidP="00000000" w:rsidRDefault="00000000" w:rsidRPr="00000000" w14:paraId="0000005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Universidade Federal de Pernambuco (UFPE) </w:t>
      </w:r>
      <w:hyperlink r:id="rId3">
        <w:r w:rsidDel="00000000" w:rsidR="00000000" w:rsidRPr="00000000">
          <w:rPr>
            <w:color w:val="1155cc"/>
            <w:sz w:val="20"/>
            <w:szCs w:val="20"/>
            <w:u w:val="single"/>
            <w:rtl w:val="0"/>
          </w:rPr>
          <w:t xml:space="preserve">glauco.cartaxo@ufpe.br</w:t>
        </w:r>
      </w:hyperlink>
      <w:r w:rsidDel="00000000" w:rsidR="00000000" w:rsidRPr="00000000">
        <w:rPr>
          <w:rtl w:val="0"/>
        </w:rPr>
      </w:r>
    </w:p>
  </w:footnote>
  <w:footnote w:id="3">
    <w:p w:rsidR="00000000" w:rsidDel="00000000" w:rsidP="00000000" w:rsidRDefault="00000000" w:rsidRPr="00000000" w14:paraId="0000005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Universidade Federal de Pernambuco (UFPE) </w:t>
      </w:r>
      <w:hyperlink r:id="rId4">
        <w:r w:rsidDel="00000000" w:rsidR="00000000" w:rsidRPr="00000000">
          <w:rPr>
            <w:color w:val="1155cc"/>
            <w:sz w:val="20"/>
            <w:szCs w:val="20"/>
            <w:u w:val="single"/>
            <w:rtl w:val="0"/>
          </w:rPr>
          <w:t xml:space="preserve">Amauri.joselopes@ufpe.br</w:t>
        </w:r>
      </w:hyperlink>
      <w:r w:rsidDel="00000000" w:rsidR="00000000" w:rsidRPr="00000000">
        <w:rPr>
          <w:rtl w:val="0"/>
        </w:rPr>
      </w:r>
    </w:p>
  </w:footnote>
  <w:footnote w:id="4">
    <w:p w:rsidR="00000000" w:rsidDel="00000000" w:rsidP="00000000" w:rsidRDefault="00000000" w:rsidRPr="00000000" w14:paraId="0000005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Escola Técnica Estadual Miguel Batista(Etemb)</w:t>
      </w:r>
      <w:hyperlink r:id="rId5">
        <w:r w:rsidDel="00000000" w:rsidR="00000000" w:rsidRPr="00000000">
          <w:rPr>
            <w:color w:val="1155cc"/>
            <w:sz w:val="20"/>
            <w:szCs w:val="20"/>
            <w:u w:val="single"/>
            <w:rtl w:val="0"/>
          </w:rPr>
          <w:t xml:space="preserve">thyagojcosta@professor.educacao.pe.gov.br</w:t>
        </w:r>
      </w:hyperlink>
      <w:r w:rsidDel="00000000" w:rsidR="00000000" w:rsidRPr="00000000">
        <w:rPr>
          <w:rtl w:val="0"/>
        </w:rPr>
      </w:r>
    </w:p>
  </w:footnote>
  <w:footnote w:id="5">
    <w:p w:rsidR="00000000" w:rsidDel="00000000" w:rsidP="00000000" w:rsidRDefault="00000000" w:rsidRPr="00000000" w14:paraId="0000005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Universidade Federal de Pernambuco (UFPE) </w:t>
      </w:r>
      <w:hyperlink r:id="rId6">
        <w:r w:rsidDel="00000000" w:rsidR="00000000" w:rsidRPr="00000000">
          <w:rPr>
            <w:color w:val="1155cc"/>
            <w:sz w:val="20"/>
            <w:szCs w:val="20"/>
            <w:u w:val="single"/>
            <w:rtl w:val="0"/>
          </w:rPr>
          <w:t xml:space="preserve">pibid.expressaografica@gmail.com</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yperlink" Target="https://www.gov.br/capes/pt-br/acesso-a-informacao/acoes-e-programas/educacao-basica/pibid/pibid" TargetMode="External"/><Relationship Id="rId9" Type="http://schemas.openxmlformats.org/officeDocument/2006/relationships/hyperlink" Target="https://www.gov.br/capes/pt-br/acesso-a-informacao/acoes-e-programas/educacao-basica/pibid/pibid"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planalto.gov.br/ccivil_03/leis/l9394.htm" TargetMode="External"/><Relationship Id="rId8" Type="http://schemas.openxmlformats.org/officeDocument/2006/relationships/hyperlink" Target="http://www.planalto.gov.br/ccivil_03/leis/l9394.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JoseDaecio.OliveiraNeto@ufpe.br" TargetMode="External"/><Relationship Id="rId2" Type="http://schemas.openxmlformats.org/officeDocument/2006/relationships/hyperlink" Target="mailto:thaywane.liberal@ufpe.br" TargetMode="External"/><Relationship Id="rId3" Type="http://schemas.openxmlformats.org/officeDocument/2006/relationships/hyperlink" Target="mailto:glauco.cartaxo@ufpe.br" TargetMode="External"/><Relationship Id="rId4" Type="http://schemas.openxmlformats.org/officeDocument/2006/relationships/hyperlink" Target="mailto:Amauri.joselopes@ufpe.br" TargetMode="External"/><Relationship Id="rId5" Type="http://schemas.openxmlformats.org/officeDocument/2006/relationships/hyperlink" Target="mailto:thyagojcosta@professor.educacao.pe.gov.br" TargetMode="External"/><Relationship Id="rId6" Type="http://schemas.openxmlformats.org/officeDocument/2006/relationships/hyperlink" Target="mailto:pibid.expressaografic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