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E06F8" w14:textId="77777777" w:rsidR="008A7AD5" w:rsidRDefault="008A7AD5" w:rsidP="004F5FE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465E3DEC" w14:textId="77777777" w:rsidR="00305FB0" w:rsidRPr="009F1998" w:rsidRDefault="0067602A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</w:pPr>
      <w:r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>O ESTADO DE COISA INCONSTITUCIONAL À LUZ DA ADPF Nº 347/2015</w:t>
      </w:r>
    </w:p>
    <w:p w14:paraId="287A5ACE" w14:textId="77777777" w:rsidR="00305FB0" w:rsidRPr="00305FB0" w:rsidRDefault="00305FB0" w:rsidP="001E70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lang w:eastAsia="zh-CN" w:bidi="hi-IN"/>
        </w:rPr>
      </w:pPr>
    </w:p>
    <w:p w14:paraId="30907363" w14:textId="77777777" w:rsidR="00864BFE" w:rsidRPr="00E00514" w:rsidRDefault="00864BFE" w:rsidP="001660F0">
      <w:pPr>
        <w:spacing w:after="0" w:line="360" w:lineRule="auto"/>
        <w:jc w:val="both"/>
        <w:rPr>
          <w:rFonts w:ascii="Arial" w:hAnsi="Arial" w:cs="Arial"/>
        </w:rPr>
      </w:pPr>
    </w:p>
    <w:p w14:paraId="30A76A71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21AB43D9" w14:textId="77777777" w:rsidR="00E00514" w:rsidRPr="00E00514" w:rsidRDefault="00E00514" w:rsidP="00E0051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pt-PT" w:eastAsia="pt-BR"/>
        </w:rPr>
      </w:pPr>
    </w:p>
    <w:p w14:paraId="4256AAA8" w14:textId="77777777" w:rsidR="005F6B4D" w:rsidRDefault="005F6B4D" w:rsidP="005F6B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Brasil a realidade de violação dos direitos humanos é um assunto perceptível, em principal dentro do cenário dos cárceres brasileiros. </w:t>
      </w:r>
      <w:r>
        <w:rPr>
          <w:rFonts w:ascii="Arial" w:hAnsi="Arial" w:cs="Arial"/>
          <w:sz w:val="24"/>
          <w:szCs w:val="24"/>
        </w:rPr>
        <w:t xml:space="preserve">O sistema prisional é o âmbito que traz a realidade de tratamento desumano concedido à pessoa que se encontra na qualidade de presa, violando seus direitos e garantias, sendo esses vistos como basilar para a dignidade humana, com isso a falta de políticas públicas para investir em tal situação é visível, uma vez que o Estado quer punir seus infratores, porém retira deles seus preceitos fundamentais. </w:t>
      </w:r>
    </w:p>
    <w:p w14:paraId="11DDCC2C" w14:textId="77777777" w:rsidR="005F6B4D" w:rsidRDefault="005F6B4D" w:rsidP="005F6B4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reportagens noticiadas na televisão ao delimitar o campo dos cárceres é notório uma visão de que é mostrado o que eles querem, deixando o que realmente interessa por trás das câmeras no qual esconde o verdadeiro perfil de um presídio, ocorre que o indivíduo deve receber o que é seu por direito. Assim, o presente resumo tem por objetivo analisar a situação do estado de coisa inconstitucional à luz da ADPF Nº 347/2015. </w:t>
      </w:r>
    </w:p>
    <w:p w14:paraId="04EE5EFF" w14:textId="77777777" w:rsid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7BF1A27" w14:textId="77777777" w:rsidR="005F6B4D" w:rsidRPr="00E00514" w:rsidRDefault="005F6B4D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</w:rPr>
      </w:pPr>
    </w:p>
    <w:p w14:paraId="095B28E2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093C09FF" w14:textId="77777777" w:rsidR="00E00514" w:rsidRPr="00E00514" w:rsidRDefault="00E00514" w:rsidP="00E00514">
      <w:pPr>
        <w:spacing w:after="0" w:line="360" w:lineRule="auto"/>
        <w:rPr>
          <w:lang w:eastAsia="pt-BR"/>
        </w:rPr>
      </w:pPr>
    </w:p>
    <w:p w14:paraId="5F582F56" w14:textId="77777777" w:rsidR="00E00514" w:rsidRPr="00A75C23" w:rsidRDefault="00A75C23" w:rsidP="00A75C23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D00D7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pacing w:val="-8"/>
          <w:sz w:val="24"/>
          <w:szCs w:val="24"/>
        </w:rPr>
        <w:t>m</w:t>
      </w:r>
      <w:r w:rsidRPr="000D00D7">
        <w:rPr>
          <w:rFonts w:ascii="Arial" w:eastAsia="Arial" w:hAnsi="Arial" w:cs="Arial"/>
          <w:spacing w:val="1"/>
          <w:sz w:val="24"/>
          <w:szCs w:val="24"/>
        </w:rPr>
        <w:t>é</w:t>
      </w:r>
      <w:r w:rsidRPr="000D00D7">
        <w:rPr>
          <w:rFonts w:ascii="Arial" w:eastAsia="Arial" w:hAnsi="Arial" w:cs="Arial"/>
          <w:sz w:val="24"/>
          <w:szCs w:val="24"/>
        </w:rPr>
        <w:t>t</w:t>
      </w:r>
      <w:r w:rsidRPr="000D00D7">
        <w:rPr>
          <w:rFonts w:ascii="Arial" w:eastAsia="Arial" w:hAnsi="Arial" w:cs="Arial"/>
          <w:spacing w:val="1"/>
          <w:sz w:val="24"/>
          <w:szCs w:val="24"/>
        </w:rPr>
        <w:t>od</w:t>
      </w:r>
      <w:r w:rsidRPr="000D00D7">
        <w:rPr>
          <w:rFonts w:ascii="Arial" w:eastAsia="Arial" w:hAnsi="Arial" w:cs="Arial"/>
          <w:sz w:val="24"/>
          <w:szCs w:val="24"/>
        </w:rPr>
        <w:t xml:space="preserve">o </w:t>
      </w:r>
      <w:r w:rsidRPr="000D00D7">
        <w:rPr>
          <w:rFonts w:ascii="Arial" w:eastAsia="Arial" w:hAnsi="Arial" w:cs="Arial"/>
          <w:spacing w:val="1"/>
          <w:sz w:val="24"/>
          <w:szCs w:val="24"/>
        </w:rPr>
        <w:t>u</w:t>
      </w:r>
      <w:r w:rsidRPr="000D00D7">
        <w:rPr>
          <w:rFonts w:ascii="Arial" w:eastAsia="Arial" w:hAnsi="Arial" w:cs="Arial"/>
          <w:sz w:val="24"/>
          <w:szCs w:val="24"/>
        </w:rPr>
        <w:t>til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z w:val="24"/>
          <w:szCs w:val="24"/>
        </w:rPr>
        <w:t>z</w:t>
      </w:r>
      <w:r w:rsidRPr="000D00D7">
        <w:rPr>
          <w:rFonts w:ascii="Arial" w:eastAsia="Arial" w:hAnsi="Arial" w:cs="Arial"/>
          <w:spacing w:val="1"/>
          <w:sz w:val="24"/>
          <w:szCs w:val="24"/>
        </w:rPr>
        <w:t>ad</w:t>
      </w:r>
      <w:r w:rsidRPr="000D00D7">
        <w:rPr>
          <w:rFonts w:ascii="Arial" w:eastAsia="Arial" w:hAnsi="Arial" w:cs="Arial"/>
          <w:sz w:val="24"/>
          <w:szCs w:val="24"/>
        </w:rPr>
        <w:t xml:space="preserve">o </w:t>
      </w:r>
      <w:r w:rsidRPr="000D00D7">
        <w:rPr>
          <w:rFonts w:ascii="Arial" w:eastAsia="Arial" w:hAnsi="Arial" w:cs="Arial"/>
          <w:spacing w:val="1"/>
          <w:sz w:val="24"/>
          <w:szCs w:val="24"/>
        </w:rPr>
        <w:t>p</w:t>
      </w:r>
      <w:r w:rsidRPr="000D00D7">
        <w:rPr>
          <w:rFonts w:ascii="Arial" w:eastAsia="Arial" w:hAnsi="Arial" w:cs="Arial"/>
          <w:spacing w:val="-4"/>
          <w:sz w:val="24"/>
          <w:szCs w:val="24"/>
        </w:rPr>
        <w:t>a</w:t>
      </w:r>
      <w:r w:rsidRPr="000D00D7">
        <w:rPr>
          <w:rFonts w:ascii="Arial" w:eastAsia="Arial" w:hAnsi="Arial" w:cs="Arial"/>
          <w:spacing w:val="1"/>
          <w:sz w:val="24"/>
          <w:szCs w:val="24"/>
        </w:rPr>
        <w:t>r</w:t>
      </w:r>
      <w:r w:rsidRPr="000D00D7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 </w:t>
      </w:r>
      <w:r w:rsidRPr="000D00D7">
        <w:rPr>
          <w:rFonts w:ascii="Arial" w:eastAsia="Arial" w:hAnsi="Arial" w:cs="Arial"/>
          <w:spacing w:val="-4"/>
          <w:sz w:val="24"/>
          <w:szCs w:val="24"/>
        </w:rPr>
        <w:t>e</w:t>
      </w:r>
      <w:r w:rsidRPr="000D00D7">
        <w:rPr>
          <w:rFonts w:ascii="Arial" w:eastAsia="Arial" w:hAnsi="Arial" w:cs="Arial"/>
          <w:spacing w:val="4"/>
          <w:sz w:val="24"/>
          <w:szCs w:val="24"/>
        </w:rPr>
        <w:t>l</w:t>
      </w:r>
      <w:r w:rsidRPr="000D00D7">
        <w:rPr>
          <w:rFonts w:ascii="Arial" w:eastAsia="Arial" w:hAnsi="Arial" w:cs="Arial"/>
          <w:spacing w:val="1"/>
          <w:sz w:val="24"/>
          <w:szCs w:val="24"/>
        </w:rPr>
        <w:t>ab</w:t>
      </w:r>
      <w:r w:rsidRPr="000D00D7">
        <w:rPr>
          <w:rFonts w:ascii="Arial" w:eastAsia="Arial" w:hAnsi="Arial" w:cs="Arial"/>
          <w:spacing w:val="-4"/>
          <w:sz w:val="24"/>
          <w:szCs w:val="24"/>
        </w:rPr>
        <w:t>o</w:t>
      </w:r>
      <w:r w:rsidRPr="000D00D7">
        <w:rPr>
          <w:rFonts w:ascii="Arial" w:eastAsia="Arial" w:hAnsi="Arial" w:cs="Arial"/>
          <w:spacing w:val="1"/>
          <w:sz w:val="24"/>
          <w:szCs w:val="24"/>
        </w:rPr>
        <w:t>ra</w:t>
      </w:r>
      <w:r w:rsidRPr="000D00D7">
        <w:rPr>
          <w:rFonts w:ascii="Arial" w:eastAsia="Arial" w:hAnsi="Arial" w:cs="Arial"/>
          <w:sz w:val="24"/>
          <w:szCs w:val="24"/>
        </w:rPr>
        <w:t>ç</w:t>
      </w:r>
      <w:r w:rsidRPr="000D00D7">
        <w:rPr>
          <w:rFonts w:ascii="Arial" w:eastAsia="Arial" w:hAnsi="Arial" w:cs="Arial"/>
          <w:spacing w:val="1"/>
          <w:sz w:val="24"/>
          <w:szCs w:val="24"/>
        </w:rPr>
        <w:t>ã</w:t>
      </w:r>
      <w:r w:rsidRPr="000D00D7">
        <w:rPr>
          <w:rFonts w:ascii="Arial" w:eastAsia="Arial" w:hAnsi="Arial" w:cs="Arial"/>
          <w:sz w:val="24"/>
          <w:szCs w:val="24"/>
        </w:rPr>
        <w:t xml:space="preserve">o </w:t>
      </w:r>
      <w:r w:rsidRPr="000D00D7">
        <w:rPr>
          <w:rFonts w:ascii="Arial" w:eastAsia="Arial" w:hAnsi="Arial" w:cs="Arial"/>
          <w:spacing w:val="1"/>
          <w:sz w:val="24"/>
          <w:szCs w:val="24"/>
        </w:rPr>
        <w:t>de</w:t>
      </w:r>
      <w:r w:rsidRPr="000D00D7"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z w:val="24"/>
          <w:szCs w:val="24"/>
        </w:rPr>
        <w:t>t</w:t>
      </w:r>
      <w:r w:rsidRPr="000D00D7">
        <w:rPr>
          <w:rFonts w:ascii="Arial" w:eastAsia="Arial" w:hAnsi="Arial" w:cs="Arial"/>
          <w:spacing w:val="2"/>
          <w:sz w:val="24"/>
          <w:szCs w:val="24"/>
        </w:rPr>
        <w:t>r</w:t>
      </w:r>
      <w:r w:rsidRPr="000D00D7">
        <w:rPr>
          <w:rFonts w:ascii="Arial" w:eastAsia="Arial" w:hAnsi="Arial" w:cs="Arial"/>
          <w:spacing w:val="1"/>
          <w:sz w:val="24"/>
          <w:szCs w:val="24"/>
        </w:rPr>
        <w:t>ab</w:t>
      </w:r>
      <w:r w:rsidRPr="000D00D7">
        <w:rPr>
          <w:rFonts w:ascii="Arial" w:eastAsia="Arial" w:hAnsi="Arial" w:cs="Arial"/>
          <w:spacing w:val="-4"/>
          <w:sz w:val="24"/>
          <w:szCs w:val="24"/>
        </w:rPr>
        <w:t>a</w:t>
      </w:r>
      <w:r w:rsidRPr="000D00D7">
        <w:rPr>
          <w:rFonts w:ascii="Arial" w:eastAsia="Arial" w:hAnsi="Arial" w:cs="Arial"/>
          <w:sz w:val="24"/>
          <w:szCs w:val="24"/>
        </w:rPr>
        <w:t>lho f</w:t>
      </w:r>
      <w:r w:rsidRPr="000D00D7">
        <w:rPr>
          <w:rFonts w:ascii="Arial" w:eastAsia="Arial" w:hAnsi="Arial" w:cs="Arial"/>
          <w:spacing w:val="-3"/>
          <w:sz w:val="24"/>
          <w:szCs w:val="24"/>
        </w:rPr>
        <w:t>o</w:t>
      </w:r>
      <w:r w:rsidRPr="000D00D7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z w:val="24"/>
          <w:szCs w:val="24"/>
        </w:rPr>
        <w:t xml:space="preserve">a </w:t>
      </w:r>
      <w:r w:rsidRPr="000D00D7">
        <w:rPr>
          <w:rFonts w:ascii="Arial" w:eastAsia="Arial" w:hAnsi="Arial" w:cs="Arial"/>
          <w:spacing w:val="1"/>
          <w:sz w:val="24"/>
          <w:szCs w:val="24"/>
        </w:rPr>
        <w:t>re</w:t>
      </w:r>
      <w:r w:rsidRPr="000D00D7">
        <w:rPr>
          <w:rFonts w:ascii="Arial" w:eastAsia="Arial" w:hAnsi="Arial" w:cs="Arial"/>
          <w:spacing w:val="-5"/>
          <w:sz w:val="24"/>
          <w:szCs w:val="24"/>
        </w:rPr>
        <w:t>v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z w:val="24"/>
          <w:szCs w:val="24"/>
        </w:rPr>
        <w:t>s</w:t>
      </w:r>
      <w:r w:rsidRPr="000D00D7">
        <w:rPr>
          <w:rFonts w:ascii="Arial" w:eastAsia="Arial" w:hAnsi="Arial" w:cs="Arial"/>
          <w:spacing w:val="1"/>
          <w:sz w:val="24"/>
          <w:szCs w:val="24"/>
        </w:rPr>
        <w:t>ã</w:t>
      </w:r>
      <w:r w:rsidRPr="000D00D7">
        <w:rPr>
          <w:rFonts w:ascii="Arial" w:eastAsia="Arial" w:hAnsi="Arial" w:cs="Arial"/>
          <w:sz w:val="24"/>
          <w:szCs w:val="24"/>
        </w:rPr>
        <w:t xml:space="preserve">o </w:t>
      </w:r>
      <w:r w:rsidRPr="000D00D7">
        <w:rPr>
          <w:rFonts w:ascii="Arial" w:eastAsia="Arial" w:hAnsi="Arial" w:cs="Arial"/>
          <w:spacing w:val="1"/>
          <w:sz w:val="24"/>
          <w:szCs w:val="24"/>
        </w:rPr>
        <w:t>b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pacing w:val="-4"/>
          <w:sz w:val="24"/>
          <w:szCs w:val="24"/>
        </w:rPr>
        <w:t>b</w:t>
      </w:r>
      <w:r w:rsidRPr="000D00D7">
        <w:rPr>
          <w:rFonts w:ascii="Arial" w:eastAsia="Arial" w:hAnsi="Arial" w:cs="Arial"/>
          <w:sz w:val="24"/>
          <w:szCs w:val="24"/>
        </w:rPr>
        <w:t>l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pacing w:val="1"/>
          <w:sz w:val="24"/>
          <w:szCs w:val="24"/>
        </w:rPr>
        <w:t>o</w:t>
      </w:r>
      <w:r w:rsidRPr="000D00D7">
        <w:rPr>
          <w:rFonts w:ascii="Arial" w:eastAsia="Arial" w:hAnsi="Arial" w:cs="Arial"/>
          <w:spacing w:val="-4"/>
          <w:sz w:val="24"/>
          <w:szCs w:val="24"/>
        </w:rPr>
        <w:t>g</w:t>
      </w:r>
      <w:r w:rsidRPr="000D00D7">
        <w:rPr>
          <w:rFonts w:ascii="Arial" w:eastAsia="Arial" w:hAnsi="Arial" w:cs="Arial"/>
          <w:spacing w:val="1"/>
          <w:sz w:val="24"/>
          <w:szCs w:val="24"/>
        </w:rPr>
        <w:t>rá</w:t>
      </w:r>
      <w:r w:rsidRPr="000D00D7">
        <w:rPr>
          <w:rFonts w:ascii="Arial" w:eastAsia="Arial" w:hAnsi="Arial" w:cs="Arial"/>
          <w:spacing w:val="-4"/>
          <w:sz w:val="24"/>
          <w:szCs w:val="24"/>
        </w:rPr>
        <w:t>f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pacing w:val="-5"/>
          <w:sz w:val="24"/>
          <w:szCs w:val="24"/>
        </w:rPr>
        <w:t>c</w:t>
      </w:r>
      <w:r w:rsidRPr="000D00D7">
        <w:rPr>
          <w:rFonts w:ascii="Arial" w:eastAsia="Arial" w:hAnsi="Arial" w:cs="Arial"/>
          <w:spacing w:val="1"/>
          <w:sz w:val="24"/>
          <w:szCs w:val="24"/>
        </w:rPr>
        <w:t>o</w:t>
      </w:r>
      <w:r w:rsidRPr="000D00D7">
        <w:rPr>
          <w:rFonts w:ascii="Arial" w:eastAsia="Arial" w:hAnsi="Arial" w:cs="Arial"/>
          <w:sz w:val="24"/>
          <w:szCs w:val="24"/>
        </w:rPr>
        <w:t xml:space="preserve">m </w:t>
      </w:r>
      <w:r w:rsidRPr="000D00D7">
        <w:rPr>
          <w:rFonts w:ascii="Arial" w:eastAsia="Arial" w:hAnsi="Arial" w:cs="Arial"/>
          <w:spacing w:val="1"/>
          <w:sz w:val="24"/>
          <w:szCs w:val="24"/>
        </w:rPr>
        <w:t>ba</w:t>
      </w:r>
      <w:r w:rsidRPr="000D00D7"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pacing w:val="1"/>
          <w:sz w:val="24"/>
          <w:szCs w:val="24"/>
        </w:rPr>
        <w:t>e</w:t>
      </w:r>
      <w:r w:rsidRPr="000D00D7">
        <w:rPr>
          <w:rFonts w:ascii="Arial" w:eastAsia="Arial" w:hAnsi="Arial" w:cs="Arial"/>
          <w:sz w:val="24"/>
          <w:szCs w:val="24"/>
        </w:rPr>
        <w:t xml:space="preserve">m </w:t>
      </w:r>
      <w:r w:rsidRPr="000D00D7">
        <w:rPr>
          <w:rFonts w:ascii="Arial" w:eastAsia="Arial" w:hAnsi="Arial" w:cs="Arial"/>
          <w:spacing w:val="4"/>
          <w:sz w:val="24"/>
          <w:szCs w:val="24"/>
        </w:rPr>
        <w:t>l</w:t>
      </w:r>
      <w:r w:rsidRPr="000D00D7">
        <w:rPr>
          <w:rFonts w:ascii="Arial" w:eastAsia="Arial" w:hAnsi="Arial" w:cs="Arial"/>
          <w:spacing w:val="1"/>
          <w:sz w:val="24"/>
          <w:szCs w:val="24"/>
        </w:rPr>
        <w:t>e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z w:val="24"/>
          <w:szCs w:val="24"/>
        </w:rPr>
        <w:t>t</w:t>
      </w:r>
      <w:r w:rsidRPr="000D00D7">
        <w:rPr>
          <w:rFonts w:ascii="Arial" w:eastAsia="Arial" w:hAnsi="Arial" w:cs="Arial"/>
          <w:spacing w:val="-3"/>
          <w:sz w:val="24"/>
          <w:szCs w:val="24"/>
        </w:rPr>
        <w:t>u</w:t>
      </w:r>
      <w:r w:rsidRPr="000D00D7"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pacing w:val="1"/>
          <w:sz w:val="24"/>
          <w:szCs w:val="24"/>
        </w:rPr>
        <w:t>d</w:t>
      </w:r>
      <w:r w:rsidRPr="000D00D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sites da internet, e legislações</w:t>
      </w:r>
      <w:r w:rsidRPr="000D00D7">
        <w:rPr>
          <w:rFonts w:ascii="Arial" w:eastAsia="Arial" w:hAnsi="Arial" w:cs="Arial"/>
          <w:spacing w:val="4"/>
          <w:sz w:val="24"/>
          <w:szCs w:val="24"/>
        </w:rPr>
        <w:t xml:space="preserve"> específica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s </w:t>
      </w:r>
      <w:r w:rsidRPr="000D00D7">
        <w:rPr>
          <w:rFonts w:ascii="Arial" w:eastAsia="Arial" w:hAnsi="Arial" w:cs="Arial"/>
          <w:spacing w:val="1"/>
          <w:sz w:val="24"/>
          <w:szCs w:val="24"/>
        </w:rPr>
        <w:t>qu</w:t>
      </w:r>
      <w:r w:rsidRPr="000D00D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0D00D7">
        <w:rPr>
          <w:rFonts w:ascii="Arial" w:eastAsia="Arial" w:hAnsi="Arial" w:cs="Arial"/>
          <w:spacing w:val="-3"/>
          <w:sz w:val="24"/>
          <w:szCs w:val="24"/>
        </w:rPr>
        <w:t>d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z w:val="24"/>
          <w:szCs w:val="24"/>
        </w:rPr>
        <w:t>sc</w:t>
      </w:r>
      <w:r w:rsidRPr="000D00D7">
        <w:rPr>
          <w:rFonts w:ascii="Arial" w:eastAsia="Arial" w:hAnsi="Arial" w:cs="Arial"/>
          <w:spacing w:val="1"/>
          <w:sz w:val="24"/>
          <w:szCs w:val="24"/>
        </w:rPr>
        <w:t>o</w:t>
      </w:r>
      <w:r w:rsidRPr="000D00D7">
        <w:rPr>
          <w:rFonts w:ascii="Arial" w:eastAsia="Arial" w:hAnsi="Arial" w:cs="Arial"/>
          <w:spacing w:val="-3"/>
          <w:sz w:val="24"/>
          <w:szCs w:val="24"/>
        </w:rPr>
        <w:t>rr</w:t>
      </w:r>
      <w:r w:rsidRPr="000D00D7">
        <w:rPr>
          <w:rFonts w:ascii="Arial" w:eastAsia="Arial" w:hAnsi="Arial" w:cs="Arial"/>
          <w:spacing w:val="4"/>
          <w:sz w:val="24"/>
          <w:szCs w:val="24"/>
        </w:rPr>
        <w:t>i</w:t>
      </w:r>
      <w:r w:rsidRPr="000D00D7">
        <w:rPr>
          <w:rFonts w:ascii="Arial" w:eastAsia="Arial" w:hAnsi="Arial" w:cs="Arial"/>
          <w:spacing w:val="1"/>
          <w:sz w:val="24"/>
          <w:szCs w:val="24"/>
        </w:rPr>
        <w:t>a</w:t>
      </w:r>
      <w:r w:rsidRPr="000D00D7">
        <w:rPr>
          <w:rFonts w:ascii="Arial" w:eastAsia="Arial" w:hAnsi="Arial" w:cs="Arial"/>
          <w:sz w:val="24"/>
          <w:szCs w:val="24"/>
        </w:rPr>
        <w:t>m sobre o assunto abordado.</w:t>
      </w:r>
      <w:r w:rsidR="00E00514" w:rsidRPr="00E00514">
        <w:rPr>
          <w:rFonts w:ascii="Arial" w:hAnsi="Arial" w:cs="Arial"/>
          <w:sz w:val="24"/>
          <w:szCs w:val="24"/>
        </w:rPr>
        <w:t xml:space="preserve"> </w:t>
      </w:r>
    </w:p>
    <w:p w14:paraId="551CDCD1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503151" w14:textId="77777777" w:rsidR="00E00514" w:rsidRPr="00E00514" w:rsidRDefault="00E00514" w:rsidP="00E0051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80BFC6" w14:textId="77777777" w:rsidR="00E00514" w:rsidRPr="00E00514" w:rsidRDefault="00E00514" w:rsidP="00E00514">
      <w:pPr>
        <w:keepNext/>
        <w:keepLines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3049F67B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</w:p>
    <w:p w14:paraId="2081A793" w14:textId="77777777" w:rsidR="00E00514" w:rsidRDefault="00ED016A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O E</w:t>
      </w:r>
      <w:r w:rsidR="00254CB6">
        <w:rPr>
          <w:rFonts w:ascii="Arial" w:hAnsi="Arial" w:cs="Arial"/>
          <w:sz w:val="24"/>
          <w:szCs w:val="24"/>
          <w:lang w:eastAsia="pt-BR"/>
        </w:rPr>
        <w:t>st</w:t>
      </w:r>
      <w:r>
        <w:rPr>
          <w:rFonts w:ascii="Arial" w:hAnsi="Arial" w:cs="Arial"/>
          <w:sz w:val="24"/>
          <w:szCs w:val="24"/>
          <w:lang w:eastAsia="pt-BR"/>
        </w:rPr>
        <w:t>ado de Coisas I</w:t>
      </w:r>
      <w:r w:rsidR="00254CB6">
        <w:rPr>
          <w:rFonts w:ascii="Arial" w:hAnsi="Arial" w:cs="Arial"/>
          <w:sz w:val="24"/>
          <w:szCs w:val="24"/>
          <w:lang w:eastAsia="pt-BR"/>
        </w:rPr>
        <w:t xml:space="preserve">nconstitucional teve sua origem em Colômbia, através da Sentencia </w:t>
      </w:r>
      <w:proofErr w:type="spellStart"/>
      <w:r w:rsidR="00254CB6">
        <w:rPr>
          <w:rFonts w:ascii="Arial" w:hAnsi="Arial" w:cs="Arial"/>
          <w:sz w:val="24"/>
          <w:szCs w:val="24"/>
          <w:lang w:eastAsia="pt-BR"/>
        </w:rPr>
        <w:t>Unificación</w:t>
      </w:r>
      <w:proofErr w:type="spellEnd"/>
      <w:r w:rsidR="00254CB6">
        <w:rPr>
          <w:rFonts w:ascii="Arial" w:hAnsi="Arial" w:cs="Arial"/>
          <w:sz w:val="24"/>
          <w:szCs w:val="24"/>
          <w:lang w:eastAsia="pt-BR"/>
        </w:rPr>
        <w:t xml:space="preserve"> 559/1997 – SU </w:t>
      </w:r>
      <w:r>
        <w:rPr>
          <w:rFonts w:ascii="Arial" w:hAnsi="Arial" w:cs="Arial"/>
          <w:sz w:val="24"/>
          <w:szCs w:val="24"/>
          <w:lang w:eastAsia="pt-BR"/>
        </w:rPr>
        <w:t xml:space="preserve">prolatada pela </w:t>
      </w:r>
      <w:r w:rsidR="00254CB6">
        <w:rPr>
          <w:rFonts w:ascii="Arial" w:hAnsi="Arial" w:cs="Arial"/>
          <w:sz w:val="24"/>
          <w:szCs w:val="24"/>
          <w:lang w:eastAsia="pt-BR"/>
        </w:rPr>
        <w:t xml:space="preserve">Corte Constitucional </w:t>
      </w:r>
      <w:proofErr w:type="spellStart"/>
      <w:r w:rsidR="00254CB6">
        <w:rPr>
          <w:rFonts w:ascii="Arial" w:hAnsi="Arial" w:cs="Arial"/>
          <w:sz w:val="24"/>
          <w:szCs w:val="24"/>
          <w:lang w:eastAsia="pt-BR"/>
        </w:rPr>
        <w:lastRenderedPageBreak/>
        <w:t>Colômbiana</w:t>
      </w:r>
      <w:proofErr w:type="spellEnd"/>
      <w:r w:rsidR="00254CB6">
        <w:rPr>
          <w:rFonts w:ascii="Arial" w:hAnsi="Arial" w:cs="Arial"/>
          <w:sz w:val="24"/>
          <w:szCs w:val="24"/>
          <w:lang w:eastAsia="pt-BR"/>
        </w:rPr>
        <w:t>, no qual 45 professores</w:t>
      </w:r>
      <w:r>
        <w:rPr>
          <w:rFonts w:ascii="Arial" w:hAnsi="Arial" w:cs="Arial"/>
          <w:sz w:val="24"/>
          <w:szCs w:val="24"/>
          <w:lang w:eastAsia="pt-BR"/>
        </w:rPr>
        <w:t xml:space="preserve"> impetraram o presente, pois tiveram seus direitos previdenci</w:t>
      </w:r>
      <w:r w:rsidR="00AE3844">
        <w:rPr>
          <w:rFonts w:ascii="Arial" w:hAnsi="Arial" w:cs="Arial"/>
          <w:sz w:val="24"/>
          <w:szCs w:val="24"/>
          <w:lang w:eastAsia="pt-BR"/>
        </w:rPr>
        <w:t xml:space="preserve">ários e de saúde </w:t>
      </w:r>
      <w:r>
        <w:rPr>
          <w:rFonts w:ascii="Arial" w:hAnsi="Arial" w:cs="Arial"/>
          <w:sz w:val="24"/>
          <w:szCs w:val="24"/>
          <w:lang w:eastAsia="pt-BR"/>
        </w:rPr>
        <w:t>violados pelas autoridades, e ao analisar tal situação, a Corte constatou omissões na prestação dos direitos não somente para aquele grupo bem como para toda a classe. Assim, com a publicaç</w:t>
      </w:r>
      <w:r w:rsidR="00D96F9F">
        <w:rPr>
          <w:rFonts w:ascii="Arial" w:hAnsi="Arial" w:cs="Arial"/>
          <w:sz w:val="24"/>
          <w:szCs w:val="24"/>
          <w:lang w:eastAsia="pt-BR"/>
        </w:rPr>
        <w:t>ão da Sentencia citada acima a</w:t>
      </w:r>
      <w:r>
        <w:rPr>
          <w:rFonts w:ascii="Arial" w:hAnsi="Arial" w:cs="Arial"/>
          <w:sz w:val="24"/>
          <w:szCs w:val="24"/>
          <w:lang w:eastAsia="pt-BR"/>
        </w:rPr>
        <w:t xml:space="preserve"> Corte fez o reconhecimento de “Estado de Coisas Inconstitucional”</w:t>
      </w:r>
      <w:r w:rsidR="00682A6D">
        <w:rPr>
          <w:rFonts w:ascii="Arial" w:hAnsi="Arial" w:cs="Arial"/>
          <w:sz w:val="24"/>
          <w:szCs w:val="24"/>
          <w:lang w:eastAsia="pt-BR"/>
        </w:rPr>
        <w:t xml:space="preserve"> (ARRUDA, 2016).</w:t>
      </w:r>
    </w:p>
    <w:p w14:paraId="2906728B" w14:textId="77777777" w:rsidR="00682A6D" w:rsidRDefault="00682A6D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Logo, foi verificado pela Corte a situação do sistema penitenciário tendo em vista que viola os direitos e garantias das pessoas que se encontram na qualidade de reclusos, e por meio da Sentencia de Tutela 153/98 foi declarado o Estado de Coisas Inconstitucional</w:t>
      </w:r>
      <w:r w:rsidR="004C7367">
        <w:rPr>
          <w:rFonts w:ascii="Arial" w:hAnsi="Arial" w:cs="Arial"/>
          <w:sz w:val="24"/>
          <w:szCs w:val="24"/>
          <w:lang w:eastAsia="pt-BR"/>
        </w:rPr>
        <w:t>. A</w:t>
      </w:r>
      <w:r>
        <w:rPr>
          <w:rFonts w:ascii="Arial" w:hAnsi="Arial" w:cs="Arial"/>
          <w:sz w:val="24"/>
          <w:szCs w:val="24"/>
          <w:lang w:eastAsia="pt-BR"/>
        </w:rPr>
        <w:t>l</w:t>
      </w:r>
      <w:r w:rsidR="004C7367">
        <w:rPr>
          <w:rFonts w:ascii="Arial" w:hAnsi="Arial" w:cs="Arial"/>
          <w:sz w:val="24"/>
          <w:szCs w:val="24"/>
          <w:lang w:eastAsia="pt-BR"/>
        </w:rPr>
        <w:t xml:space="preserve">ém disso, foi </w:t>
      </w:r>
      <w:r>
        <w:rPr>
          <w:rFonts w:ascii="Arial" w:hAnsi="Arial" w:cs="Arial"/>
          <w:sz w:val="24"/>
          <w:szCs w:val="24"/>
          <w:lang w:eastAsia="pt-BR"/>
        </w:rPr>
        <w:t>analisado o caso de migraç</w:t>
      </w:r>
      <w:r w:rsidR="004C7367">
        <w:rPr>
          <w:rFonts w:ascii="Arial" w:hAnsi="Arial" w:cs="Arial"/>
          <w:sz w:val="24"/>
          <w:szCs w:val="24"/>
          <w:lang w:eastAsia="pt-BR"/>
        </w:rPr>
        <w:t xml:space="preserve">ão de pessoas dentro do </w:t>
      </w:r>
      <w:r>
        <w:rPr>
          <w:rFonts w:ascii="Arial" w:hAnsi="Arial" w:cs="Arial"/>
          <w:sz w:val="24"/>
          <w:szCs w:val="24"/>
          <w:lang w:eastAsia="pt-BR"/>
        </w:rPr>
        <w:t>território da Colômbia</w:t>
      </w:r>
      <w:r w:rsidR="001410CF">
        <w:rPr>
          <w:rFonts w:ascii="Arial" w:hAnsi="Arial" w:cs="Arial"/>
          <w:sz w:val="24"/>
          <w:szCs w:val="24"/>
          <w:lang w:eastAsia="pt-BR"/>
        </w:rPr>
        <w:t xml:space="preserve">, em razão de receio de ameaças e perigo de vida vindo de terroristas das </w:t>
      </w:r>
      <w:proofErr w:type="spellStart"/>
      <w:r w:rsidR="001410CF">
        <w:rPr>
          <w:rFonts w:ascii="Arial" w:hAnsi="Arial" w:cs="Arial"/>
          <w:sz w:val="24"/>
          <w:szCs w:val="24"/>
          <w:lang w:eastAsia="pt-BR"/>
        </w:rPr>
        <w:t>farcs</w:t>
      </w:r>
      <w:proofErr w:type="spellEnd"/>
      <w:r w:rsidR="001410CF">
        <w:rPr>
          <w:rFonts w:ascii="Arial" w:hAnsi="Arial" w:cs="Arial"/>
          <w:sz w:val="24"/>
          <w:szCs w:val="24"/>
          <w:lang w:eastAsia="pt-BR"/>
        </w:rPr>
        <w:t>,</w:t>
      </w:r>
      <w:r w:rsidR="00414FA2">
        <w:rPr>
          <w:rFonts w:ascii="Arial" w:hAnsi="Arial" w:cs="Arial"/>
          <w:sz w:val="24"/>
          <w:szCs w:val="24"/>
          <w:lang w:eastAsia="pt-BR"/>
        </w:rPr>
        <w:t xml:space="preserve"> bem como de </w:t>
      </w:r>
      <w:r w:rsidR="001410CF">
        <w:rPr>
          <w:rFonts w:ascii="Arial" w:hAnsi="Arial" w:cs="Arial"/>
          <w:sz w:val="24"/>
          <w:szCs w:val="24"/>
          <w:lang w:eastAsia="pt-BR"/>
        </w:rPr>
        <w:t xml:space="preserve">outros conflitos, </w:t>
      </w:r>
      <w:r w:rsidR="004C7367">
        <w:rPr>
          <w:rFonts w:ascii="Arial" w:hAnsi="Arial" w:cs="Arial"/>
          <w:sz w:val="24"/>
          <w:szCs w:val="24"/>
          <w:lang w:eastAsia="pt-BR"/>
        </w:rPr>
        <w:t>sendo através da Sentencia 025/2004 reconhecido também o Estado de Coisas Inconstitucional (ARRUDA, 2016).</w:t>
      </w:r>
    </w:p>
    <w:p w14:paraId="7765048D" w14:textId="77777777" w:rsidR="00A75C23" w:rsidRPr="005A419F" w:rsidRDefault="003029CE" w:rsidP="005A419F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Theme="majorEastAsia" w:hAnsi="Arial" w:cs="Arial"/>
        </w:rPr>
      </w:pPr>
      <w:r>
        <w:rPr>
          <w:rStyle w:val="normaltextrun"/>
          <w:rFonts w:ascii="Arial" w:hAnsi="Arial" w:cs="Arial"/>
        </w:rPr>
        <w:t>Portanto, tal condição de superlotação nos presídios do país violava uma serie de direitos fundamentais, como direito à dignidade da pessoa humana, à vida, bem como, à saúde, à integridade física, familiar, afinal, uma gama de preceitos/direitos fundamentais garantidos e protegidos, de modo que, toda essa violação numerosa, estava diretamente relacionada à constituição como um todo, um conjunto. Além disso, percebesse que, há uma carência de políticas públicas, bem como, a falta de representação política, que por decorrência disso, provoca todo esse caos nos presídios colombiano, sendo ta</w:t>
      </w:r>
      <w:r w:rsidR="00FC3DFE">
        <w:rPr>
          <w:rStyle w:val="normaltextrun"/>
          <w:rFonts w:ascii="Arial" w:hAnsi="Arial" w:cs="Arial"/>
        </w:rPr>
        <w:t xml:space="preserve">l ponto </w:t>
      </w:r>
      <w:r>
        <w:rPr>
          <w:rStyle w:val="normaltextrun"/>
          <w:rFonts w:ascii="Arial" w:hAnsi="Arial" w:cs="Arial"/>
        </w:rPr>
        <w:t>aludido pela corte, pois não teria como tal problema ser resolvido sem a interferência da mesma (VALLE, 2018)</w:t>
      </w:r>
      <w:r>
        <w:rPr>
          <w:rStyle w:val="eop"/>
          <w:rFonts w:ascii="Arial" w:eastAsiaTheme="majorEastAsia" w:hAnsi="Arial" w:cs="Arial"/>
        </w:rPr>
        <w:t>.</w:t>
      </w:r>
    </w:p>
    <w:p w14:paraId="796C8F0E" w14:textId="77777777" w:rsidR="004C7367" w:rsidRDefault="001410CF" w:rsidP="00A75C2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Nesse sentido, foi impetrado no Brasil </w:t>
      </w:r>
      <w:r w:rsidR="004C7367">
        <w:rPr>
          <w:rFonts w:ascii="Arial" w:hAnsi="Arial" w:cs="Arial"/>
          <w:sz w:val="24"/>
          <w:szCs w:val="24"/>
          <w:lang w:eastAsia="pt-BR"/>
        </w:rPr>
        <w:t>pelo Partido Socialismo e Liberdade (PSOL) a ADPF Nº 347/2015 – Arguição de Descumprimento de Preceito fundamental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4C7367">
        <w:rPr>
          <w:rFonts w:ascii="Arial" w:hAnsi="Arial" w:cs="Arial"/>
          <w:sz w:val="24"/>
          <w:szCs w:val="24"/>
          <w:lang w:eastAsia="pt-BR"/>
        </w:rPr>
        <w:t>perante o Supremo Tribunal Federal</w:t>
      </w:r>
      <w:r>
        <w:rPr>
          <w:rFonts w:ascii="Arial" w:hAnsi="Arial" w:cs="Arial"/>
          <w:sz w:val="24"/>
          <w:szCs w:val="24"/>
          <w:lang w:eastAsia="pt-BR"/>
        </w:rPr>
        <w:t xml:space="preserve"> (STF)</w:t>
      </w:r>
      <w:r w:rsidR="004C7367">
        <w:rPr>
          <w:rFonts w:ascii="Arial" w:hAnsi="Arial" w:cs="Arial"/>
          <w:sz w:val="24"/>
          <w:szCs w:val="24"/>
          <w:lang w:eastAsia="pt-BR"/>
        </w:rPr>
        <w:t>, em virtude do cenário precário e insalubre que é o c</w:t>
      </w:r>
      <w:r>
        <w:rPr>
          <w:rFonts w:ascii="Arial" w:hAnsi="Arial" w:cs="Arial"/>
          <w:sz w:val="24"/>
          <w:szCs w:val="24"/>
          <w:lang w:eastAsia="pt-BR"/>
        </w:rPr>
        <w:t xml:space="preserve">árcere, e com isso </w:t>
      </w:r>
      <w:r w:rsidR="004C7367">
        <w:rPr>
          <w:rFonts w:ascii="Arial" w:hAnsi="Arial" w:cs="Arial"/>
          <w:sz w:val="24"/>
          <w:szCs w:val="24"/>
          <w:lang w:eastAsia="pt-BR"/>
        </w:rPr>
        <w:t>na apreciaç</w:t>
      </w:r>
      <w:r>
        <w:rPr>
          <w:rFonts w:ascii="Arial" w:hAnsi="Arial" w:cs="Arial"/>
          <w:sz w:val="24"/>
          <w:szCs w:val="24"/>
          <w:lang w:eastAsia="pt-BR"/>
        </w:rPr>
        <w:t xml:space="preserve">ão das medidas cautelares </w:t>
      </w:r>
      <w:r w:rsidR="004C7367">
        <w:rPr>
          <w:rFonts w:ascii="Arial" w:hAnsi="Arial" w:cs="Arial"/>
          <w:sz w:val="24"/>
          <w:szCs w:val="24"/>
          <w:lang w:eastAsia="pt-BR"/>
        </w:rPr>
        <w:t>o STF em 09 de setembro de 2015 reconheceu o Estado de Coisas Inconstitucional</w:t>
      </w:r>
      <w:r>
        <w:rPr>
          <w:rFonts w:ascii="Arial" w:hAnsi="Arial" w:cs="Arial"/>
          <w:sz w:val="24"/>
          <w:szCs w:val="24"/>
          <w:lang w:eastAsia="pt-BR"/>
        </w:rPr>
        <w:t xml:space="preserve">, no qual julgou em sede de liminar: a) proibindo o poder executivo de </w:t>
      </w:r>
      <w:r w:rsidR="00414FA2">
        <w:rPr>
          <w:rFonts w:ascii="Arial" w:hAnsi="Arial" w:cs="Arial"/>
          <w:sz w:val="24"/>
          <w:szCs w:val="24"/>
          <w:lang w:eastAsia="pt-BR"/>
        </w:rPr>
        <w:t>reter os valores do Fundo Penitenciário Nacional – FUNPEN, deixando para ser utilizado</w:t>
      </w:r>
      <w:r w:rsidR="00A35A5D">
        <w:rPr>
          <w:rFonts w:ascii="Arial" w:hAnsi="Arial" w:cs="Arial"/>
          <w:sz w:val="24"/>
          <w:szCs w:val="24"/>
          <w:lang w:eastAsia="pt-BR"/>
        </w:rPr>
        <w:t xml:space="preserve"> para o fim no qual foi criado; e </w:t>
      </w:r>
      <w:r w:rsidR="00414FA2">
        <w:rPr>
          <w:rFonts w:ascii="Arial" w:hAnsi="Arial" w:cs="Arial"/>
          <w:sz w:val="24"/>
          <w:szCs w:val="24"/>
          <w:lang w:eastAsia="pt-BR"/>
        </w:rPr>
        <w:t xml:space="preserve">b) determinando que juízes e tribunais </w:t>
      </w:r>
      <w:r w:rsidR="00414FA2">
        <w:rPr>
          <w:rFonts w:ascii="Arial" w:hAnsi="Arial" w:cs="Arial"/>
          <w:sz w:val="24"/>
          <w:szCs w:val="24"/>
          <w:lang w:eastAsia="pt-BR"/>
        </w:rPr>
        <w:lastRenderedPageBreak/>
        <w:t>realizassem as audiências de custódia, para o preso manter contato com o juízo em até 24 (vinte e quatro) horas contados do momento da sua prisão</w:t>
      </w:r>
      <w:r w:rsidR="00D96F9F">
        <w:rPr>
          <w:rFonts w:ascii="Arial" w:hAnsi="Arial" w:cs="Arial"/>
          <w:sz w:val="24"/>
          <w:szCs w:val="24"/>
          <w:lang w:eastAsia="pt-BR"/>
        </w:rPr>
        <w:t xml:space="preserve"> (ARRUDA, 2016).</w:t>
      </w:r>
    </w:p>
    <w:p w14:paraId="54B8F369" w14:textId="77777777" w:rsidR="00DF0B1B" w:rsidRDefault="00A0218C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Em se tratando do Estado de Coisas Inconstitucional, há uma diferença entre esse, a judicialização da política e ativismo judicial. O primeiro é visto como uma nova concepção recebida pelo Supremo Tribunal Federal (STF), sendo conhecido também por ativismo camuflado, estrutural, ou uma espécie de ativismo judicial, no qual o STF passa através de uma decisão sua a exigir um comportamento por parte do poder executivo ou legislativo, a fim de se ver concretizar os direitos</w:t>
      </w:r>
      <w:r w:rsidR="00E406A8">
        <w:rPr>
          <w:rFonts w:ascii="Arial" w:hAnsi="Arial" w:cs="Arial"/>
          <w:sz w:val="24"/>
          <w:szCs w:val="24"/>
          <w:lang w:eastAsia="pt-BR"/>
        </w:rPr>
        <w:t xml:space="preserve"> fundamentais do indivíduo que são violados por meio daqueles (ARRUDA, 2016).</w:t>
      </w:r>
    </w:p>
    <w:p w14:paraId="565EEF91" w14:textId="77777777" w:rsidR="00E406A8" w:rsidRDefault="00E406A8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Enquanto a judicialização da política, é quando um ser humano ajuíza uma demanda cuja natureza política e com fulcro na CF/88, para o judiciário estar apreciando</w:t>
      </w:r>
      <w:r w:rsidR="002F6BD1">
        <w:rPr>
          <w:rFonts w:ascii="Arial" w:hAnsi="Arial" w:cs="Arial"/>
          <w:sz w:val="24"/>
          <w:szCs w:val="24"/>
          <w:lang w:eastAsia="pt-BR"/>
        </w:rPr>
        <w:t xml:space="preserve"> em razão de ter um direito fundamental violado pelo poder público. Já no ativismo judicial o judiciário, irá atuar mediante questões políticas, contudo sem provocação, aquele entra para construir, e realizar a concretização dos direitos fundamentais do qual os poderes executivo e legislativo retiram, como exemplo o direito à saúde, à alimentação, à moradia dentre outros (ARRUDA, 2016).</w:t>
      </w:r>
    </w:p>
    <w:p w14:paraId="13196126" w14:textId="77777777" w:rsidR="00AE3844" w:rsidRDefault="00D33845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A </w:t>
      </w:r>
      <w:r w:rsidR="002D3120">
        <w:rPr>
          <w:rFonts w:ascii="Arial" w:hAnsi="Arial" w:cs="Arial"/>
          <w:sz w:val="24"/>
          <w:szCs w:val="24"/>
          <w:lang w:eastAsia="pt-BR"/>
        </w:rPr>
        <w:t>competência para apreciar o Estado de Coisas Inconstitucional no Brasil é do Supremo Tribunal Federal (STF), uma vez que é da Corte Constitucional do País. E tal caso é perceptível por meio da ADPF Nº 347/2015 julgada pelo Ministro Marco Aurélio, como já citada anteriormente nesse trabalho, com o fim de buscar os direitos fundamentais que são arrancados pelo Estado perante a situação do sistema penitenciário</w:t>
      </w:r>
      <w:r>
        <w:rPr>
          <w:rFonts w:ascii="Arial" w:hAnsi="Arial" w:cs="Arial"/>
          <w:sz w:val="24"/>
          <w:szCs w:val="24"/>
          <w:lang w:eastAsia="pt-BR"/>
        </w:rPr>
        <w:t xml:space="preserve"> (ARRUDA, 2016).</w:t>
      </w:r>
    </w:p>
    <w:p w14:paraId="4FB0AF9E" w14:textId="77777777" w:rsidR="00D33845" w:rsidRDefault="00D33845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Em outro viés, para o reconhecimento do Estado de Coisas Inconstitucional terá que ter presença de violação de direitos e garantias, ambos fundamentados pela CF/88, omissão de autoridades política e pública na obrigação da defesa e oferecimento dos direitos fundamentais, práticas inconstitucionais que retiram a obrigação para ajuizar uma ação com o intuito de se obter um direito, </w:t>
      </w:r>
      <w:r w:rsidR="0044301C">
        <w:rPr>
          <w:rFonts w:ascii="Arial" w:hAnsi="Arial" w:cs="Arial"/>
          <w:sz w:val="24"/>
          <w:szCs w:val="24"/>
          <w:lang w:eastAsia="pt-BR"/>
        </w:rPr>
        <w:t xml:space="preserve">omissão de </w:t>
      </w:r>
      <w:r>
        <w:rPr>
          <w:rFonts w:ascii="Arial" w:hAnsi="Arial" w:cs="Arial"/>
          <w:sz w:val="24"/>
          <w:szCs w:val="24"/>
          <w:lang w:eastAsia="pt-BR"/>
        </w:rPr>
        <w:t xml:space="preserve">medidas legislativas, administrativas e </w:t>
      </w:r>
      <w:r w:rsidR="0044301C">
        <w:rPr>
          <w:rFonts w:ascii="Arial" w:hAnsi="Arial" w:cs="Arial"/>
          <w:sz w:val="24"/>
          <w:szCs w:val="24"/>
          <w:lang w:eastAsia="pt-BR"/>
        </w:rPr>
        <w:t xml:space="preserve">orçamentárias para evitar a violação de direitos, problemas abrangendo órgãos e autoridades e </w:t>
      </w:r>
      <w:proofErr w:type="spellStart"/>
      <w:r w:rsidR="0044301C">
        <w:rPr>
          <w:rFonts w:ascii="Arial" w:hAnsi="Arial" w:cs="Arial"/>
          <w:sz w:val="24"/>
          <w:szCs w:val="24"/>
          <w:lang w:eastAsia="pt-BR"/>
        </w:rPr>
        <w:t>por</w:t>
      </w:r>
      <w:proofErr w:type="spellEnd"/>
      <w:r w:rsidR="0044301C">
        <w:rPr>
          <w:rFonts w:ascii="Arial" w:hAnsi="Arial" w:cs="Arial"/>
          <w:sz w:val="24"/>
          <w:szCs w:val="24"/>
          <w:lang w:eastAsia="pt-BR"/>
        </w:rPr>
        <w:t xml:space="preserve"> fim a possibilidade de encher o judiciário de demandas individuais (ARRUDA, 2016).</w:t>
      </w:r>
    </w:p>
    <w:p w14:paraId="484E1ECF" w14:textId="77777777" w:rsidR="0044301C" w:rsidRDefault="0044301C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Todavia, o STF passará a ter acesso à tutela estrutural e assim reconhecer o Estado de Coisas Inconstitucional.</w:t>
      </w:r>
      <w:r w:rsidR="004258D2">
        <w:rPr>
          <w:rFonts w:ascii="Arial" w:hAnsi="Arial" w:cs="Arial"/>
          <w:sz w:val="24"/>
          <w:szCs w:val="24"/>
          <w:lang w:eastAsia="pt-BR"/>
        </w:rPr>
        <w:t xml:space="preserve"> A tutela busca atingir mediante o STF a </w:t>
      </w:r>
      <w:r w:rsidR="004258D2">
        <w:rPr>
          <w:rFonts w:ascii="Arial" w:hAnsi="Arial" w:cs="Arial"/>
          <w:sz w:val="24"/>
          <w:szCs w:val="24"/>
          <w:lang w:eastAsia="pt-BR"/>
        </w:rPr>
        <w:lastRenderedPageBreak/>
        <w:t>valorização dos direitos e garantias fundamentados na CF/88, bem como seus valores, tudo isso através de sentença estrutural. A mesma possui o fim de solucionar os problemas, como também impõe aos poderes legislativo e executivo</w:t>
      </w:r>
      <w:r w:rsidR="00FC3DFE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4258D2">
        <w:rPr>
          <w:rFonts w:ascii="Arial" w:hAnsi="Arial" w:cs="Arial"/>
          <w:sz w:val="24"/>
          <w:szCs w:val="24"/>
          <w:lang w:eastAsia="pt-BR"/>
        </w:rPr>
        <w:t>políticas públicas e projetos de lei para concretizar os direitos amparados pela CF/88 (ARRUDA, 2016).</w:t>
      </w:r>
    </w:p>
    <w:p w14:paraId="7800BFF1" w14:textId="77777777" w:rsidR="00D96F9F" w:rsidRDefault="00D96F9F" w:rsidP="00682A6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D06B19" w14:textId="77777777" w:rsidR="00A75C23" w:rsidRDefault="00A75C23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9A98350" w14:textId="77777777" w:rsidR="00E00514" w:rsidRDefault="00E00514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  <w:r w:rsidRPr="00E00514">
        <w:rPr>
          <w:rFonts w:ascii="Arial" w:hAnsi="Arial" w:cs="Arial"/>
          <w:b/>
        </w:rPr>
        <w:t>RESULTADOS E DISCUSSÃO</w:t>
      </w:r>
    </w:p>
    <w:p w14:paraId="471F56C0" w14:textId="77777777" w:rsidR="00794AF2" w:rsidRPr="00E00514" w:rsidRDefault="00794AF2" w:rsidP="00E0051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184FD08E" w14:textId="77777777" w:rsidR="005E3A8C" w:rsidRPr="009037C9" w:rsidRDefault="005E3A8C" w:rsidP="009037C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9037C9">
        <w:rPr>
          <w:rStyle w:val="normaltextrun"/>
          <w:rFonts w:ascii="Arial" w:hAnsi="Arial" w:cs="Arial"/>
        </w:rPr>
        <w:t xml:space="preserve">Percebe-se que, ao decorrer que se estuda o assunto em questão, o Estado de coisa inconstitucional aborda as falhas </w:t>
      </w:r>
      <w:r w:rsidR="00A35A5D" w:rsidRPr="009037C9">
        <w:rPr>
          <w:rStyle w:val="normaltextrun"/>
          <w:rFonts w:ascii="Arial" w:hAnsi="Arial" w:cs="Arial"/>
        </w:rPr>
        <w:t>presentes em demandas, que, em decorrência dessa lacuna venham violar direitos essenciais e fundamentais aludido em legislações pró</w:t>
      </w:r>
      <w:r w:rsidR="00A35A5D">
        <w:rPr>
          <w:rStyle w:val="normaltextrun"/>
          <w:rFonts w:ascii="Arial" w:hAnsi="Arial" w:cs="Arial"/>
        </w:rPr>
        <w:t>prias de cada país “carta magna</w:t>
      </w:r>
      <w:r w:rsidR="00A35A5D" w:rsidRPr="009037C9">
        <w:rPr>
          <w:rStyle w:val="normaltextrun"/>
          <w:rFonts w:ascii="Arial" w:hAnsi="Arial" w:cs="Arial"/>
        </w:rPr>
        <w:t>”</w:t>
      </w:r>
      <w:r w:rsidRPr="009037C9">
        <w:rPr>
          <w:rStyle w:val="normaltextrun"/>
          <w:rFonts w:ascii="Arial" w:hAnsi="Arial" w:cs="Arial"/>
        </w:rPr>
        <w:t>. A sua origem iniciou em casos analisado/julgado na Colômbia, surgindo assim, o Estado de coisa inconstitucional, que teve como base inspiradora demandas nos Estados Unidos e Canadá (VALLE, 2018). </w:t>
      </w:r>
      <w:r w:rsidRPr="009037C9">
        <w:rPr>
          <w:rStyle w:val="eop"/>
          <w:rFonts w:ascii="Arial" w:eastAsiaTheme="majorEastAsia" w:hAnsi="Arial" w:cs="Arial"/>
        </w:rPr>
        <w:t> </w:t>
      </w:r>
    </w:p>
    <w:p w14:paraId="49009208" w14:textId="77777777" w:rsidR="005E3A8C" w:rsidRPr="009037C9" w:rsidRDefault="005E3A8C" w:rsidP="009037C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9037C9">
        <w:rPr>
          <w:rStyle w:val="normaltextrun"/>
          <w:rFonts w:ascii="Arial" w:hAnsi="Arial" w:cs="Arial"/>
        </w:rPr>
        <w:t>O primeiro caso que se tem relato ocorreu nos Estados Unidos, onde houve falhas que resultaram na violação de direitos essenciais, o caso foi o julgamento Brown </w:t>
      </w:r>
      <w:proofErr w:type="spellStart"/>
      <w:r w:rsidRPr="009037C9">
        <w:rPr>
          <w:rStyle w:val="spellingerror"/>
          <w:rFonts w:ascii="Arial" w:hAnsi="Arial" w:cs="Arial"/>
        </w:rPr>
        <w:t>vs</w:t>
      </w:r>
      <w:proofErr w:type="spellEnd"/>
      <w:r w:rsidRPr="009037C9">
        <w:rPr>
          <w:rStyle w:val="normaltextrun"/>
          <w:rFonts w:ascii="Arial" w:hAnsi="Arial" w:cs="Arial"/>
        </w:rPr>
        <w:t> Board </w:t>
      </w:r>
      <w:proofErr w:type="spellStart"/>
      <w:r w:rsidRPr="009037C9">
        <w:rPr>
          <w:rStyle w:val="spellingerror"/>
          <w:rFonts w:ascii="Arial" w:hAnsi="Arial" w:cs="Arial"/>
        </w:rPr>
        <w:t>of</w:t>
      </w:r>
      <w:proofErr w:type="spellEnd"/>
      <w:r w:rsidRPr="009037C9">
        <w:rPr>
          <w:rStyle w:val="normaltextrun"/>
          <w:rFonts w:ascii="Arial" w:hAnsi="Arial" w:cs="Arial"/>
        </w:rPr>
        <w:t> </w:t>
      </w:r>
      <w:proofErr w:type="spellStart"/>
      <w:r w:rsidRPr="009037C9">
        <w:rPr>
          <w:rStyle w:val="spellingerror"/>
          <w:rFonts w:ascii="Arial" w:hAnsi="Arial" w:cs="Arial"/>
        </w:rPr>
        <w:t>education</w:t>
      </w:r>
      <w:proofErr w:type="spellEnd"/>
      <w:r w:rsidRPr="009037C9">
        <w:rPr>
          <w:rStyle w:val="normaltextrun"/>
          <w:rFonts w:ascii="Arial" w:hAnsi="Arial" w:cs="Arial"/>
        </w:rPr>
        <w:t> </w:t>
      </w:r>
      <w:proofErr w:type="spellStart"/>
      <w:r w:rsidRPr="009037C9">
        <w:rPr>
          <w:rStyle w:val="spellingerror"/>
          <w:rFonts w:ascii="Arial" w:hAnsi="Arial" w:cs="Arial"/>
        </w:rPr>
        <w:t>of</w:t>
      </w:r>
      <w:proofErr w:type="spellEnd"/>
      <w:r w:rsidRPr="009037C9">
        <w:rPr>
          <w:rStyle w:val="normaltextrun"/>
          <w:rFonts w:ascii="Arial" w:hAnsi="Arial" w:cs="Arial"/>
        </w:rPr>
        <w:t> </w:t>
      </w:r>
      <w:proofErr w:type="spellStart"/>
      <w:r w:rsidRPr="009037C9">
        <w:rPr>
          <w:rStyle w:val="spellingerror"/>
          <w:rFonts w:ascii="Arial" w:hAnsi="Arial" w:cs="Arial"/>
        </w:rPr>
        <w:t>Topika</w:t>
      </w:r>
      <w:proofErr w:type="spellEnd"/>
      <w:r w:rsidRPr="009037C9">
        <w:rPr>
          <w:rStyle w:val="normaltextrun"/>
          <w:rFonts w:ascii="Arial" w:hAnsi="Arial" w:cs="Arial"/>
        </w:rPr>
        <w:t>, no ano de 1954,  caso ao qual se referia sobre a segregação racial, dando um fim ao precedente “</w:t>
      </w:r>
      <w:proofErr w:type="spellStart"/>
      <w:r w:rsidRPr="009037C9">
        <w:rPr>
          <w:rStyle w:val="spellingerror"/>
          <w:rFonts w:ascii="Arial" w:hAnsi="Arial" w:cs="Arial"/>
          <w:i/>
          <w:iCs/>
        </w:rPr>
        <w:t>equal</w:t>
      </w:r>
      <w:proofErr w:type="spellEnd"/>
      <w:r w:rsidRPr="009037C9">
        <w:rPr>
          <w:rStyle w:val="normaltextrun"/>
          <w:rFonts w:ascii="Arial" w:hAnsi="Arial" w:cs="Arial"/>
          <w:i/>
          <w:iCs/>
        </w:rPr>
        <w:t> </w:t>
      </w:r>
      <w:proofErr w:type="spellStart"/>
      <w:r w:rsidRPr="009037C9">
        <w:rPr>
          <w:rStyle w:val="spellingerror"/>
          <w:rFonts w:ascii="Arial" w:hAnsi="Arial" w:cs="Arial"/>
          <w:i/>
          <w:iCs/>
        </w:rPr>
        <w:t>but</w:t>
      </w:r>
      <w:proofErr w:type="spellEnd"/>
      <w:r w:rsidRPr="009037C9">
        <w:rPr>
          <w:rStyle w:val="normaltextrun"/>
          <w:rFonts w:ascii="Arial" w:hAnsi="Arial" w:cs="Arial"/>
          <w:i/>
          <w:iCs/>
        </w:rPr>
        <w:t> </w:t>
      </w:r>
      <w:proofErr w:type="spellStart"/>
      <w:r w:rsidRPr="009037C9">
        <w:rPr>
          <w:rStyle w:val="spellingerror"/>
          <w:rFonts w:ascii="Arial" w:hAnsi="Arial" w:cs="Arial"/>
          <w:i/>
          <w:iCs/>
        </w:rPr>
        <w:t>separated</w:t>
      </w:r>
      <w:proofErr w:type="spellEnd"/>
      <w:r w:rsidRPr="009037C9">
        <w:rPr>
          <w:rStyle w:val="normaltextrun"/>
          <w:rFonts w:ascii="Arial" w:hAnsi="Arial" w:cs="Arial"/>
          <w:i/>
          <w:iCs/>
        </w:rPr>
        <w:t>”</w:t>
      </w:r>
      <w:r w:rsidR="00FC3DFE" w:rsidRPr="009037C9">
        <w:rPr>
          <w:rStyle w:val="normaltextrun"/>
          <w:rFonts w:ascii="Arial" w:hAnsi="Arial" w:cs="Arial"/>
          <w:i/>
          <w:iCs/>
        </w:rPr>
        <w:t xml:space="preserve">. </w:t>
      </w:r>
      <w:r w:rsidRPr="009037C9">
        <w:rPr>
          <w:rStyle w:val="normaltextrun"/>
          <w:rFonts w:ascii="Arial" w:hAnsi="Arial" w:cs="Arial"/>
        </w:rPr>
        <w:t>Ademais do fato acima mencionado, ocorreu outro julgamento na Suprema Corte Americana, dessa vez, o caso foi </w:t>
      </w:r>
      <w:proofErr w:type="spellStart"/>
      <w:r w:rsidRPr="009037C9">
        <w:rPr>
          <w:rStyle w:val="spellingerror"/>
          <w:rFonts w:ascii="Arial" w:hAnsi="Arial" w:cs="Arial"/>
        </w:rPr>
        <w:t>Swan</w:t>
      </w:r>
      <w:proofErr w:type="spellEnd"/>
      <w:r w:rsidRPr="009037C9">
        <w:rPr>
          <w:rStyle w:val="normaltextrun"/>
          <w:rFonts w:ascii="Arial" w:hAnsi="Arial" w:cs="Arial"/>
        </w:rPr>
        <w:t> </w:t>
      </w:r>
      <w:proofErr w:type="spellStart"/>
      <w:r w:rsidRPr="009037C9">
        <w:rPr>
          <w:rStyle w:val="spellingerror"/>
          <w:rFonts w:ascii="Arial" w:hAnsi="Arial" w:cs="Arial"/>
        </w:rPr>
        <w:t>vs</w:t>
      </w:r>
      <w:proofErr w:type="spellEnd"/>
      <w:r w:rsidRPr="009037C9">
        <w:rPr>
          <w:rStyle w:val="normaltextrun"/>
          <w:rFonts w:ascii="Arial" w:hAnsi="Arial" w:cs="Arial"/>
        </w:rPr>
        <w:t> Charlotte </w:t>
      </w:r>
      <w:proofErr w:type="spellStart"/>
      <w:r w:rsidRPr="009037C9">
        <w:rPr>
          <w:rStyle w:val="spellingerror"/>
          <w:rFonts w:ascii="Arial" w:hAnsi="Arial" w:cs="Arial"/>
        </w:rPr>
        <w:t>Mecklenburg</w:t>
      </w:r>
      <w:proofErr w:type="spellEnd"/>
      <w:r w:rsidRPr="009037C9">
        <w:rPr>
          <w:rStyle w:val="normaltextrun"/>
          <w:rFonts w:ascii="Arial" w:hAnsi="Arial" w:cs="Arial"/>
        </w:rPr>
        <w:t> Board </w:t>
      </w:r>
      <w:proofErr w:type="spellStart"/>
      <w:r w:rsidRPr="009037C9">
        <w:rPr>
          <w:rStyle w:val="spellingerror"/>
          <w:rFonts w:ascii="Arial" w:hAnsi="Arial" w:cs="Arial"/>
        </w:rPr>
        <w:t>of</w:t>
      </w:r>
      <w:proofErr w:type="spellEnd"/>
      <w:r w:rsidRPr="009037C9">
        <w:rPr>
          <w:rStyle w:val="normaltextrun"/>
          <w:rFonts w:ascii="Arial" w:hAnsi="Arial" w:cs="Arial"/>
        </w:rPr>
        <w:t> </w:t>
      </w:r>
      <w:proofErr w:type="spellStart"/>
      <w:r w:rsidRPr="009037C9">
        <w:rPr>
          <w:rStyle w:val="spellingerror"/>
          <w:rFonts w:ascii="Arial" w:hAnsi="Arial" w:cs="Arial"/>
        </w:rPr>
        <w:t>education</w:t>
      </w:r>
      <w:proofErr w:type="spellEnd"/>
      <w:r w:rsidRPr="009037C9">
        <w:rPr>
          <w:rStyle w:val="normaltextrun"/>
          <w:rFonts w:ascii="Arial" w:hAnsi="Arial" w:cs="Arial"/>
        </w:rPr>
        <w:t>, no ano de 1971, sendo rebatido o mesmo ponto do caso hora acima citado, sobre a </w:t>
      </w:r>
      <w:proofErr w:type="spellStart"/>
      <w:r w:rsidRPr="009037C9">
        <w:rPr>
          <w:rStyle w:val="spellingerror"/>
          <w:rFonts w:ascii="Arial" w:hAnsi="Arial" w:cs="Arial"/>
        </w:rPr>
        <w:t>desegregação</w:t>
      </w:r>
      <w:proofErr w:type="spellEnd"/>
      <w:r w:rsidRPr="009037C9">
        <w:rPr>
          <w:rStyle w:val="normaltextrun"/>
          <w:rFonts w:ascii="Arial" w:hAnsi="Arial" w:cs="Arial"/>
        </w:rPr>
        <w:t>, no qual resultou numa posição mais incisiva do Estado, que veio resultar na reforma de todo sistema de ensino do país (VALLE, 2018). </w:t>
      </w:r>
      <w:r w:rsidRPr="009037C9">
        <w:rPr>
          <w:rStyle w:val="eop"/>
          <w:rFonts w:ascii="Arial" w:eastAsiaTheme="majorEastAsia" w:hAnsi="Arial" w:cs="Arial"/>
        </w:rPr>
        <w:t> </w:t>
      </w:r>
    </w:p>
    <w:p w14:paraId="35EF0A75" w14:textId="77777777" w:rsidR="005E3A8C" w:rsidRPr="009037C9" w:rsidRDefault="00FC3DFE" w:rsidP="009037C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9037C9">
        <w:rPr>
          <w:rStyle w:val="normaltextrun"/>
          <w:rFonts w:ascii="Arial" w:hAnsi="Arial" w:cs="Arial"/>
        </w:rPr>
        <w:t xml:space="preserve">Contudo, </w:t>
      </w:r>
      <w:r w:rsidR="005E3A8C" w:rsidRPr="009037C9">
        <w:rPr>
          <w:rStyle w:val="normaltextrun"/>
          <w:rFonts w:ascii="Arial" w:hAnsi="Arial" w:cs="Arial"/>
        </w:rPr>
        <w:t>essa falha não ocorreu apenas em situações de </w:t>
      </w:r>
      <w:proofErr w:type="spellStart"/>
      <w:r w:rsidR="005E3A8C" w:rsidRPr="009037C9">
        <w:rPr>
          <w:rStyle w:val="spellingerror"/>
          <w:rFonts w:ascii="Arial" w:hAnsi="Arial" w:cs="Arial"/>
        </w:rPr>
        <w:t>desegregação</w:t>
      </w:r>
      <w:proofErr w:type="spellEnd"/>
      <w:r w:rsidR="005E3A8C" w:rsidRPr="009037C9">
        <w:rPr>
          <w:rStyle w:val="normaltextrun"/>
          <w:rFonts w:ascii="Arial" w:hAnsi="Arial" w:cs="Arial"/>
        </w:rPr>
        <w:t xml:space="preserve"> racial, em que houve a necessidade de intervenção, ocorrendo também episódios </w:t>
      </w:r>
      <w:r w:rsidR="00A35A5D">
        <w:rPr>
          <w:rStyle w:val="normaltextrun"/>
          <w:rFonts w:ascii="Arial" w:hAnsi="Arial" w:cs="Arial"/>
        </w:rPr>
        <w:t xml:space="preserve">de falhas em algumas prisões dos </w:t>
      </w:r>
      <w:r w:rsidR="005E3A8C" w:rsidRPr="009037C9">
        <w:rPr>
          <w:rStyle w:val="normaltextrun"/>
          <w:rFonts w:ascii="Arial" w:hAnsi="Arial" w:cs="Arial"/>
        </w:rPr>
        <w:t>Estados Unidos, fazendo com que tivesse uma reforma no sistema prisional, bem como, no sistema de saúde e nos institutos de psiquiatria, pois, o sistema antigo violava diversos direitos, como a saúde dos pacientes e internos (VALLE, 2018).</w:t>
      </w:r>
    </w:p>
    <w:p w14:paraId="2E710445" w14:textId="77777777" w:rsidR="00E52B7B" w:rsidRDefault="005E3A8C" w:rsidP="009037C9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rFonts w:ascii="Arial" w:hAnsi="Arial" w:cs="Arial"/>
        </w:rPr>
      </w:pPr>
      <w:r w:rsidRPr="009037C9">
        <w:rPr>
          <w:rStyle w:val="normaltextrun"/>
          <w:rFonts w:ascii="Arial" w:hAnsi="Arial" w:cs="Arial"/>
        </w:rPr>
        <w:lastRenderedPageBreak/>
        <w:t xml:space="preserve">No Canadá ocorreu episódios semelhantes, que envolvia direito à educação bilíngue, elencado no artigo 23 da Carta de Direitos de 1982, </w:t>
      </w:r>
      <w:r w:rsidR="00A35A5D">
        <w:rPr>
          <w:rStyle w:val="normaltextrun"/>
          <w:rFonts w:ascii="Arial" w:hAnsi="Arial" w:cs="Arial"/>
        </w:rPr>
        <w:t xml:space="preserve">pois ocorreu a omissão estatal </w:t>
      </w:r>
      <w:r w:rsidRPr="009037C9">
        <w:rPr>
          <w:rStyle w:val="normaltextrun"/>
          <w:rFonts w:ascii="Arial" w:hAnsi="Arial" w:cs="Arial"/>
        </w:rPr>
        <w:t xml:space="preserve">na falta de implementação desse direito. Essas demandas vivenciadas nesses países, serviu para que fosse incorporado na Colômbia a jurisprudência da Corte Constitucional Colombiana, que a </w:t>
      </w:r>
      <w:r w:rsidR="00FC3DFE" w:rsidRPr="009037C9">
        <w:rPr>
          <w:rStyle w:val="normaltextrun"/>
          <w:rFonts w:ascii="Arial" w:hAnsi="Arial" w:cs="Arial"/>
        </w:rPr>
        <w:t>posterior</w:t>
      </w:r>
      <w:r w:rsidRPr="009037C9">
        <w:rPr>
          <w:rStyle w:val="normaltextrun"/>
          <w:rFonts w:ascii="Arial" w:hAnsi="Arial" w:cs="Arial"/>
        </w:rPr>
        <w:t xml:space="preserve"> veio ser tratado como Estado de coisa inconstitucional (VALLE, 2018).</w:t>
      </w:r>
    </w:p>
    <w:p w14:paraId="40BD95C5" w14:textId="77777777" w:rsidR="00E52B7B" w:rsidRDefault="00E52B7B" w:rsidP="005A419F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791B2309">
        <w:rPr>
          <w:rFonts w:ascii="Arial" w:eastAsia="Arial" w:hAnsi="Arial" w:cs="Arial"/>
          <w:sz w:val="24"/>
          <w:szCs w:val="24"/>
        </w:rPr>
        <w:t>É questionável que o instrumental propos</w:t>
      </w:r>
      <w:r>
        <w:rPr>
          <w:rFonts w:ascii="Arial" w:eastAsia="Arial" w:hAnsi="Arial" w:cs="Arial"/>
          <w:sz w:val="24"/>
          <w:szCs w:val="24"/>
        </w:rPr>
        <w:t>to pelo ECI pretende contornar à</w:t>
      </w:r>
      <w:r w:rsidRPr="791B2309">
        <w:rPr>
          <w:rFonts w:ascii="Arial" w:eastAsia="Arial" w:hAnsi="Arial" w:cs="Arial"/>
          <w:sz w:val="24"/>
          <w:szCs w:val="24"/>
        </w:rPr>
        <w:t>s críticas vinda do direito, ao demandar medidas estruturais flexíveis e monitoramento contí</w:t>
      </w:r>
      <w:r>
        <w:rPr>
          <w:rFonts w:ascii="Arial" w:eastAsia="Arial" w:hAnsi="Arial" w:cs="Arial"/>
          <w:sz w:val="24"/>
          <w:szCs w:val="24"/>
        </w:rPr>
        <w:t xml:space="preserve">nuo, entretanto não </w:t>
      </w:r>
      <w:r w:rsidRPr="791B2309">
        <w:rPr>
          <w:rFonts w:ascii="Arial" w:eastAsia="Arial" w:hAnsi="Arial" w:cs="Arial"/>
          <w:sz w:val="24"/>
          <w:szCs w:val="24"/>
        </w:rPr>
        <w:t>é certo se tais formulações serão capazes de vencer a lacuna que separa as expectativas dos litigantes das mudanças almejadas no</w:t>
      </w:r>
      <w:r>
        <w:rPr>
          <w:rFonts w:ascii="Arial" w:eastAsia="Arial" w:hAnsi="Arial" w:cs="Arial"/>
          <w:sz w:val="24"/>
          <w:szCs w:val="24"/>
        </w:rPr>
        <w:t xml:space="preserve"> decorrer do processo judicial </w:t>
      </w:r>
      <w:r w:rsidRPr="791B2309">
        <w:rPr>
          <w:rFonts w:ascii="Arial" w:eastAsia="Arial" w:hAnsi="Arial" w:cs="Arial"/>
          <w:sz w:val="24"/>
          <w:szCs w:val="24"/>
        </w:rPr>
        <w:t xml:space="preserve">(MAGALHÃES, 2019, </w:t>
      </w:r>
      <w:proofErr w:type="spellStart"/>
      <w:r w:rsidRPr="791B2309">
        <w:rPr>
          <w:rFonts w:ascii="Arial" w:eastAsia="Arial" w:hAnsi="Arial" w:cs="Arial"/>
          <w:sz w:val="24"/>
          <w:szCs w:val="24"/>
        </w:rPr>
        <w:t>s.p</w:t>
      </w:r>
      <w:proofErr w:type="spellEnd"/>
      <w:r w:rsidRPr="791B2309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44278414" w14:textId="77777777" w:rsidR="00E52B7B" w:rsidRDefault="00E52B7B" w:rsidP="00E52B7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B02C11E" w14:textId="77777777" w:rsidR="00E52B7B" w:rsidRDefault="00E52B7B" w:rsidP="005A419F">
      <w:pPr>
        <w:spacing w:after="0" w:line="240" w:lineRule="auto"/>
        <w:ind w:left="2268"/>
        <w:jc w:val="both"/>
        <w:rPr>
          <w:rFonts w:ascii="Arial" w:eastAsia="Arial" w:hAnsi="Arial" w:cs="Arial"/>
          <w:sz w:val="24"/>
          <w:szCs w:val="24"/>
        </w:rPr>
      </w:pPr>
      <w:r w:rsidRPr="791B2309">
        <w:rPr>
          <w:rFonts w:ascii="Arial" w:eastAsia="Arial" w:hAnsi="Arial" w:cs="Arial"/>
        </w:rPr>
        <w:t>Aquela lacuna poderá gerar os seguintes problemas: 1) caso não delegue a obrigação de monitorar a outro órgão, como o CNJ, por exemplo, o STF atrairá para si uma incumbência que talvez não tenha tempo e condições de cumprir, especialmente se o processo de monitoramento depender de constantes manifestações plenárias (homologação de uma política pública proposta, decisões sobre o aumento ou redução do ECI estipulados por indicadores, etc.); 2) o possível (e provável) fracasso na melhoria da situação carcerária ou o descumprimento das medidas flexíveis ensejará a perda da força simbólica das decisões do tribunal e, por consequência, de sua legitimidade,40 situação que se agravará à medida que as decisões de monitoramento se acumularem no tempo; e 3) o STF terá de estar preparado para ter de manter o monitoramento indefinidamente (como no caso colombiano), pois não foram estipulados critérios para aferir quando um ECI se encerra, mas também porque qualquer queda nos indicativos de melhora deverá ex</w:t>
      </w:r>
      <w:r w:rsidR="005A419F">
        <w:rPr>
          <w:rFonts w:ascii="Arial" w:eastAsia="Arial" w:hAnsi="Arial" w:cs="Arial"/>
        </w:rPr>
        <w:t xml:space="preserve">igir da Corte o retorno ao caso </w:t>
      </w:r>
      <w:r w:rsidRPr="791B2309">
        <w:rPr>
          <w:rFonts w:ascii="Arial" w:eastAsia="Arial" w:hAnsi="Arial" w:cs="Arial"/>
        </w:rPr>
        <w:t xml:space="preserve">(MAGALHÃES, 2019, </w:t>
      </w:r>
      <w:proofErr w:type="spellStart"/>
      <w:r w:rsidRPr="791B2309">
        <w:rPr>
          <w:rFonts w:ascii="Arial" w:eastAsia="Arial" w:hAnsi="Arial" w:cs="Arial"/>
        </w:rPr>
        <w:t>s.p</w:t>
      </w:r>
      <w:proofErr w:type="spellEnd"/>
      <w:r w:rsidRPr="791B2309">
        <w:rPr>
          <w:rFonts w:ascii="Arial" w:eastAsia="Arial" w:hAnsi="Arial" w:cs="Arial"/>
        </w:rPr>
        <w:t>)</w:t>
      </w:r>
      <w:r w:rsidR="005A419F">
        <w:rPr>
          <w:rFonts w:ascii="Arial" w:eastAsia="Arial" w:hAnsi="Arial" w:cs="Arial"/>
        </w:rPr>
        <w:t>.</w:t>
      </w:r>
    </w:p>
    <w:p w14:paraId="73B76B2B" w14:textId="77777777" w:rsidR="00E52B7B" w:rsidRDefault="00E52B7B" w:rsidP="00E52B7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5E975791" w14:textId="77777777" w:rsidR="00E52B7B" w:rsidRDefault="00E52B7B" w:rsidP="00E52B7B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791B2309">
        <w:rPr>
          <w:rFonts w:ascii="Arial" w:eastAsia="Arial" w:hAnsi="Arial" w:cs="Arial"/>
          <w:sz w:val="24"/>
          <w:szCs w:val="24"/>
        </w:rPr>
        <w:t>As Cortes serão capazes de produzir reformas sociais efetivas quando outros atores políticos (Executivo e Legislativo, principalmente) derem incentivos positivos para motivar ao cumprimento de suas decisões. Os poderes políticos podem se recusar ou adiar o cumprimento das decisões das Cortes, quando o custo da inércia dos poderes não for grande o suficiente, como parece ser o caso do sistem</w:t>
      </w:r>
      <w:r w:rsidR="005A419F">
        <w:rPr>
          <w:rFonts w:ascii="Arial" w:eastAsia="Arial" w:hAnsi="Arial" w:cs="Arial"/>
          <w:sz w:val="24"/>
          <w:szCs w:val="24"/>
        </w:rPr>
        <w:t xml:space="preserve">a carcerário brasileiro </w:t>
      </w:r>
      <w:r w:rsidRPr="791B2309">
        <w:rPr>
          <w:rFonts w:ascii="Arial" w:eastAsia="Arial" w:hAnsi="Arial" w:cs="Arial"/>
          <w:sz w:val="24"/>
          <w:szCs w:val="24"/>
        </w:rPr>
        <w:t xml:space="preserve">(MAGALHÃES, 2019, </w:t>
      </w:r>
      <w:proofErr w:type="spellStart"/>
      <w:r w:rsidRPr="791B2309">
        <w:rPr>
          <w:rFonts w:ascii="Arial" w:eastAsia="Arial" w:hAnsi="Arial" w:cs="Arial"/>
          <w:sz w:val="24"/>
          <w:szCs w:val="24"/>
        </w:rPr>
        <w:t>s.p</w:t>
      </w:r>
      <w:proofErr w:type="spellEnd"/>
      <w:r w:rsidRPr="791B2309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6F0734C2" w14:textId="77777777" w:rsidR="005A419F" w:rsidRDefault="005E3A8C" w:rsidP="005A419F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9037C9">
        <w:rPr>
          <w:rStyle w:val="normaltextrun"/>
          <w:rFonts w:ascii="Arial" w:hAnsi="Arial" w:cs="Arial"/>
        </w:rPr>
        <w:t>  </w:t>
      </w:r>
      <w:r w:rsidRPr="009037C9">
        <w:rPr>
          <w:rStyle w:val="eop"/>
          <w:rFonts w:ascii="Arial" w:eastAsiaTheme="majorEastAsia" w:hAnsi="Arial" w:cs="Arial"/>
        </w:rPr>
        <w:t> </w:t>
      </w:r>
    </w:p>
    <w:p w14:paraId="027FE394" w14:textId="77777777" w:rsidR="00E00514" w:rsidRPr="005A419F" w:rsidRDefault="00E00514" w:rsidP="005A419F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00514">
        <w:rPr>
          <w:rFonts w:ascii="Arial" w:hAnsi="Arial" w:cs="Arial"/>
          <w:b/>
        </w:rPr>
        <w:tab/>
      </w:r>
    </w:p>
    <w:p w14:paraId="7F4A43DB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5F1A375F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CB3060" w14:textId="77777777" w:rsidR="00E00514" w:rsidRPr="00E00514" w:rsidRDefault="006416FD" w:rsidP="006F3D0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direitos fundamentais bem como as gara</w:t>
      </w:r>
      <w:r w:rsidR="006F3D03">
        <w:rPr>
          <w:rFonts w:ascii="Arial" w:hAnsi="Arial" w:cs="Arial"/>
          <w:sz w:val="24"/>
          <w:szCs w:val="24"/>
        </w:rPr>
        <w:t xml:space="preserve">ntias pertencentes ao indivíduo tem sua fundamentação na CF/88, porém mediante o caos que se presencia dentro do sistema penitenciário é visto a violação dos referidos, uma vez que é direito da pessoa receber o que é seu por previsão legal, contudo isso não acontece na prática. A partir disso que se depreende o chamado Estado de Coisa Inconstitucional vindo reconhecido por meio da ADPF nº 347/2015, no qual o </w:t>
      </w:r>
      <w:r w:rsidR="00A35A5D">
        <w:rPr>
          <w:rFonts w:ascii="Arial" w:hAnsi="Arial" w:cs="Arial"/>
          <w:sz w:val="24"/>
          <w:szCs w:val="24"/>
        </w:rPr>
        <w:t xml:space="preserve">Supremo Tribunal Federal busca </w:t>
      </w:r>
      <w:r w:rsidR="006F3D03">
        <w:rPr>
          <w:rFonts w:ascii="Arial" w:hAnsi="Arial" w:cs="Arial"/>
          <w:sz w:val="24"/>
          <w:szCs w:val="24"/>
        </w:rPr>
        <w:t>a concretização da dignidade humana por parte do poder p</w:t>
      </w:r>
      <w:r w:rsidR="009037C9">
        <w:rPr>
          <w:rFonts w:ascii="Arial" w:hAnsi="Arial" w:cs="Arial"/>
          <w:sz w:val="24"/>
          <w:szCs w:val="24"/>
        </w:rPr>
        <w:t>úblico, e acabando com isso n</w:t>
      </w:r>
      <w:r w:rsidR="006F3D03">
        <w:rPr>
          <w:rFonts w:ascii="Arial" w:hAnsi="Arial" w:cs="Arial"/>
          <w:sz w:val="24"/>
          <w:szCs w:val="24"/>
        </w:rPr>
        <w:t>esse ferimento</w:t>
      </w:r>
      <w:r w:rsidR="009037C9">
        <w:rPr>
          <w:rFonts w:ascii="Arial" w:hAnsi="Arial" w:cs="Arial"/>
          <w:sz w:val="24"/>
          <w:szCs w:val="24"/>
        </w:rPr>
        <w:t xml:space="preserve"> da </w:t>
      </w:r>
      <w:r w:rsidR="006F3D03">
        <w:rPr>
          <w:rFonts w:ascii="Arial" w:hAnsi="Arial" w:cs="Arial"/>
          <w:sz w:val="24"/>
          <w:szCs w:val="24"/>
        </w:rPr>
        <w:t xml:space="preserve">Carta Magna e outras legislações pertinentes. Em suma, é necessário que o Estado intervenha trazendo modificações e buscando conceder os direitos e garantias de uma pessoa </w:t>
      </w:r>
      <w:r w:rsidR="009037C9">
        <w:rPr>
          <w:rFonts w:ascii="Arial" w:hAnsi="Arial" w:cs="Arial"/>
          <w:sz w:val="24"/>
          <w:szCs w:val="24"/>
        </w:rPr>
        <w:t>que se encontra na qualidade de presa.</w:t>
      </w:r>
    </w:p>
    <w:p w14:paraId="0D0B85D4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19DD47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4A964E" w14:textId="77777777" w:rsidR="00E00514" w:rsidRPr="00E00514" w:rsidRDefault="00E00514" w:rsidP="00E0051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REFERÊNCIAS</w:t>
      </w:r>
    </w:p>
    <w:p w14:paraId="7574F9F0" w14:textId="77777777" w:rsidR="001E7094" w:rsidRDefault="001E7094" w:rsidP="001E709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A55098" w14:textId="77777777" w:rsidR="001E7094" w:rsidRDefault="001E7094" w:rsidP="001E709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E7094">
        <w:rPr>
          <w:rFonts w:ascii="Arial" w:hAnsi="Arial" w:cs="Arial"/>
          <w:sz w:val="24"/>
          <w:szCs w:val="24"/>
        </w:rPr>
        <w:t xml:space="preserve">ARRUDA. Andrey </w:t>
      </w:r>
      <w:proofErr w:type="spellStart"/>
      <w:r w:rsidRPr="001E7094">
        <w:rPr>
          <w:rFonts w:ascii="Arial" w:hAnsi="Arial" w:cs="Arial"/>
          <w:sz w:val="24"/>
          <w:szCs w:val="24"/>
        </w:rPr>
        <w:t>Stephano</w:t>
      </w:r>
      <w:proofErr w:type="spellEnd"/>
      <w:r w:rsidRPr="001E7094">
        <w:rPr>
          <w:rFonts w:ascii="Arial" w:hAnsi="Arial" w:cs="Arial"/>
          <w:sz w:val="24"/>
          <w:szCs w:val="24"/>
        </w:rPr>
        <w:t xml:space="preserve"> Silva. Estado de Coisas Inconstitucional: uma nova fórmula de atuar do STF. </w:t>
      </w:r>
      <w:r w:rsidRPr="001E7094">
        <w:rPr>
          <w:rFonts w:ascii="Arial" w:hAnsi="Arial" w:cs="Arial"/>
          <w:i/>
          <w:sz w:val="24"/>
          <w:szCs w:val="24"/>
        </w:rPr>
        <w:t>In</w:t>
      </w:r>
      <w:r w:rsidRPr="001E7094">
        <w:rPr>
          <w:rFonts w:ascii="Arial" w:hAnsi="Arial" w:cs="Arial"/>
          <w:sz w:val="24"/>
          <w:szCs w:val="24"/>
        </w:rPr>
        <w:t xml:space="preserve">: </w:t>
      </w:r>
      <w:r w:rsidRPr="001E7094">
        <w:rPr>
          <w:rFonts w:ascii="Arial" w:hAnsi="Arial" w:cs="Arial"/>
          <w:b/>
          <w:sz w:val="24"/>
          <w:szCs w:val="24"/>
        </w:rPr>
        <w:t>Âmbito Jurídico</w:t>
      </w:r>
      <w:r w:rsidRPr="001E7094">
        <w:rPr>
          <w:rFonts w:ascii="Arial" w:hAnsi="Arial" w:cs="Arial"/>
          <w:sz w:val="24"/>
          <w:szCs w:val="24"/>
        </w:rPr>
        <w:t xml:space="preserve">, São Paulo, r.145, fevereiro, 2016. Disponível em:&lt;  </w:t>
      </w:r>
      <w:hyperlink r:id="rId7" w:anchor=":~:text=Visto%20as%20defini%C3%A7%C3%B5es%20acima%20mencionadas,Executivo%20ou%20Legislativo%2C%20no%20cond%C3%A3o" w:history="1">
        <w:r w:rsidRPr="001E7094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https://ambitojuridico.com.br/cadernos/direito-constitucional/estado-de-coisas-inconstitucional-uma-nova-formula-de-atuar-do-stf/#:~:text=Visto%20as%20defini%C3%A7%C3%B5es%20acima%20mencionadas,Executivo%20ou%20Legislativo%2C%20no%20cond%C3%A3o</w:t>
        </w:r>
      </w:hyperlink>
      <w:r w:rsidRPr="001E7094">
        <w:rPr>
          <w:rFonts w:ascii="Arial" w:hAnsi="Arial" w:cs="Arial"/>
          <w:color w:val="000000" w:themeColor="text1"/>
          <w:sz w:val="24"/>
          <w:szCs w:val="24"/>
        </w:rPr>
        <w:t>&gt;. Acesso em 24 set.2020.</w:t>
      </w:r>
    </w:p>
    <w:p w14:paraId="181199FC" w14:textId="77777777" w:rsidR="001E7094" w:rsidRPr="001E7094" w:rsidRDefault="001E7094" w:rsidP="001E709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4D05F3" w14:textId="77777777" w:rsidR="001E7094" w:rsidRDefault="001E7094" w:rsidP="001E70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094">
        <w:rPr>
          <w:rFonts w:ascii="Arial" w:hAnsi="Arial" w:cs="Arial"/>
          <w:sz w:val="24"/>
          <w:szCs w:val="24"/>
        </w:rPr>
        <w:t xml:space="preserve">BRASIL. </w:t>
      </w:r>
      <w:r w:rsidRPr="001E7094">
        <w:rPr>
          <w:rFonts w:ascii="Arial" w:hAnsi="Arial" w:cs="Arial"/>
          <w:b/>
          <w:sz w:val="24"/>
          <w:szCs w:val="24"/>
        </w:rPr>
        <w:t>Constituição da República Federativa do Brasil.</w:t>
      </w:r>
      <w:r w:rsidRPr="001E7094">
        <w:rPr>
          <w:rFonts w:ascii="Arial" w:hAnsi="Arial" w:cs="Arial"/>
          <w:sz w:val="24"/>
          <w:szCs w:val="24"/>
        </w:rPr>
        <w:t xml:space="preserve"> Promulgada em 05 de outubrode1988. Disponível em: &lt;</w:t>
      </w:r>
      <w:hyperlink r:id="rId8" w:history="1">
        <w:r w:rsidRPr="001E7094">
          <w:rPr>
            <w:rStyle w:val="Hyperlink"/>
            <w:rFonts w:ascii="Arial" w:hAnsi="Arial" w:cs="Arial"/>
            <w:color w:val="000000"/>
            <w:sz w:val="24"/>
            <w:szCs w:val="24"/>
            <w:u w:val="none"/>
          </w:rPr>
          <w:t>www.planalto.gov.br</w:t>
        </w:r>
      </w:hyperlink>
      <w:r w:rsidRPr="001E7094">
        <w:rPr>
          <w:rFonts w:ascii="Arial" w:hAnsi="Arial" w:cs="Arial"/>
          <w:color w:val="000000"/>
          <w:sz w:val="24"/>
          <w:szCs w:val="24"/>
        </w:rPr>
        <w:t xml:space="preserve">/ccivil_03/constituicao/constituicao.htm </w:t>
      </w:r>
      <w:r w:rsidRPr="001E7094">
        <w:rPr>
          <w:rFonts w:ascii="Arial" w:hAnsi="Arial" w:cs="Arial"/>
          <w:sz w:val="24"/>
          <w:szCs w:val="24"/>
        </w:rPr>
        <w:t>&gt;. Acesso em 24 set. 2020.</w:t>
      </w:r>
    </w:p>
    <w:p w14:paraId="03EA3E55" w14:textId="77777777" w:rsidR="001E7094" w:rsidRPr="001E7094" w:rsidRDefault="001E7094" w:rsidP="001E709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5EA84" w14:textId="77777777" w:rsidR="001E7094" w:rsidRDefault="001E7094" w:rsidP="001E709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E7094">
        <w:rPr>
          <w:rFonts w:ascii="Arial" w:hAnsi="Arial" w:cs="Arial"/>
          <w:sz w:val="24"/>
          <w:szCs w:val="24"/>
          <w:shd w:val="clear" w:color="auto" w:fill="FFFFFF"/>
        </w:rPr>
        <w:t xml:space="preserve">BRASIL. Supremo Tribunal Federal. </w:t>
      </w:r>
      <w:r w:rsidRPr="001E7094">
        <w:rPr>
          <w:rFonts w:ascii="Arial" w:hAnsi="Arial" w:cs="Arial"/>
          <w:b/>
          <w:sz w:val="24"/>
          <w:szCs w:val="24"/>
          <w:shd w:val="clear" w:color="auto" w:fill="FFFFFF"/>
        </w:rPr>
        <w:t xml:space="preserve">ADPF Nº 347/2015. </w:t>
      </w:r>
      <w:r w:rsidRPr="001E7094">
        <w:rPr>
          <w:rFonts w:ascii="Arial" w:hAnsi="Arial" w:cs="Arial"/>
          <w:sz w:val="24"/>
          <w:szCs w:val="24"/>
          <w:shd w:val="clear" w:color="auto" w:fill="FFFFFF"/>
        </w:rPr>
        <w:t>Arguição de Descumprimento de Preceito Fundamental. Disponível em:&lt;stf.jus.br/portal/cms/verNoticiaDetalhe.asp?idConteudo=298600&gt;. Acesso em 24 set.2020.</w:t>
      </w:r>
    </w:p>
    <w:p w14:paraId="7CE2A729" w14:textId="77777777" w:rsidR="001E7094" w:rsidRPr="001E7094" w:rsidRDefault="001E7094" w:rsidP="001E7094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E33CE9A" w14:textId="77777777" w:rsidR="001E7094" w:rsidRDefault="001E7094" w:rsidP="001E7094">
      <w:pPr>
        <w:spacing w:after="0" w:line="240" w:lineRule="auto"/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</w:pPr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COLÔMBIA. 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AGENCIA OFICIOSA EN TUTELA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>-Asociaciones de desplazados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/AGENCIA OFICIOSA EN TUTELA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 xml:space="preserve">-Condiciones para que las asociaciones de desplazados interpongan la acción. </w:t>
      </w:r>
      <w:proofErr w:type="spellStart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>Disponível</w:t>
      </w:r>
      <w:proofErr w:type="spellEnd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 em:&lt; corteconstitucional.gov.co/</w:t>
      </w:r>
      <w:proofErr w:type="spellStart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>relatoria</w:t>
      </w:r>
      <w:proofErr w:type="spellEnd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/2004/t-025-04.htm&gt;. </w:t>
      </w:r>
      <w:proofErr w:type="spellStart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>Acesso</w:t>
      </w:r>
      <w:proofErr w:type="spellEnd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 em 24 set.2020.</w:t>
      </w:r>
    </w:p>
    <w:p w14:paraId="4489A36A" w14:textId="77777777" w:rsidR="001E7094" w:rsidRPr="001E7094" w:rsidRDefault="001E7094" w:rsidP="001E7094">
      <w:pPr>
        <w:spacing w:after="0" w:line="240" w:lineRule="auto"/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</w:pPr>
    </w:p>
    <w:p w14:paraId="6F4EFF8F" w14:textId="77777777" w:rsidR="001E7094" w:rsidRDefault="001E7094" w:rsidP="001E7094">
      <w:pPr>
        <w:spacing w:after="0" w:line="240" w:lineRule="auto"/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</w:pPr>
      <w:r w:rsidRPr="001E7094">
        <w:rPr>
          <w:rFonts w:ascii="Arial" w:hAnsi="Arial" w:cs="Arial"/>
          <w:sz w:val="24"/>
          <w:szCs w:val="24"/>
        </w:rPr>
        <w:t xml:space="preserve">COLÔMBIA. 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ESTABLECIMIENTO CARCELARIO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>-Condiciones de hacinamiento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/ESTABLECIMIENTO CARCELARIO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 xml:space="preserve">-Perspectiva histórica del 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lastRenderedPageBreak/>
        <w:t>hacinamiento en Colombia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/LEY DE ALTERNATIVIDAD EN LA LEGISLACION PENAL Y PENITENCIARIA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>-Descongestión carcelaria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/ESTABLECIMIENTO CARCELARIO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>-Algunas causales explicativas de la congestión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/ESTABLECIMIENTO CARCELARIO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>-Infraestructura y administración</w:t>
      </w:r>
      <w:r w:rsidRPr="001E7094">
        <w:rPr>
          <w:rFonts w:ascii="Arial" w:hAnsi="Arial" w:cs="Arial"/>
          <w:b/>
          <w:bCs/>
          <w:color w:val="2D2D2D"/>
          <w:sz w:val="24"/>
          <w:szCs w:val="24"/>
          <w:shd w:val="clear" w:color="auto" w:fill="FFFFFF"/>
          <w:lang w:val="es-CO"/>
        </w:rPr>
        <w:t>/ESTABLECIMIENTO CARCELARIO</w:t>
      </w:r>
      <w:r w:rsidRPr="001E7094">
        <w:rPr>
          <w:rFonts w:ascii="Arial" w:hAnsi="Arial" w:cs="Arial"/>
          <w:b/>
          <w:color w:val="2D2D2D"/>
          <w:sz w:val="24"/>
          <w:szCs w:val="24"/>
          <w:shd w:val="clear" w:color="auto" w:fill="FFFFFF"/>
          <w:lang w:val="es-CO"/>
        </w:rPr>
        <w:t>-Consecuencias del hacinamiento.</w:t>
      </w:r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 </w:t>
      </w:r>
      <w:proofErr w:type="spellStart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>Disponível</w:t>
      </w:r>
      <w:proofErr w:type="spellEnd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 em :&lt; corteconstitucional.gov.co/</w:t>
      </w:r>
      <w:proofErr w:type="spellStart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>relatoria</w:t>
      </w:r>
      <w:proofErr w:type="spellEnd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/1998/t-153-98.htm&gt;. </w:t>
      </w:r>
      <w:proofErr w:type="spellStart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>Acesso</w:t>
      </w:r>
      <w:proofErr w:type="spellEnd"/>
      <w:r w:rsidRPr="001E7094"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  <w:t xml:space="preserve"> em 24 set.2020.</w:t>
      </w:r>
    </w:p>
    <w:p w14:paraId="44AEF9EC" w14:textId="77777777" w:rsidR="001E7094" w:rsidRPr="001E7094" w:rsidRDefault="001E7094" w:rsidP="001E7094">
      <w:pPr>
        <w:spacing w:after="0" w:line="240" w:lineRule="auto"/>
        <w:rPr>
          <w:rFonts w:ascii="Arial" w:hAnsi="Arial" w:cs="Arial"/>
          <w:color w:val="2D2D2D"/>
          <w:sz w:val="24"/>
          <w:szCs w:val="24"/>
          <w:shd w:val="clear" w:color="auto" w:fill="FFFFFF"/>
          <w:lang w:val="es-CO"/>
        </w:rPr>
      </w:pPr>
    </w:p>
    <w:p w14:paraId="07B6BF02" w14:textId="77777777" w:rsidR="001E7094" w:rsidRDefault="001E7094" w:rsidP="001E7094">
      <w:pPr>
        <w:pStyle w:val="Ttulo1"/>
        <w:shd w:val="clear" w:color="auto" w:fill="FFFFFF"/>
        <w:spacing w:before="0" w:line="240" w:lineRule="auto"/>
        <w:rPr>
          <w:rFonts w:ascii="Arial" w:eastAsia="Times New Roman" w:hAnsi="Arial" w:cs="Arial"/>
          <w:b w:val="0"/>
          <w:color w:val="000000" w:themeColor="text1"/>
          <w:kern w:val="36"/>
          <w:sz w:val="24"/>
          <w:szCs w:val="24"/>
          <w:lang w:eastAsia="pt-BR"/>
        </w:rPr>
      </w:pPr>
      <w:r w:rsidRPr="001E709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VALLE, Laura Cristina Silva. </w:t>
      </w:r>
      <w:r w:rsidRPr="001E7094">
        <w:rPr>
          <w:rFonts w:ascii="Arial" w:eastAsia="Times New Roman" w:hAnsi="Arial" w:cs="Arial"/>
          <w:b w:val="0"/>
          <w:color w:val="000000" w:themeColor="text1"/>
          <w:kern w:val="36"/>
          <w:sz w:val="24"/>
          <w:szCs w:val="24"/>
          <w:lang w:eastAsia="pt-BR"/>
        </w:rPr>
        <w:t xml:space="preserve">O Estado de coisas inconstitucional e o sistema carcerário à luz da ADPF 347. </w:t>
      </w:r>
      <w:proofErr w:type="spellStart"/>
      <w:r w:rsidRPr="001E7094">
        <w:rPr>
          <w:rFonts w:ascii="Arial" w:eastAsia="Times New Roman" w:hAnsi="Arial" w:cs="Arial"/>
          <w:b w:val="0"/>
          <w:i/>
          <w:color w:val="000000" w:themeColor="text1"/>
          <w:kern w:val="36"/>
          <w:sz w:val="24"/>
          <w:szCs w:val="24"/>
          <w:lang w:eastAsia="pt-BR"/>
        </w:rPr>
        <w:t>In:</w:t>
      </w:r>
      <w:r w:rsidRPr="001E7094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pt-BR"/>
        </w:rPr>
        <w:t>Jusbrasil</w:t>
      </w:r>
      <w:proofErr w:type="spellEnd"/>
      <w:r w:rsidRPr="001E7094">
        <w:rPr>
          <w:rFonts w:ascii="Arial" w:eastAsia="Times New Roman" w:hAnsi="Arial" w:cs="Arial"/>
          <w:b w:val="0"/>
          <w:color w:val="000000" w:themeColor="text1"/>
          <w:kern w:val="36"/>
          <w:sz w:val="24"/>
          <w:szCs w:val="24"/>
          <w:lang w:eastAsia="pt-BR"/>
        </w:rPr>
        <w:t>, portal eletrônico de informações, 2018. Disponível em: &lt;</w:t>
      </w:r>
      <w:hyperlink r:id="rId9" w:history="1">
        <w:r w:rsidRPr="001E7094">
          <w:rPr>
            <w:rStyle w:val="Hyperlink"/>
            <w:rFonts w:ascii="Arial" w:eastAsia="Times New Roman" w:hAnsi="Arial" w:cs="Arial"/>
            <w:b w:val="0"/>
            <w:color w:val="000000" w:themeColor="text1"/>
            <w:kern w:val="36"/>
            <w:sz w:val="24"/>
            <w:szCs w:val="24"/>
            <w:u w:val="none"/>
            <w:lang w:eastAsia="pt-BR"/>
          </w:rPr>
          <w:t>https://jus.com.br/artigos/69098/o-estado-de-coisas-inconstitucional-e-o-sistema-carcerario-a-luz-da-adpf-347</w:t>
        </w:r>
      </w:hyperlink>
      <w:r w:rsidRPr="001E7094">
        <w:rPr>
          <w:rFonts w:ascii="Arial" w:eastAsia="Times New Roman" w:hAnsi="Arial" w:cs="Arial"/>
          <w:b w:val="0"/>
          <w:color w:val="000000" w:themeColor="text1"/>
          <w:kern w:val="36"/>
          <w:sz w:val="24"/>
          <w:szCs w:val="24"/>
          <w:lang w:eastAsia="pt-BR"/>
        </w:rPr>
        <w:t>&gt; Acesso em: 22 set. 2020.</w:t>
      </w:r>
    </w:p>
    <w:p w14:paraId="08CA7544" w14:textId="77777777" w:rsidR="005A419F" w:rsidRDefault="005A419F" w:rsidP="005A419F">
      <w:pPr>
        <w:spacing w:after="0" w:line="360" w:lineRule="auto"/>
        <w:jc w:val="both"/>
        <w:rPr>
          <w:lang w:eastAsia="pt-BR"/>
        </w:rPr>
      </w:pPr>
    </w:p>
    <w:p w14:paraId="5A015465" w14:textId="77777777" w:rsidR="005A419F" w:rsidRPr="005A419F" w:rsidRDefault="005A419F" w:rsidP="005A419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791B2309">
        <w:rPr>
          <w:rFonts w:ascii="Arial" w:eastAsia="Arial" w:hAnsi="Arial" w:cs="Arial"/>
          <w:sz w:val="24"/>
          <w:szCs w:val="24"/>
        </w:rPr>
        <w:t xml:space="preserve">MAGALHÂES, Breno Baía. </w:t>
      </w:r>
      <w:r w:rsidRPr="791B2309">
        <w:rPr>
          <w:rFonts w:ascii="Arial" w:eastAsia="Arial" w:hAnsi="Arial" w:cs="Arial"/>
          <w:b/>
          <w:bCs/>
          <w:sz w:val="24"/>
          <w:szCs w:val="24"/>
        </w:rPr>
        <w:t>O Estado de Coisas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nconstitucional na ADPF 347 e a </w:t>
      </w:r>
      <w:r w:rsidRPr="791B2309">
        <w:rPr>
          <w:rFonts w:ascii="Arial" w:eastAsia="Arial" w:hAnsi="Arial" w:cs="Arial"/>
          <w:b/>
          <w:bCs/>
          <w:sz w:val="24"/>
          <w:szCs w:val="24"/>
        </w:rPr>
        <w:t>sedução do Direito: o impacto da medida cautelar e a resposta dos poderes políticos.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91B2309">
        <w:rPr>
          <w:rFonts w:ascii="Arial" w:eastAsia="Arial" w:hAnsi="Arial" w:cs="Arial"/>
          <w:i/>
          <w:iCs/>
          <w:sz w:val="24"/>
          <w:szCs w:val="24"/>
        </w:rPr>
        <w:t>In:</w:t>
      </w:r>
      <w:r w:rsidRPr="791B2309">
        <w:rPr>
          <w:rFonts w:ascii="Arial" w:eastAsia="Arial" w:hAnsi="Arial" w:cs="Arial"/>
          <w:sz w:val="24"/>
          <w:szCs w:val="24"/>
        </w:rPr>
        <w:t xml:space="preserve"> Rev. Direito. GV vol.15 no.2 São Paulo, 2019  </w:t>
      </w:r>
      <w:proofErr w:type="spellStart"/>
      <w:r w:rsidRPr="791B2309">
        <w:rPr>
          <w:rFonts w:ascii="Arial" w:eastAsia="Arial" w:hAnsi="Arial" w:cs="Arial"/>
          <w:sz w:val="24"/>
          <w:szCs w:val="24"/>
        </w:rPr>
        <w:t>Epub</w:t>
      </w:r>
      <w:proofErr w:type="spellEnd"/>
      <w:r w:rsidRPr="791B2309">
        <w:rPr>
          <w:rFonts w:ascii="Arial" w:eastAsia="Arial" w:hAnsi="Arial" w:cs="Arial"/>
          <w:sz w:val="24"/>
          <w:szCs w:val="24"/>
        </w:rPr>
        <w:t xml:space="preserve"> July 15, 2019. </w:t>
      </w:r>
      <w:proofErr w:type="spellStart"/>
      <w:r w:rsidRPr="791B2309">
        <w:rPr>
          <w:rFonts w:ascii="Arial" w:eastAsia="Arial" w:hAnsi="Arial" w:cs="Arial"/>
          <w:sz w:val="24"/>
          <w:szCs w:val="24"/>
        </w:rPr>
        <w:t>Disponivel</w:t>
      </w:r>
      <w:proofErr w:type="spellEnd"/>
      <w:r w:rsidRPr="791B2309">
        <w:rPr>
          <w:rFonts w:ascii="Arial" w:eastAsia="Arial" w:hAnsi="Arial" w:cs="Arial"/>
          <w:sz w:val="24"/>
          <w:szCs w:val="24"/>
        </w:rPr>
        <w:t xml:space="preserve"> em: &lt;https://www.scielo.br/scielo.php?script=sci_arttext&amp;pid=S1808-2432</w:t>
      </w:r>
      <w:r>
        <w:rPr>
          <w:rFonts w:ascii="Arial" w:eastAsia="Arial" w:hAnsi="Arial" w:cs="Arial"/>
          <w:sz w:val="24"/>
          <w:szCs w:val="24"/>
        </w:rPr>
        <w:t xml:space="preserve">2019000200203&amp;tlng=pt &gt;. Acesso em </w:t>
      </w:r>
      <w:r w:rsidRPr="791B2309">
        <w:rPr>
          <w:rFonts w:ascii="Arial" w:eastAsia="Arial" w:hAnsi="Arial" w:cs="Arial"/>
          <w:sz w:val="24"/>
          <w:szCs w:val="24"/>
        </w:rPr>
        <w:t>24. Set de 2020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5A419F" w:rsidRPr="005A419F" w:rsidSect="009F1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5580E" w14:textId="77777777" w:rsidR="00284F86" w:rsidRDefault="00284F86" w:rsidP="00B940A1">
      <w:pPr>
        <w:spacing w:after="0" w:line="240" w:lineRule="auto"/>
      </w:pPr>
      <w:r>
        <w:separator/>
      </w:r>
    </w:p>
  </w:endnote>
  <w:endnote w:type="continuationSeparator" w:id="0">
    <w:p w14:paraId="6812ABBB" w14:textId="77777777" w:rsidR="00284F86" w:rsidRDefault="00284F86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5EF8C" w14:textId="77777777" w:rsidR="005D02E7" w:rsidRDefault="005D02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3633" w14:textId="77777777" w:rsidR="00C51BFB" w:rsidRDefault="004B76F0">
    <w:pPr>
      <w:pStyle w:val="Rodap"/>
      <w:jc w:val="right"/>
    </w:pPr>
    <w:r>
      <w:fldChar w:fldCharType="begin"/>
    </w:r>
    <w:r w:rsidR="00C51BFB">
      <w:instrText>PAGE   \* MERGEFORMAT</w:instrText>
    </w:r>
    <w:r>
      <w:fldChar w:fldCharType="separate"/>
    </w:r>
    <w:r w:rsidR="004501CD">
      <w:rPr>
        <w:noProof/>
      </w:rPr>
      <w:t>1</w:t>
    </w:r>
    <w:r>
      <w:fldChar w:fldCharType="end"/>
    </w:r>
  </w:p>
  <w:p w14:paraId="11161793" w14:textId="77777777" w:rsidR="00C51BFB" w:rsidRPr="009F1998" w:rsidRDefault="00C51BFB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17931C1A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hAnsi="Arial" w:cs="Arial"/>
        <w:sz w:val="16"/>
        <w:szCs w:val="16"/>
      </w:rPr>
      <w:t xml:space="preserve">Av. Governador Roberto Silveira,910, Lia Márcia, Bom Jesus do Itabapoana- </w:t>
    </w:r>
    <w:r w:rsidR="009F1998" w:rsidRPr="009F1998">
      <w:rPr>
        <w:rFonts w:ascii="Arial" w:hAnsi="Arial" w:cs="Arial"/>
        <w:sz w:val="16"/>
        <w:szCs w:val="16"/>
      </w:rPr>
      <w:t xml:space="preserve">RJ </w:t>
    </w:r>
    <w:r w:rsidR="009F1998"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01A9BFAE" w14:textId="77777777" w:rsidR="00C51BFB" w:rsidRPr="009F1998" w:rsidRDefault="00C51BFB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F1998">
      <w:rPr>
        <w:rFonts w:ascii="Arial" w:hAnsi="Arial" w:cs="Arial"/>
        <w:sz w:val="16"/>
        <w:szCs w:val="16"/>
        <w:lang w:val="en-US"/>
      </w:rPr>
      <w:t>Cep: 28.360-</w:t>
    </w:r>
    <w:r w:rsidR="009F1998" w:rsidRPr="009F1998">
      <w:rPr>
        <w:rFonts w:ascii="Arial" w:hAnsi="Arial" w:cs="Arial"/>
        <w:sz w:val="16"/>
        <w:szCs w:val="16"/>
        <w:lang w:val="en-US"/>
      </w:rPr>
      <w:t>000 Tel.</w:t>
    </w:r>
    <w:r w:rsidRPr="009F1998">
      <w:rPr>
        <w:rFonts w:ascii="Arial" w:hAnsi="Arial" w:cs="Arial"/>
        <w:sz w:val="16"/>
        <w:szCs w:val="16"/>
        <w:lang w:val="en-US"/>
      </w:rPr>
      <w:t>:(22)3833-8400 – www.famesc.edu.br</w:t>
    </w:r>
  </w:p>
  <w:p w14:paraId="682B2C75" w14:textId="77777777" w:rsidR="008A7AD5" w:rsidRPr="008A7AD5" w:rsidRDefault="008A7AD5" w:rsidP="008A7AD5">
    <w:pPr>
      <w:pStyle w:val="Cabealho"/>
      <w:jc w:val="both"/>
      <w:rPr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D00F5" w14:textId="77777777" w:rsidR="005D02E7" w:rsidRDefault="005D0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133BD" w14:textId="77777777" w:rsidR="00284F86" w:rsidRDefault="00284F86" w:rsidP="00B940A1">
      <w:pPr>
        <w:spacing w:after="0" w:line="240" w:lineRule="auto"/>
      </w:pPr>
      <w:r>
        <w:separator/>
      </w:r>
    </w:p>
  </w:footnote>
  <w:footnote w:type="continuationSeparator" w:id="0">
    <w:p w14:paraId="087F17AC" w14:textId="77777777" w:rsidR="00284F86" w:rsidRDefault="00284F86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FD8D6" w14:textId="77777777" w:rsidR="00EF1A82" w:rsidRDefault="00284F86">
    <w:pPr>
      <w:pStyle w:val="Cabealho"/>
    </w:pPr>
    <w:r>
      <w:rPr>
        <w:noProof/>
      </w:rPr>
      <w:pict w14:anchorId="74F82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1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C997B" w14:textId="77777777" w:rsidR="000B6345" w:rsidRDefault="000B6345" w:rsidP="000B6345">
    <w:pPr>
      <w:pStyle w:val="Cabealho"/>
    </w:pPr>
    <w:r>
      <w:rPr>
        <w:noProof/>
        <w:lang w:val="pt-BR"/>
      </w:rPr>
      <w:drawing>
        <wp:anchor distT="0" distB="0" distL="114300" distR="114300" simplePos="0" relativeHeight="251662848" behindDoc="0" locked="0" layoutInCell="1" allowOverlap="1" wp14:anchorId="0E146807" wp14:editId="3FE77BE1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61824" behindDoc="0" locked="0" layoutInCell="1" allowOverlap="1" wp14:anchorId="2E884E71" wp14:editId="3E360783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8BEBB" w14:textId="77777777" w:rsidR="000B6345" w:rsidRDefault="000B6345" w:rsidP="000B6345">
    <w:pPr>
      <w:pStyle w:val="Cabealho"/>
    </w:pPr>
  </w:p>
  <w:p w14:paraId="0899C482" w14:textId="77777777" w:rsidR="000B6345" w:rsidRPr="009F1998" w:rsidRDefault="000B6345" w:rsidP="000B6345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>Edição Especial – Revista Científica Interdisciplinar Múltiplos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  <w:p w14:paraId="258B47CD" w14:textId="284CC209" w:rsidR="009F1998" w:rsidRPr="009F1998" w:rsidRDefault="009F1998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C917A" w14:textId="77777777" w:rsidR="00EF1A82" w:rsidRDefault="00284F86">
    <w:pPr>
      <w:pStyle w:val="Cabealho"/>
    </w:pPr>
    <w:r>
      <w:rPr>
        <w:noProof/>
      </w:rPr>
      <w:pict w14:anchorId="36D12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49" type="#_x0000_t75" style="position:absolute;margin-left:0;margin-top:0;width:1112.45pt;height:625.7pt;z-index:-251656704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0A1"/>
    <w:rsid w:val="000153FB"/>
    <w:rsid w:val="00030690"/>
    <w:rsid w:val="000312AD"/>
    <w:rsid w:val="00055B80"/>
    <w:rsid w:val="00085C62"/>
    <w:rsid w:val="000B061B"/>
    <w:rsid w:val="000B6345"/>
    <w:rsid w:val="000C3504"/>
    <w:rsid w:val="000C7016"/>
    <w:rsid w:val="000E409B"/>
    <w:rsid w:val="001410CF"/>
    <w:rsid w:val="0014637C"/>
    <w:rsid w:val="001659BD"/>
    <w:rsid w:val="001660F0"/>
    <w:rsid w:val="00174B5B"/>
    <w:rsid w:val="0018202C"/>
    <w:rsid w:val="001B2B1A"/>
    <w:rsid w:val="001C43CF"/>
    <w:rsid w:val="001E7094"/>
    <w:rsid w:val="001F0C1E"/>
    <w:rsid w:val="00212AA6"/>
    <w:rsid w:val="00221D1A"/>
    <w:rsid w:val="00226CB9"/>
    <w:rsid w:val="00232D28"/>
    <w:rsid w:val="00254CB6"/>
    <w:rsid w:val="00284F86"/>
    <w:rsid w:val="00285590"/>
    <w:rsid w:val="00290424"/>
    <w:rsid w:val="002D3120"/>
    <w:rsid w:val="002D3143"/>
    <w:rsid w:val="002E65C9"/>
    <w:rsid w:val="002F6BD1"/>
    <w:rsid w:val="003029CE"/>
    <w:rsid w:val="00305FB0"/>
    <w:rsid w:val="00314DC2"/>
    <w:rsid w:val="00320FF7"/>
    <w:rsid w:val="00324510"/>
    <w:rsid w:val="00384CE0"/>
    <w:rsid w:val="00390E85"/>
    <w:rsid w:val="003C060A"/>
    <w:rsid w:val="003C6028"/>
    <w:rsid w:val="003C6FA6"/>
    <w:rsid w:val="0041421B"/>
    <w:rsid w:val="00414FA2"/>
    <w:rsid w:val="004258D2"/>
    <w:rsid w:val="0044301C"/>
    <w:rsid w:val="004501CD"/>
    <w:rsid w:val="00485272"/>
    <w:rsid w:val="004B76F0"/>
    <w:rsid w:val="004C6661"/>
    <w:rsid w:val="004C7367"/>
    <w:rsid w:val="004D218D"/>
    <w:rsid w:val="004F5FE3"/>
    <w:rsid w:val="004F6F52"/>
    <w:rsid w:val="00536F7C"/>
    <w:rsid w:val="00544394"/>
    <w:rsid w:val="00592F13"/>
    <w:rsid w:val="005A419F"/>
    <w:rsid w:val="005D02E7"/>
    <w:rsid w:val="005E3A8C"/>
    <w:rsid w:val="005F37B5"/>
    <w:rsid w:val="005F5D63"/>
    <w:rsid w:val="005F6B4D"/>
    <w:rsid w:val="006309C2"/>
    <w:rsid w:val="00635AD5"/>
    <w:rsid w:val="006416FD"/>
    <w:rsid w:val="00642FBC"/>
    <w:rsid w:val="0067602A"/>
    <w:rsid w:val="00682A6D"/>
    <w:rsid w:val="006846BF"/>
    <w:rsid w:val="006C6AC1"/>
    <w:rsid w:val="006F248D"/>
    <w:rsid w:val="006F3D03"/>
    <w:rsid w:val="00752CE9"/>
    <w:rsid w:val="00755DF0"/>
    <w:rsid w:val="0075723D"/>
    <w:rsid w:val="00794AF2"/>
    <w:rsid w:val="007A6C95"/>
    <w:rsid w:val="00864BFE"/>
    <w:rsid w:val="008A7AD5"/>
    <w:rsid w:val="009037C9"/>
    <w:rsid w:val="00917F13"/>
    <w:rsid w:val="00944800"/>
    <w:rsid w:val="00972186"/>
    <w:rsid w:val="009767BA"/>
    <w:rsid w:val="009802B5"/>
    <w:rsid w:val="00987025"/>
    <w:rsid w:val="009F1998"/>
    <w:rsid w:val="00A0218C"/>
    <w:rsid w:val="00A35A5D"/>
    <w:rsid w:val="00A43A33"/>
    <w:rsid w:val="00A5286F"/>
    <w:rsid w:val="00A75C23"/>
    <w:rsid w:val="00A8746B"/>
    <w:rsid w:val="00A94C32"/>
    <w:rsid w:val="00AA36A1"/>
    <w:rsid w:val="00AE3844"/>
    <w:rsid w:val="00AF1A63"/>
    <w:rsid w:val="00AF361D"/>
    <w:rsid w:val="00B24885"/>
    <w:rsid w:val="00B85786"/>
    <w:rsid w:val="00B87E79"/>
    <w:rsid w:val="00B940A1"/>
    <w:rsid w:val="00BA42BF"/>
    <w:rsid w:val="00BB5122"/>
    <w:rsid w:val="00BE2BB2"/>
    <w:rsid w:val="00C226E6"/>
    <w:rsid w:val="00C22B43"/>
    <w:rsid w:val="00C42849"/>
    <w:rsid w:val="00C51BFB"/>
    <w:rsid w:val="00C62272"/>
    <w:rsid w:val="00C84F93"/>
    <w:rsid w:val="00CA1892"/>
    <w:rsid w:val="00CF0E40"/>
    <w:rsid w:val="00D0387C"/>
    <w:rsid w:val="00D06339"/>
    <w:rsid w:val="00D17361"/>
    <w:rsid w:val="00D212DF"/>
    <w:rsid w:val="00D33845"/>
    <w:rsid w:val="00D51C4F"/>
    <w:rsid w:val="00D96F9F"/>
    <w:rsid w:val="00DA7E02"/>
    <w:rsid w:val="00DE10D3"/>
    <w:rsid w:val="00DF0B1B"/>
    <w:rsid w:val="00E00514"/>
    <w:rsid w:val="00E278FA"/>
    <w:rsid w:val="00E3033E"/>
    <w:rsid w:val="00E406A8"/>
    <w:rsid w:val="00E52B7B"/>
    <w:rsid w:val="00E70B07"/>
    <w:rsid w:val="00E95CB1"/>
    <w:rsid w:val="00EC0471"/>
    <w:rsid w:val="00ED016A"/>
    <w:rsid w:val="00EF1A82"/>
    <w:rsid w:val="00EF5885"/>
    <w:rsid w:val="00F00253"/>
    <w:rsid w:val="00F4218F"/>
    <w:rsid w:val="00F91FF8"/>
    <w:rsid w:val="00FA7E6B"/>
    <w:rsid w:val="00FC3DFE"/>
    <w:rsid w:val="00FD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9F09D8"/>
  <w15:docId w15:val="{8A157DDF-E392-46CB-B7A5-36D2990B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94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paragraph" w:customStyle="1" w:styleId="paragraph">
    <w:name w:val="paragraph"/>
    <w:basedOn w:val="Normal"/>
    <w:rsid w:val="00302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029CE"/>
  </w:style>
  <w:style w:type="character" w:customStyle="1" w:styleId="eop">
    <w:name w:val="eop"/>
    <w:basedOn w:val="Fontepargpadro"/>
    <w:rsid w:val="003029CE"/>
  </w:style>
  <w:style w:type="character" w:customStyle="1" w:styleId="spellingerror">
    <w:name w:val="spellingerror"/>
    <w:basedOn w:val="Fontepargpadro"/>
    <w:rsid w:val="005E3A8C"/>
  </w:style>
  <w:style w:type="character" w:customStyle="1" w:styleId="Ttulo1Char">
    <w:name w:val="Título 1 Char"/>
    <w:basedOn w:val="Fontepargpadro"/>
    <w:link w:val="Ttulo1"/>
    <w:uiPriority w:val="9"/>
    <w:rsid w:val="00A94C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mbitojuridico.com.br/cadernos/direito-constitucional/estado-de-coisas-inconstitucional-uma-nova-formula-de-atuar-do-stf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69098/o-estado-de-coisas-inconstitucional-e-o-sistema-carcerario-a-luz-da-adpf-347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8541-87A4-45E3-8D51-0C59AF56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2194</Words>
  <Characters>11853</Characters>
  <Application>Microsoft Office Word</Application>
  <DocSecurity>0</DocSecurity>
  <Lines>98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MATERIAL E MÉTODOS</vt:lpstr>
      <vt:lpstr>    DESENVOLVIMENTO</vt:lpstr>
      <vt:lpstr>VALLE, Laura Cristina Silva. O Estado de coisas inconstitucional e o sistema car</vt:lpstr>
    </vt:vector>
  </TitlesOfParts>
  <Company/>
  <LinksUpToDate>false</LinksUpToDate>
  <CharactersWithSpaces>14019</CharactersWithSpaces>
  <SharedDoc>false</SharedDoc>
  <HLinks>
    <vt:vector size="6" baseType="variant">
      <vt:variant>
        <vt:i4>3211313</vt:i4>
      </vt:variant>
      <vt:variant>
        <vt:i4>0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Tauã Lima Verdan</dc:creator>
  <cp:lastModifiedBy>WINDOWS</cp:lastModifiedBy>
  <cp:revision>5</cp:revision>
  <cp:lastPrinted>2018-07-19T17:09:00Z</cp:lastPrinted>
  <dcterms:created xsi:type="dcterms:W3CDTF">2020-09-25T01:45:00Z</dcterms:created>
  <dcterms:modified xsi:type="dcterms:W3CDTF">2020-10-04T23:15:00Z</dcterms:modified>
</cp:coreProperties>
</file>